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3E1278" w:rsidRDefault="00DC02AA" w:rsidP="00862CB3">
      <w:pPr>
        <w:spacing w:before="120"/>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0E598A" w14:paraId="409B9E7B" w14:textId="77777777" w:rsidTr="004E54CC">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1CF1C729" w14:textId="77777777" w:rsidR="00AF1D72" w:rsidRPr="001813FB" w:rsidRDefault="00AF1D72" w:rsidP="004E54CC">
            <w:pPr>
              <w:tabs>
                <w:tab w:val="center" w:pos="4513"/>
                <w:tab w:val="right" w:pos="9026"/>
              </w:tabs>
              <w:rPr>
                <w:color w:val="6F7C87"/>
                <w:sz w:val="24"/>
                <w:szCs w:val="24"/>
              </w:rPr>
            </w:pPr>
            <w:bookmarkStart w:id="0" w:name="1.1.1_General"/>
            <w:bookmarkStart w:id="1" w:name="_Toc886731"/>
            <w:bookmarkEnd w:id="0"/>
          </w:p>
          <w:p w14:paraId="40B3F116" w14:textId="24D6C13E" w:rsidR="00AF1D72" w:rsidRPr="007A68BB" w:rsidRDefault="00AF1D72" w:rsidP="004E54CC">
            <w:pPr>
              <w:tabs>
                <w:tab w:val="center" w:pos="4513"/>
                <w:tab w:val="right" w:pos="9026"/>
              </w:tabs>
              <w:rPr>
                <w:color w:val="004259"/>
                <w:sz w:val="28"/>
                <w:szCs w:val="28"/>
                <w:lang w:val="en-AU"/>
              </w:rPr>
            </w:pPr>
            <w:r w:rsidRPr="007A68BB">
              <w:rPr>
                <w:color w:val="004259"/>
                <w:sz w:val="28"/>
                <w:szCs w:val="28"/>
                <w:lang w:val="en-AU"/>
              </w:rPr>
              <w:t>AUSTROADS TECHNICAL SPECIFICATION ATS</w:t>
            </w:r>
            <w:r w:rsidR="001E7DF3">
              <w:rPr>
                <w:color w:val="004259"/>
                <w:sz w:val="28"/>
                <w:szCs w:val="28"/>
                <w:lang w:val="en-AU"/>
              </w:rPr>
              <w:t xml:space="preserve"> </w:t>
            </w:r>
            <w:r w:rsidR="00BB3819" w:rsidRPr="007A68BB">
              <w:rPr>
                <w:color w:val="004259"/>
                <w:sz w:val="28"/>
                <w:szCs w:val="28"/>
                <w:lang w:val="en-AU"/>
              </w:rPr>
              <w:t>56</w:t>
            </w:r>
            <w:r w:rsidR="00F72094" w:rsidRPr="007A68BB">
              <w:rPr>
                <w:color w:val="004259"/>
                <w:sz w:val="28"/>
                <w:szCs w:val="28"/>
                <w:lang w:val="en-AU"/>
              </w:rPr>
              <w:t>2</w:t>
            </w:r>
            <w:r w:rsidR="00BB3819" w:rsidRPr="007A68BB">
              <w:rPr>
                <w:color w:val="004259"/>
                <w:sz w:val="28"/>
                <w:szCs w:val="28"/>
                <w:lang w:val="en-AU"/>
              </w:rPr>
              <w:t>0</w:t>
            </w:r>
          </w:p>
          <w:p w14:paraId="48C93D8E" w14:textId="08185590" w:rsidR="00AF1D72" w:rsidRPr="000E598A" w:rsidRDefault="00D90960" w:rsidP="004E54CC">
            <w:pPr>
              <w:tabs>
                <w:tab w:val="center" w:pos="4513"/>
                <w:tab w:val="right" w:pos="9026"/>
              </w:tabs>
              <w:rPr>
                <w:b w:val="0"/>
                <w:bCs/>
                <w:color w:val="6F7C87"/>
                <w:sz w:val="32"/>
                <w:szCs w:val="32"/>
              </w:rPr>
            </w:pPr>
            <w:bookmarkStart w:id="2" w:name="_Hlk40804023"/>
            <w:r w:rsidRPr="000E598A">
              <w:rPr>
                <w:b w:val="0"/>
                <w:bCs/>
                <w:color w:val="004259"/>
                <w:sz w:val="32"/>
                <w:szCs w:val="32"/>
              </w:rPr>
              <w:t>Cold Applied Sealant Joints</w:t>
            </w:r>
            <w:bookmarkEnd w:id="2"/>
          </w:p>
        </w:tc>
        <w:tc>
          <w:tcPr>
            <w:tcW w:w="1366" w:type="dxa"/>
            <w:shd w:val="clear" w:color="auto" w:fill="auto"/>
            <w:vAlign w:val="bottom"/>
          </w:tcPr>
          <w:p w14:paraId="6B4B3E22" w14:textId="5D8903C4" w:rsidR="00AF1D72" w:rsidRPr="000E598A" w:rsidRDefault="00AF1D72" w:rsidP="00AF1D72">
            <w:pPr>
              <w:tabs>
                <w:tab w:val="center" w:pos="4513"/>
                <w:tab w:val="right" w:pos="9026"/>
              </w:tabs>
              <w:jc w:val="right"/>
              <w:rPr>
                <w:color w:val="B35E06"/>
                <w:sz w:val="16"/>
                <w:szCs w:val="16"/>
              </w:rPr>
            </w:pPr>
            <w:r w:rsidRPr="000E598A">
              <w:rPr>
                <w:noProof/>
                <w:color w:val="B35E06"/>
                <w:sz w:val="16"/>
                <w:szCs w:val="16"/>
                <w:lang w:val="en-AU" w:eastAsia="en-AU"/>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rsidRPr="000E598A"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3" w:name="1.1_Scope" w:displacedByCustomXml="next"/>
          <w:bookmarkEnd w:id="3" w:displacedByCustomXml="next"/>
          <w:sdt>
            <w:sdtPr>
              <w:rPr>
                <w:rFonts w:ascii="Times New Roman" w:hAnsi="Times New Roman" w:cs="Times New Roman"/>
                <w:bCs w:val="0"/>
                <w:caps w:val="0"/>
                <w:color w:val="auto"/>
                <w:sz w:val="22"/>
                <w:szCs w:val="22"/>
              </w:rPr>
              <w:id w:val="-889418727"/>
              <w:docPartObj>
                <w:docPartGallery w:val="Table of Contents"/>
                <w:docPartUnique/>
              </w:docPartObj>
            </w:sdtPr>
            <w:sdtEndPr>
              <w:rPr>
                <w:rFonts w:ascii="Arial" w:hAnsi="Arial" w:cs="Arial"/>
                <w:sz w:val="18"/>
                <w:szCs w:val="18"/>
              </w:rPr>
            </w:sdtEndPr>
            <w:sdtContent>
              <w:p w14:paraId="59357140" w14:textId="53951F61" w:rsidR="00AF1D72" w:rsidRPr="000E598A" w:rsidRDefault="0017539F" w:rsidP="00653881">
                <w:pPr>
                  <w:pStyle w:val="Heading1nonumber"/>
                </w:pPr>
                <w:r w:rsidRPr="000E598A">
                  <w:rPr>
                    <w:caps w:val="0"/>
                  </w:rPr>
                  <w:t>Contents</w:t>
                </w:r>
              </w:p>
              <w:p w14:paraId="4D983445" w14:textId="77049EC0" w:rsidR="00862CB3" w:rsidRDefault="00B23DC4">
                <w:pPr>
                  <w:pStyle w:val="TOC1"/>
                  <w:rPr>
                    <w:rFonts w:asciiTheme="minorHAnsi" w:eastAsiaTheme="minorEastAsia" w:hAnsiTheme="minorHAnsi" w:cstheme="minorBidi"/>
                    <w:b w:val="0"/>
                    <w:noProof/>
                    <w:sz w:val="22"/>
                    <w:szCs w:val="22"/>
                  </w:rPr>
                </w:pPr>
                <w:r w:rsidRPr="000E598A">
                  <w:rPr>
                    <w:b w:val="0"/>
                    <w:bCs/>
                    <w:sz w:val="20"/>
                    <w:szCs w:val="20"/>
                  </w:rPr>
                  <w:fldChar w:fldCharType="begin"/>
                </w:r>
                <w:r w:rsidRPr="000E598A">
                  <w:rPr>
                    <w:b w:val="0"/>
                    <w:bCs/>
                    <w:sz w:val="20"/>
                    <w:szCs w:val="20"/>
                  </w:rPr>
                  <w:instrText xml:space="preserve"> TOC \h \z \t "Heading 1,1,Heading 2,2,Annexure Heading,1" </w:instrText>
                </w:r>
                <w:r w:rsidRPr="000E598A">
                  <w:rPr>
                    <w:b w:val="0"/>
                    <w:bCs/>
                    <w:sz w:val="20"/>
                    <w:szCs w:val="20"/>
                  </w:rPr>
                  <w:fldChar w:fldCharType="separate"/>
                </w:r>
                <w:hyperlink w:anchor="_Toc116396980" w:history="1">
                  <w:r w:rsidR="00862CB3" w:rsidRPr="00E44F04">
                    <w:rPr>
                      <w:rStyle w:val="Hyperlink"/>
                      <w:noProof/>
                      <w14:scene3d>
                        <w14:camera w14:prst="orthographicFront"/>
                        <w14:lightRig w14:rig="threePt" w14:dir="t">
                          <w14:rot w14:lat="0" w14:lon="0" w14:rev="0"/>
                        </w14:lightRig>
                      </w14:scene3d>
                    </w:rPr>
                    <w:t>1.</w:t>
                  </w:r>
                  <w:r w:rsidR="00862CB3">
                    <w:rPr>
                      <w:rFonts w:asciiTheme="minorHAnsi" w:eastAsiaTheme="minorEastAsia" w:hAnsiTheme="minorHAnsi" w:cstheme="minorBidi"/>
                      <w:b w:val="0"/>
                      <w:noProof/>
                      <w:sz w:val="22"/>
                      <w:szCs w:val="22"/>
                    </w:rPr>
                    <w:tab/>
                  </w:r>
                  <w:r w:rsidR="00862CB3" w:rsidRPr="00E44F04">
                    <w:rPr>
                      <w:rStyle w:val="Hyperlink"/>
                      <w:noProof/>
                    </w:rPr>
                    <w:t>Scope</w:t>
                  </w:r>
                  <w:r w:rsidR="00862CB3">
                    <w:rPr>
                      <w:noProof/>
                      <w:webHidden/>
                    </w:rPr>
                    <w:tab/>
                  </w:r>
                  <w:r w:rsidR="00862CB3">
                    <w:rPr>
                      <w:noProof/>
                      <w:webHidden/>
                    </w:rPr>
                    <w:fldChar w:fldCharType="begin"/>
                  </w:r>
                  <w:r w:rsidR="00862CB3">
                    <w:rPr>
                      <w:noProof/>
                      <w:webHidden/>
                    </w:rPr>
                    <w:instrText xml:space="preserve"> PAGEREF _Toc116396980 \h </w:instrText>
                  </w:r>
                  <w:r w:rsidR="00862CB3">
                    <w:rPr>
                      <w:noProof/>
                      <w:webHidden/>
                    </w:rPr>
                  </w:r>
                  <w:r w:rsidR="00862CB3">
                    <w:rPr>
                      <w:noProof/>
                      <w:webHidden/>
                    </w:rPr>
                    <w:fldChar w:fldCharType="separate"/>
                  </w:r>
                  <w:r w:rsidR="00BE7CBA">
                    <w:rPr>
                      <w:noProof/>
                      <w:webHidden/>
                    </w:rPr>
                    <w:t>1</w:t>
                  </w:r>
                  <w:r w:rsidR="00862CB3">
                    <w:rPr>
                      <w:noProof/>
                      <w:webHidden/>
                    </w:rPr>
                    <w:fldChar w:fldCharType="end"/>
                  </w:r>
                </w:hyperlink>
              </w:p>
              <w:p w14:paraId="631A1EB8" w14:textId="6BCAA4E5" w:rsidR="00862CB3" w:rsidRDefault="00000000">
                <w:pPr>
                  <w:pStyle w:val="TOC1"/>
                  <w:rPr>
                    <w:rFonts w:asciiTheme="minorHAnsi" w:eastAsiaTheme="minorEastAsia" w:hAnsiTheme="minorHAnsi" w:cstheme="minorBidi"/>
                    <w:b w:val="0"/>
                    <w:noProof/>
                    <w:sz w:val="22"/>
                    <w:szCs w:val="22"/>
                  </w:rPr>
                </w:pPr>
                <w:hyperlink w:anchor="_Toc116396981" w:history="1">
                  <w:r w:rsidR="00862CB3" w:rsidRPr="00E44F04">
                    <w:rPr>
                      <w:rStyle w:val="Hyperlink"/>
                      <w:noProof/>
                      <w14:scene3d>
                        <w14:camera w14:prst="orthographicFront"/>
                        <w14:lightRig w14:rig="threePt" w14:dir="t">
                          <w14:rot w14:lat="0" w14:lon="0" w14:rev="0"/>
                        </w14:lightRig>
                      </w14:scene3d>
                    </w:rPr>
                    <w:t>2.</w:t>
                  </w:r>
                  <w:r w:rsidR="00862CB3">
                    <w:rPr>
                      <w:rFonts w:asciiTheme="minorHAnsi" w:eastAsiaTheme="minorEastAsia" w:hAnsiTheme="minorHAnsi" w:cstheme="minorBidi"/>
                      <w:b w:val="0"/>
                      <w:noProof/>
                      <w:sz w:val="22"/>
                      <w:szCs w:val="22"/>
                    </w:rPr>
                    <w:tab/>
                  </w:r>
                  <w:r w:rsidR="00862CB3" w:rsidRPr="00E44F04">
                    <w:rPr>
                      <w:rStyle w:val="Hyperlink"/>
                      <w:noProof/>
                    </w:rPr>
                    <w:t>Referenced Documents</w:t>
                  </w:r>
                  <w:r w:rsidR="00862CB3">
                    <w:rPr>
                      <w:noProof/>
                      <w:webHidden/>
                    </w:rPr>
                    <w:tab/>
                  </w:r>
                  <w:r w:rsidR="00862CB3">
                    <w:rPr>
                      <w:noProof/>
                      <w:webHidden/>
                    </w:rPr>
                    <w:fldChar w:fldCharType="begin"/>
                  </w:r>
                  <w:r w:rsidR="00862CB3">
                    <w:rPr>
                      <w:noProof/>
                      <w:webHidden/>
                    </w:rPr>
                    <w:instrText xml:space="preserve"> PAGEREF _Toc116396981 \h </w:instrText>
                  </w:r>
                  <w:r w:rsidR="00862CB3">
                    <w:rPr>
                      <w:noProof/>
                      <w:webHidden/>
                    </w:rPr>
                  </w:r>
                  <w:r w:rsidR="00862CB3">
                    <w:rPr>
                      <w:noProof/>
                      <w:webHidden/>
                    </w:rPr>
                    <w:fldChar w:fldCharType="separate"/>
                  </w:r>
                  <w:r w:rsidR="00BE7CBA">
                    <w:rPr>
                      <w:noProof/>
                      <w:webHidden/>
                    </w:rPr>
                    <w:t>2</w:t>
                  </w:r>
                  <w:r w:rsidR="00862CB3">
                    <w:rPr>
                      <w:noProof/>
                      <w:webHidden/>
                    </w:rPr>
                    <w:fldChar w:fldCharType="end"/>
                  </w:r>
                </w:hyperlink>
              </w:p>
              <w:p w14:paraId="7C196902" w14:textId="77397EB1" w:rsidR="00862CB3" w:rsidRDefault="00000000">
                <w:pPr>
                  <w:pStyle w:val="TOC1"/>
                  <w:rPr>
                    <w:rFonts w:asciiTheme="minorHAnsi" w:eastAsiaTheme="minorEastAsia" w:hAnsiTheme="minorHAnsi" w:cstheme="minorBidi"/>
                    <w:b w:val="0"/>
                    <w:noProof/>
                    <w:sz w:val="22"/>
                    <w:szCs w:val="22"/>
                  </w:rPr>
                </w:pPr>
                <w:hyperlink w:anchor="_Toc116396982" w:history="1">
                  <w:r w:rsidR="00862CB3" w:rsidRPr="00E44F04">
                    <w:rPr>
                      <w:rStyle w:val="Hyperlink"/>
                      <w:rFonts w:eastAsiaTheme="majorEastAsia"/>
                      <w:noProof/>
                      <w14:scene3d>
                        <w14:camera w14:prst="orthographicFront"/>
                        <w14:lightRig w14:rig="threePt" w14:dir="t">
                          <w14:rot w14:lat="0" w14:lon="0" w14:rev="0"/>
                        </w14:lightRig>
                      </w14:scene3d>
                    </w:rPr>
                    <w:t>3.</w:t>
                  </w:r>
                  <w:r w:rsidR="00862CB3">
                    <w:rPr>
                      <w:rFonts w:asciiTheme="minorHAnsi" w:eastAsiaTheme="minorEastAsia" w:hAnsiTheme="minorHAnsi" w:cstheme="minorBidi"/>
                      <w:b w:val="0"/>
                      <w:noProof/>
                      <w:sz w:val="22"/>
                      <w:szCs w:val="22"/>
                    </w:rPr>
                    <w:tab/>
                  </w:r>
                  <w:r w:rsidR="00862CB3" w:rsidRPr="00E44F04">
                    <w:rPr>
                      <w:rStyle w:val="Hyperlink"/>
                      <w:noProof/>
                    </w:rPr>
                    <w:t>Definitions</w:t>
                  </w:r>
                  <w:r w:rsidR="00862CB3">
                    <w:rPr>
                      <w:noProof/>
                      <w:webHidden/>
                    </w:rPr>
                    <w:tab/>
                  </w:r>
                  <w:r w:rsidR="00862CB3">
                    <w:rPr>
                      <w:noProof/>
                      <w:webHidden/>
                    </w:rPr>
                    <w:fldChar w:fldCharType="begin"/>
                  </w:r>
                  <w:r w:rsidR="00862CB3">
                    <w:rPr>
                      <w:noProof/>
                      <w:webHidden/>
                    </w:rPr>
                    <w:instrText xml:space="preserve"> PAGEREF _Toc116396982 \h </w:instrText>
                  </w:r>
                  <w:r w:rsidR="00862CB3">
                    <w:rPr>
                      <w:noProof/>
                      <w:webHidden/>
                    </w:rPr>
                  </w:r>
                  <w:r w:rsidR="00862CB3">
                    <w:rPr>
                      <w:noProof/>
                      <w:webHidden/>
                    </w:rPr>
                    <w:fldChar w:fldCharType="separate"/>
                  </w:r>
                  <w:r w:rsidR="00BE7CBA">
                    <w:rPr>
                      <w:noProof/>
                      <w:webHidden/>
                    </w:rPr>
                    <w:t>2</w:t>
                  </w:r>
                  <w:r w:rsidR="00862CB3">
                    <w:rPr>
                      <w:noProof/>
                      <w:webHidden/>
                    </w:rPr>
                    <w:fldChar w:fldCharType="end"/>
                  </w:r>
                </w:hyperlink>
              </w:p>
              <w:p w14:paraId="75DE6EB4" w14:textId="48487757" w:rsidR="00862CB3" w:rsidRDefault="00000000">
                <w:pPr>
                  <w:pStyle w:val="TOC1"/>
                  <w:rPr>
                    <w:rFonts w:asciiTheme="minorHAnsi" w:eastAsiaTheme="minorEastAsia" w:hAnsiTheme="minorHAnsi" w:cstheme="minorBidi"/>
                    <w:b w:val="0"/>
                    <w:noProof/>
                    <w:sz w:val="22"/>
                    <w:szCs w:val="22"/>
                  </w:rPr>
                </w:pPr>
                <w:hyperlink w:anchor="_Toc116396983" w:history="1">
                  <w:r w:rsidR="00862CB3" w:rsidRPr="00E44F04">
                    <w:rPr>
                      <w:rStyle w:val="Hyperlink"/>
                      <w:noProof/>
                      <w14:scene3d>
                        <w14:camera w14:prst="orthographicFront"/>
                        <w14:lightRig w14:rig="threePt" w14:dir="t">
                          <w14:rot w14:lat="0" w14:lon="0" w14:rev="0"/>
                        </w14:lightRig>
                      </w14:scene3d>
                    </w:rPr>
                    <w:t>4.</w:t>
                  </w:r>
                  <w:r w:rsidR="00862CB3">
                    <w:rPr>
                      <w:rFonts w:asciiTheme="minorHAnsi" w:eastAsiaTheme="minorEastAsia" w:hAnsiTheme="minorHAnsi" w:cstheme="minorBidi"/>
                      <w:b w:val="0"/>
                      <w:noProof/>
                      <w:sz w:val="22"/>
                      <w:szCs w:val="22"/>
                    </w:rPr>
                    <w:tab/>
                  </w:r>
                  <w:r w:rsidR="00862CB3" w:rsidRPr="00E44F04">
                    <w:rPr>
                      <w:rStyle w:val="Hyperlink"/>
                      <w:noProof/>
                    </w:rPr>
                    <w:t>Quality System Requirements</w:t>
                  </w:r>
                  <w:r w:rsidR="00862CB3">
                    <w:rPr>
                      <w:noProof/>
                      <w:webHidden/>
                    </w:rPr>
                    <w:tab/>
                  </w:r>
                  <w:r w:rsidR="00862CB3">
                    <w:rPr>
                      <w:noProof/>
                      <w:webHidden/>
                    </w:rPr>
                    <w:fldChar w:fldCharType="begin"/>
                  </w:r>
                  <w:r w:rsidR="00862CB3">
                    <w:rPr>
                      <w:noProof/>
                      <w:webHidden/>
                    </w:rPr>
                    <w:instrText xml:space="preserve"> PAGEREF _Toc116396983 \h </w:instrText>
                  </w:r>
                  <w:r w:rsidR="00862CB3">
                    <w:rPr>
                      <w:noProof/>
                      <w:webHidden/>
                    </w:rPr>
                  </w:r>
                  <w:r w:rsidR="00862CB3">
                    <w:rPr>
                      <w:noProof/>
                      <w:webHidden/>
                    </w:rPr>
                    <w:fldChar w:fldCharType="separate"/>
                  </w:r>
                  <w:r w:rsidR="00BE7CBA">
                    <w:rPr>
                      <w:noProof/>
                      <w:webHidden/>
                    </w:rPr>
                    <w:t>3</w:t>
                  </w:r>
                  <w:r w:rsidR="00862CB3">
                    <w:rPr>
                      <w:noProof/>
                      <w:webHidden/>
                    </w:rPr>
                    <w:fldChar w:fldCharType="end"/>
                  </w:r>
                </w:hyperlink>
              </w:p>
              <w:p w14:paraId="7149EEB1" w14:textId="153256D1" w:rsidR="00862CB3" w:rsidRDefault="00000000">
                <w:pPr>
                  <w:pStyle w:val="TOC1"/>
                  <w:rPr>
                    <w:rFonts w:asciiTheme="minorHAnsi" w:eastAsiaTheme="minorEastAsia" w:hAnsiTheme="minorHAnsi" w:cstheme="minorBidi"/>
                    <w:b w:val="0"/>
                    <w:noProof/>
                    <w:sz w:val="22"/>
                    <w:szCs w:val="22"/>
                  </w:rPr>
                </w:pPr>
                <w:hyperlink w:anchor="_Toc116396984" w:history="1">
                  <w:r w:rsidR="00862CB3" w:rsidRPr="00E44F04">
                    <w:rPr>
                      <w:rStyle w:val="Hyperlink"/>
                      <w:noProof/>
                      <w14:scene3d>
                        <w14:camera w14:prst="orthographicFront"/>
                        <w14:lightRig w14:rig="threePt" w14:dir="t">
                          <w14:rot w14:lat="0" w14:lon="0" w14:rev="0"/>
                        </w14:lightRig>
                      </w14:scene3d>
                    </w:rPr>
                    <w:t>5.</w:t>
                  </w:r>
                  <w:r w:rsidR="00862CB3">
                    <w:rPr>
                      <w:rFonts w:asciiTheme="minorHAnsi" w:eastAsiaTheme="minorEastAsia" w:hAnsiTheme="minorHAnsi" w:cstheme="minorBidi"/>
                      <w:b w:val="0"/>
                      <w:noProof/>
                      <w:sz w:val="22"/>
                      <w:szCs w:val="22"/>
                    </w:rPr>
                    <w:tab/>
                  </w:r>
                  <w:r w:rsidR="00862CB3" w:rsidRPr="00E44F04">
                    <w:rPr>
                      <w:rStyle w:val="Hyperlink"/>
                      <w:noProof/>
                    </w:rPr>
                    <w:t>Sealant Selection</w:t>
                  </w:r>
                  <w:r w:rsidR="00862CB3">
                    <w:rPr>
                      <w:noProof/>
                      <w:webHidden/>
                    </w:rPr>
                    <w:tab/>
                  </w:r>
                  <w:r w:rsidR="00862CB3">
                    <w:rPr>
                      <w:noProof/>
                      <w:webHidden/>
                    </w:rPr>
                    <w:fldChar w:fldCharType="begin"/>
                  </w:r>
                  <w:r w:rsidR="00862CB3">
                    <w:rPr>
                      <w:noProof/>
                      <w:webHidden/>
                    </w:rPr>
                    <w:instrText xml:space="preserve"> PAGEREF _Toc116396984 \h </w:instrText>
                  </w:r>
                  <w:r w:rsidR="00862CB3">
                    <w:rPr>
                      <w:noProof/>
                      <w:webHidden/>
                    </w:rPr>
                  </w:r>
                  <w:r w:rsidR="00862CB3">
                    <w:rPr>
                      <w:noProof/>
                      <w:webHidden/>
                    </w:rPr>
                    <w:fldChar w:fldCharType="separate"/>
                  </w:r>
                  <w:r w:rsidR="00BE7CBA">
                    <w:rPr>
                      <w:noProof/>
                      <w:webHidden/>
                    </w:rPr>
                    <w:t>4</w:t>
                  </w:r>
                  <w:r w:rsidR="00862CB3">
                    <w:rPr>
                      <w:noProof/>
                      <w:webHidden/>
                    </w:rPr>
                    <w:fldChar w:fldCharType="end"/>
                  </w:r>
                </w:hyperlink>
              </w:p>
              <w:p w14:paraId="3C56ED85" w14:textId="6CA2E5E7" w:rsidR="00862CB3" w:rsidRDefault="00000000">
                <w:pPr>
                  <w:pStyle w:val="TOC2"/>
                  <w:rPr>
                    <w:rFonts w:asciiTheme="minorHAnsi" w:eastAsiaTheme="minorEastAsia" w:hAnsiTheme="minorHAnsi" w:cstheme="minorBidi"/>
                    <w:bCs w:val="0"/>
                    <w:noProof/>
                    <w:sz w:val="22"/>
                    <w:szCs w:val="22"/>
                  </w:rPr>
                </w:pPr>
                <w:hyperlink w:anchor="_Toc116396985" w:history="1">
                  <w:r w:rsidR="00862CB3" w:rsidRPr="00E44F04">
                    <w:rPr>
                      <w:rStyle w:val="Hyperlink"/>
                      <w:noProof/>
                    </w:rPr>
                    <w:t>General</w:t>
                  </w:r>
                  <w:r w:rsidR="00862CB3">
                    <w:rPr>
                      <w:noProof/>
                      <w:webHidden/>
                    </w:rPr>
                    <w:tab/>
                  </w:r>
                  <w:r w:rsidR="00862CB3">
                    <w:rPr>
                      <w:noProof/>
                      <w:webHidden/>
                    </w:rPr>
                    <w:fldChar w:fldCharType="begin"/>
                  </w:r>
                  <w:r w:rsidR="00862CB3">
                    <w:rPr>
                      <w:noProof/>
                      <w:webHidden/>
                    </w:rPr>
                    <w:instrText xml:space="preserve"> PAGEREF _Toc116396985 \h </w:instrText>
                  </w:r>
                  <w:r w:rsidR="00862CB3">
                    <w:rPr>
                      <w:noProof/>
                      <w:webHidden/>
                    </w:rPr>
                  </w:r>
                  <w:r w:rsidR="00862CB3">
                    <w:rPr>
                      <w:noProof/>
                      <w:webHidden/>
                    </w:rPr>
                    <w:fldChar w:fldCharType="separate"/>
                  </w:r>
                  <w:r w:rsidR="00BE7CBA">
                    <w:rPr>
                      <w:noProof/>
                      <w:webHidden/>
                    </w:rPr>
                    <w:t>4</w:t>
                  </w:r>
                  <w:r w:rsidR="00862CB3">
                    <w:rPr>
                      <w:noProof/>
                      <w:webHidden/>
                    </w:rPr>
                    <w:fldChar w:fldCharType="end"/>
                  </w:r>
                </w:hyperlink>
              </w:p>
              <w:p w14:paraId="6DE2CC79" w14:textId="4A811D01" w:rsidR="00862CB3" w:rsidRDefault="00000000">
                <w:pPr>
                  <w:pStyle w:val="TOC1"/>
                  <w:rPr>
                    <w:rFonts w:asciiTheme="minorHAnsi" w:eastAsiaTheme="minorEastAsia" w:hAnsiTheme="minorHAnsi" w:cstheme="minorBidi"/>
                    <w:b w:val="0"/>
                    <w:noProof/>
                    <w:sz w:val="22"/>
                    <w:szCs w:val="22"/>
                  </w:rPr>
                </w:pPr>
                <w:hyperlink w:anchor="_Toc116396986" w:history="1">
                  <w:r w:rsidR="00862CB3" w:rsidRPr="00E44F04">
                    <w:rPr>
                      <w:rStyle w:val="Hyperlink"/>
                      <w:noProof/>
                      <w14:scene3d>
                        <w14:camera w14:prst="orthographicFront"/>
                        <w14:lightRig w14:rig="threePt" w14:dir="t">
                          <w14:rot w14:lat="0" w14:lon="0" w14:rev="0"/>
                        </w14:lightRig>
                      </w14:scene3d>
                    </w:rPr>
                    <w:t>6.</w:t>
                  </w:r>
                  <w:r w:rsidR="00862CB3">
                    <w:rPr>
                      <w:rFonts w:asciiTheme="minorHAnsi" w:eastAsiaTheme="minorEastAsia" w:hAnsiTheme="minorHAnsi" w:cstheme="minorBidi"/>
                      <w:b w:val="0"/>
                      <w:noProof/>
                      <w:sz w:val="22"/>
                      <w:szCs w:val="22"/>
                    </w:rPr>
                    <w:tab/>
                  </w:r>
                  <w:r w:rsidR="00862CB3" w:rsidRPr="00E44F04">
                    <w:rPr>
                      <w:rStyle w:val="Hyperlink"/>
                      <w:noProof/>
                    </w:rPr>
                    <w:t>Materials</w:t>
                  </w:r>
                  <w:r w:rsidR="00862CB3">
                    <w:rPr>
                      <w:noProof/>
                      <w:webHidden/>
                    </w:rPr>
                    <w:tab/>
                  </w:r>
                  <w:r w:rsidR="00862CB3">
                    <w:rPr>
                      <w:noProof/>
                      <w:webHidden/>
                    </w:rPr>
                    <w:fldChar w:fldCharType="begin"/>
                  </w:r>
                  <w:r w:rsidR="00862CB3">
                    <w:rPr>
                      <w:noProof/>
                      <w:webHidden/>
                    </w:rPr>
                    <w:instrText xml:space="preserve"> PAGEREF _Toc116396986 \h </w:instrText>
                  </w:r>
                  <w:r w:rsidR="00862CB3">
                    <w:rPr>
                      <w:noProof/>
                      <w:webHidden/>
                    </w:rPr>
                  </w:r>
                  <w:r w:rsidR="00862CB3">
                    <w:rPr>
                      <w:noProof/>
                      <w:webHidden/>
                    </w:rPr>
                    <w:fldChar w:fldCharType="separate"/>
                  </w:r>
                  <w:r w:rsidR="00BE7CBA">
                    <w:rPr>
                      <w:noProof/>
                      <w:webHidden/>
                    </w:rPr>
                    <w:t>4</w:t>
                  </w:r>
                  <w:r w:rsidR="00862CB3">
                    <w:rPr>
                      <w:noProof/>
                      <w:webHidden/>
                    </w:rPr>
                    <w:fldChar w:fldCharType="end"/>
                  </w:r>
                </w:hyperlink>
              </w:p>
              <w:p w14:paraId="30CB30E6" w14:textId="771E2FC0" w:rsidR="00862CB3" w:rsidRDefault="00000000">
                <w:pPr>
                  <w:pStyle w:val="TOC2"/>
                  <w:rPr>
                    <w:rFonts w:asciiTheme="minorHAnsi" w:eastAsiaTheme="minorEastAsia" w:hAnsiTheme="minorHAnsi" w:cstheme="minorBidi"/>
                    <w:bCs w:val="0"/>
                    <w:noProof/>
                    <w:sz w:val="22"/>
                    <w:szCs w:val="22"/>
                  </w:rPr>
                </w:pPr>
                <w:hyperlink w:anchor="_Toc116396987" w:history="1">
                  <w:r w:rsidR="00862CB3" w:rsidRPr="00E44F04">
                    <w:rPr>
                      <w:rStyle w:val="Hyperlink"/>
                      <w:noProof/>
                    </w:rPr>
                    <w:t>Sealant – Classification</w:t>
                  </w:r>
                  <w:r w:rsidR="00862CB3">
                    <w:rPr>
                      <w:noProof/>
                      <w:webHidden/>
                    </w:rPr>
                    <w:tab/>
                  </w:r>
                  <w:r w:rsidR="00862CB3">
                    <w:rPr>
                      <w:noProof/>
                      <w:webHidden/>
                    </w:rPr>
                    <w:fldChar w:fldCharType="begin"/>
                  </w:r>
                  <w:r w:rsidR="00862CB3">
                    <w:rPr>
                      <w:noProof/>
                      <w:webHidden/>
                    </w:rPr>
                    <w:instrText xml:space="preserve"> PAGEREF _Toc116396987 \h </w:instrText>
                  </w:r>
                  <w:r w:rsidR="00862CB3">
                    <w:rPr>
                      <w:noProof/>
                      <w:webHidden/>
                    </w:rPr>
                  </w:r>
                  <w:r w:rsidR="00862CB3">
                    <w:rPr>
                      <w:noProof/>
                      <w:webHidden/>
                    </w:rPr>
                    <w:fldChar w:fldCharType="separate"/>
                  </w:r>
                  <w:r w:rsidR="00BE7CBA">
                    <w:rPr>
                      <w:noProof/>
                      <w:webHidden/>
                    </w:rPr>
                    <w:t>4</w:t>
                  </w:r>
                  <w:r w:rsidR="00862CB3">
                    <w:rPr>
                      <w:noProof/>
                      <w:webHidden/>
                    </w:rPr>
                    <w:fldChar w:fldCharType="end"/>
                  </w:r>
                </w:hyperlink>
              </w:p>
              <w:p w14:paraId="7E1FB39A" w14:textId="09A2A8ED" w:rsidR="00862CB3" w:rsidRDefault="00000000">
                <w:pPr>
                  <w:pStyle w:val="TOC2"/>
                  <w:rPr>
                    <w:rFonts w:asciiTheme="minorHAnsi" w:eastAsiaTheme="minorEastAsia" w:hAnsiTheme="minorHAnsi" w:cstheme="minorBidi"/>
                    <w:bCs w:val="0"/>
                    <w:noProof/>
                    <w:sz w:val="22"/>
                    <w:szCs w:val="22"/>
                  </w:rPr>
                </w:pPr>
                <w:hyperlink w:anchor="_Toc116396988" w:history="1">
                  <w:r w:rsidR="00862CB3" w:rsidRPr="00E44F04">
                    <w:rPr>
                      <w:rStyle w:val="Hyperlink"/>
                      <w:noProof/>
                    </w:rPr>
                    <w:t>Sealant – General Properties</w:t>
                  </w:r>
                  <w:r w:rsidR="00862CB3">
                    <w:rPr>
                      <w:noProof/>
                      <w:webHidden/>
                    </w:rPr>
                    <w:tab/>
                  </w:r>
                  <w:r w:rsidR="00862CB3">
                    <w:rPr>
                      <w:noProof/>
                      <w:webHidden/>
                    </w:rPr>
                    <w:fldChar w:fldCharType="begin"/>
                  </w:r>
                  <w:r w:rsidR="00862CB3">
                    <w:rPr>
                      <w:noProof/>
                      <w:webHidden/>
                    </w:rPr>
                    <w:instrText xml:space="preserve"> PAGEREF _Toc116396988 \h </w:instrText>
                  </w:r>
                  <w:r w:rsidR="00862CB3">
                    <w:rPr>
                      <w:noProof/>
                      <w:webHidden/>
                    </w:rPr>
                  </w:r>
                  <w:r w:rsidR="00862CB3">
                    <w:rPr>
                      <w:noProof/>
                      <w:webHidden/>
                    </w:rPr>
                    <w:fldChar w:fldCharType="separate"/>
                  </w:r>
                  <w:r w:rsidR="00BE7CBA">
                    <w:rPr>
                      <w:noProof/>
                      <w:webHidden/>
                    </w:rPr>
                    <w:t>5</w:t>
                  </w:r>
                  <w:r w:rsidR="00862CB3">
                    <w:rPr>
                      <w:noProof/>
                      <w:webHidden/>
                    </w:rPr>
                    <w:fldChar w:fldCharType="end"/>
                  </w:r>
                </w:hyperlink>
              </w:p>
              <w:p w14:paraId="213A2929" w14:textId="2E1C53E3" w:rsidR="00862CB3" w:rsidRDefault="00000000">
                <w:pPr>
                  <w:pStyle w:val="TOC2"/>
                  <w:rPr>
                    <w:rFonts w:asciiTheme="minorHAnsi" w:eastAsiaTheme="minorEastAsia" w:hAnsiTheme="minorHAnsi" w:cstheme="minorBidi"/>
                    <w:bCs w:val="0"/>
                    <w:noProof/>
                    <w:sz w:val="22"/>
                    <w:szCs w:val="22"/>
                  </w:rPr>
                </w:pPr>
                <w:hyperlink w:anchor="_Toc116396989" w:history="1">
                  <w:r w:rsidR="00862CB3" w:rsidRPr="00E44F04">
                    <w:rPr>
                      <w:rStyle w:val="Hyperlink"/>
                      <w:noProof/>
                    </w:rPr>
                    <w:t>Sealant – General Performance Requirements</w:t>
                  </w:r>
                  <w:r w:rsidR="00862CB3">
                    <w:rPr>
                      <w:noProof/>
                      <w:webHidden/>
                    </w:rPr>
                    <w:tab/>
                  </w:r>
                  <w:r w:rsidR="00862CB3">
                    <w:rPr>
                      <w:noProof/>
                      <w:webHidden/>
                    </w:rPr>
                    <w:fldChar w:fldCharType="begin"/>
                  </w:r>
                  <w:r w:rsidR="00862CB3">
                    <w:rPr>
                      <w:noProof/>
                      <w:webHidden/>
                    </w:rPr>
                    <w:instrText xml:space="preserve"> PAGEREF _Toc116396989 \h </w:instrText>
                  </w:r>
                  <w:r w:rsidR="00862CB3">
                    <w:rPr>
                      <w:noProof/>
                      <w:webHidden/>
                    </w:rPr>
                  </w:r>
                  <w:r w:rsidR="00862CB3">
                    <w:rPr>
                      <w:noProof/>
                      <w:webHidden/>
                    </w:rPr>
                    <w:fldChar w:fldCharType="separate"/>
                  </w:r>
                  <w:r w:rsidR="00BE7CBA">
                    <w:rPr>
                      <w:noProof/>
                      <w:webHidden/>
                    </w:rPr>
                    <w:t>5</w:t>
                  </w:r>
                  <w:r w:rsidR="00862CB3">
                    <w:rPr>
                      <w:noProof/>
                      <w:webHidden/>
                    </w:rPr>
                    <w:fldChar w:fldCharType="end"/>
                  </w:r>
                </w:hyperlink>
              </w:p>
              <w:p w14:paraId="4F49DA71" w14:textId="5DC8CFE5" w:rsidR="00862CB3" w:rsidRDefault="00000000">
                <w:pPr>
                  <w:pStyle w:val="TOC2"/>
                  <w:rPr>
                    <w:rFonts w:asciiTheme="minorHAnsi" w:eastAsiaTheme="minorEastAsia" w:hAnsiTheme="minorHAnsi" w:cstheme="minorBidi"/>
                    <w:bCs w:val="0"/>
                    <w:noProof/>
                    <w:sz w:val="22"/>
                    <w:szCs w:val="22"/>
                  </w:rPr>
                </w:pPr>
                <w:hyperlink w:anchor="_Toc116396990" w:history="1">
                  <w:r w:rsidR="00862CB3" w:rsidRPr="00E44F04">
                    <w:rPr>
                      <w:rStyle w:val="Hyperlink"/>
                      <w:noProof/>
                    </w:rPr>
                    <w:t>Sealant – Specific Performance Requirements</w:t>
                  </w:r>
                  <w:r w:rsidR="00862CB3">
                    <w:rPr>
                      <w:noProof/>
                      <w:webHidden/>
                    </w:rPr>
                    <w:tab/>
                  </w:r>
                  <w:r w:rsidR="00862CB3">
                    <w:rPr>
                      <w:noProof/>
                      <w:webHidden/>
                    </w:rPr>
                    <w:fldChar w:fldCharType="begin"/>
                  </w:r>
                  <w:r w:rsidR="00862CB3">
                    <w:rPr>
                      <w:noProof/>
                      <w:webHidden/>
                    </w:rPr>
                    <w:instrText xml:space="preserve"> PAGEREF _Toc116396990 \h </w:instrText>
                  </w:r>
                  <w:r w:rsidR="00862CB3">
                    <w:rPr>
                      <w:noProof/>
                      <w:webHidden/>
                    </w:rPr>
                  </w:r>
                  <w:r w:rsidR="00862CB3">
                    <w:rPr>
                      <w:noProof/>
                      <w:webHidden/>
                    </w:rPr>
                    <w:fldChar w:fldCharType="separate"/>
                  </w:r>
                  <w:r w:rsidR="00BE7CBA">
                    <w:rPr>
                      <w:noProof/>
                      <w:webHidden/>
                    </w:rPr>
                    <w:t>6</w:t>
                  </w:r>
                  <w:r w:rsidR="00862CB3">
                    <w:rPr>
                      <w:noProof/>
                      <w:webHidden/>
                    </w:rPr>
                    <w:fldChar w:fldCharType="end"/>
                  </w:r>
                </w:hyperlink>
              </w:p>
              <w:p w14:paraId="5F4E0501" w14:textId="37221881" w:rsidR="00862CB3" w:rsidRDefault="00000000">
                <w:pPr>
                  <w:pStyle w:val="TOC1"/>
                  <w:rPr>
                    <w:rFonts w:asciiTheme="minorHAnsi" w:eastAsiaTheme="minorEastAsia" w:hAnsiTheme="minorHAnsi" w:cstheme="minorBidi"/>
                    <w:b w:val="0"/>
                    <w:noProof/>
                    <w:sz w:val="22"/>
                    <w:szCs w:val="22"/>
                  </w:rPr>
                </w:pPr>
                <w:hyperlink w:anchor="_Toc116396991" w:history="1">
                  <w:r w:rsidR="00862CB3" w:rsidRPr="00E44F04">
                    <w:rPr>
                      <w:rStyle w:val="Hyperlink"/>
                      <w:noProof/>
                      <w14:scene3d>
                        <w14:camera w14:prst="orthographicFront"/>
                        <w14:lightRig w14:rig="threePt" w14:dir="t">
                          <w14:rot w14:lat="0" w14:lon="0" w14:rev="0"/>
                        </w14:lightRig>
                      </w14:scene3d>
                    </w:rPr>
                    <w:t>7.</w:t>
                  </w:r>
                  <w:r w:rsidR="00862CB3">
                    <w:rPr>
                      <w:rFonts w:asciiTheme="minorHAnsi" w:eastAsiaTheme="minorEastAsia" w:hAnsiTheme="minorHAnsi" w:cstheme="minorBidi"/>
                      <w:b w:val="0"/>
                      <w:noProof/>
                      <w:sz w:val="22"/>
                      <w:szCs w:val="22"/>
                    </w:rPr>
                    <w:tab/>
                  </w:r>
                  <w:r w:rsidR="00862CB3" w:rsidRPr="00E44F04">
                    <w:rPr>
                      <w:rStyle w:val="Hyperlink"/>
                      <w:noProof/>
                    </w:rPr>
                    <w:t>Sealant Testing</w:t>
                  </w:r>
                  <w:r w:rsidR="00862CB3">
                    <w:rPr>
                      <w:noProof/>
                      <w:webHidden/>
                    </w:rPr>
                    <w:tab/>
                  </w:r>
                  <w:r w:rsidR="00862CB3">
                    <w:rPr>
                      <w:noProof/>
                      <w:webHidden/>
                    </w:rPr>
                    <w:fldChar w:fldCharType="begin"/>
                  </w:r>
                  <w:r w:rsidR="00862CB3">
                    <w:rPr>
                      <w:noProof/>
                      <w:webHidden/>
                    </w:rPr>
                    <w:instrText xml:space="preserve"> PAGEREF _Toc116396991 \h </w:instrText>
                  </w:r>
                  <w:r w:rsidR="00862CB3">
                    <w:rPr>
                      <w:noProof/>
                      <w:webHidden/>
                    </w:rPr>
                  </w:r>
                  <w:r w:rsidR="00862CB3">
                    <w:rPr>
                      <w:noProof/>
                      <w:webHidden/>
                    </w:rPr>
                    <w:fldChar w:fldCharType="separate"/>
                  </w:r>
                  <w:r w:rsidR="00BE7CBA">
                    <w:rPr>
                      <w:noProof/>
                      <w:webHidden/>
                    </w:rPr>
                    <w:t>6</w:t>
                  </w:r>
                  <w:r w:rsidR="00862CB3">
                    <w:rPr>
                      <w:noProof/>
                      <w:webHidden/>
                    </w:rPr>
                    <w:fldChar w:fldCharType="end"/>
                  </w:r>
                </w:hyperlink>
              </w:p>
              <w:p w14:paraId="4F22DD0A" w14:textId="66AD396D" w:rsidR="00862CB3" w:rsidRDefault="00000000">
                <w:pPr>
                  <w:pStyle w:val="TOC2"/>
                  <w:rPr>
                    <w:rFonts w:asciiTheme="minorHAnsi" w:eastAsiaTheme="minorEastAsia" w:hAnsiTheme="minorHAnsi" w:cstheme="minorBidi"/>
                    <w:bCs w:val="0"/>
                    <w:noProof/>
                    <w:sz w:val="22"/>
                    <w:szCs w:val="22"/>
                  </w:rPr>
                </w:pPr>
                <w:hyperlink w:anchor="_Toc116396992" w:history="1">
                  <w:r w:rsidR="00862CB3" w:rsidRPr="00E44F04">
                    <w:rPr>
                      <w:rStyle w:val="Hyperlink"/>
                      <w:noProof/>
                    </w:rPr>
                    <w:t>Testing Laboratories</w:t>
                  </w:r>
                  <w:r w:rsidR="00862CB3">
                    <w:rPr>
                      <w:noProof/>
                      <w:webHidden/>
                    </w:rPr>
                    <w:tab/>
                  </w:r>
                  <w:r w:rsidR="00862CB3">
                    <w:rPr>
                      <w:noProof/>
                      <w:webHidden/>
                    </w:rPr>
                    <w:fldChar w:fldCharType="begin"/>
                  </w:r>
                  <w:r w:rsidR="00862CB3">
                    <w:rPr>
                      <w:noProof/>
                      <w:webHidden/>
                    </w:rPr>
                    <w:instrText xml:space="preserve"> PAGEREF _Toc116396992 \h </w:instrText>
                  </w:r>
                  <w:r w:rsidR="00862CB3">
                    <w:rPr>
                      <w:noProof/>
                      <w:webHidden/>
                    </w:rPr>
                  </w:r>
                  <w:r w:rsidR="00862CB3">
                    <w:rPr>
                      <w:noProof/>
                      <w:webHidden/>
                    </w:rPr>
                    <w:fldChar w:fldCharType="separate"/>
                  </w:r>
                  <w:r w:rsidR="00BE7CBA">
                    <w:rPr>
                      <w:noProof/>
                      <w:webHidden/>
                    </w:rPr>
                    <w:t>6</w:t>
                  </w:r>
                  <w:r w:rsidR="00862CB3">
                    <w:rPr>
                      <w:noProof/>
                      <w:webHidden/>
                    </w:rPr>
                    <w:fldChar w:fldCharType="end"/>
                  </w:r>
                </w:hyperlink>
              </w:p>
              <w:p w14:paraId="0786B522" w14:textId="5DE7C3B4" w:rsidR="00862CB3" w:rsidRDefault="00000000">
                <w:pPr>
                  <w:pStyle w:val="TOC2"/>
                  <w:rPr>
                    <w:rFonts w:asciiTheme="minorHAnsi" w:eastAsiaTheme="minorEastAsia" w:hAnsiTheme="minorHAnsi" w:cstheme="minorBidi"/>
                    <w:bCs w:val="0"/>
                    <w:noProof/>
                    <w:sz w:val="22"/>
                    <w:szCs w:val="22"/>
                  </w:rPr>
                </w:pPr>
                <w:hyperlink w:anchor="_Toc116396993" w:history="1">
                  <w:r w:rsidR="00862CB3" w:rsidRPr="00E44F04">
                    <w:rPr>
                      <w:rStyle w:val="Hyperlink"/>
                      <w:noProof/>
                    </w:rPr>
                    <w:t>Type Testing and Product Approval</w:t>
                  </w:r>
                  <w:r w:rsidR="00862CB3">
                    <w:rPr>
                      <w:noProof/>
                      <w:webHidden/>
                    </w:rPr>
                    <w:tab/>
                  </w:r>
                  <w:r w:rsidR="00862CB3">
                    <w:rPr>
                      <w:noProof/>
                      <w:webHidden/>
                    </w:rPr>
                    <w:fldChar w:fldCharType="begin"/>
                  </w:r>
                  <w:r w:rsidR="00862CB3">
                    <w:rPr>
                      <w:noProof/>
                      <w:webHidden/>
                    </w:rPr>
                    <w:instrText xml:space="preserve"> PAGEREF _Toc116396993 \h </w:instrText>
                  </w:r>
                  <w:r w:rsidR="00862CB3">
                    <w:rPr>
                      <w:noProof/>
                      <w:webHidden/>
                    </w:rPr>
                  </w:r>
                  <w:r w:rsidR="00862CB3">
                    <w:rPr>
                      <w:noProof/>
                      <w:webHidden/>
                    </w:rPr>
                    <w:fldChar w:fldCharType="separate"/>
                  </w:r>
                  <w:r w:rsidR="00BE7CBA">
                    <w:rPr>
                      <w:noProof/>
                      <w:webHidden/>
                    </w:rPr>
                    <w:t>6</w:t>
                  </w:r>
                  <w:r w:rsidR="00862CB3">
                    <w:rPr>
                      <w:noProof/>
                      <w:webHidden/>
                    </w:rPr>
                    <w:fldChar w:fldCharType="end"/>
                  </w:r>
                </w:hyperlink>
              </w:p>
              <w:p w14:paraId="55DF8D6D" w14:textId="3DBE5F87" w:rsidR="00862CB3" w:rsidRDefault="00000000">
                <w:pPr>
                  <w:pStyle w:val="TOC2"/>
                  <w:rPr>
                    <w:rFonts w:asciiTheme="minorHAnsi" w:eastAsiaTheme="minorEastAsia" w:hAnsiTheme="minorHAnsi" w:cstheme="minorBidi"/>
                    <w:bCs w:val="0"/>
                    <w:noProof/>
                    <w:sz w:val="22"/>
                    <w:szCs w:val="22"/>
                  </w:rPr>
                </w:pPr>
                <w:hyperlink w:anchor="_Toc116396994" w:history="1">
                  <w:r w:rsidR="00862CB3" w:rsidRPr="00E44F04">
                    <w:rPr>
                      <w:rStyle w:val="Hyperlink"/>
                      <w:noProof/>
                    </w:rPr>
                    <w:t>Production Testing</w:t>
                  </w:r>
                  <w:r w:rsidR="00862CB3">
                    <w:rPr>
                      <w:noProof/>
                      <w:webHidden/>
                    </w:rPr>
                    <w:tab/>
                  </w:r>
                  <w:r w:rsidR="00862CB3">
                    <w:rPr>
                      <w:noProof/>
                      <w:webHidden/>
                    </w:rPr>
                    <w:fldChar w:fldCharType="begin"/>
                  </w:r>
                  <w:r w:rsidR="00862CB3">
                    <w:rPr>
                      <w:noProof/>
                      <w:webHidden/>
                    </w:rPr>
                    <w:instrText xml:space="preserve"> PAGEREF _Toc116396994 \h </w:instrText>
                  </w:r>
                  <w:r w:rsidR="00862CB3">
                    <w:rPr>
                      <w:noProof/>
                      <w:webHidden/>
                    </w:rPr>
                  </w:r>
                  <w:r w:rsidR="00862CB3">
                    <w:rPr>
                      <w:noProof/>
                      <w:webHidden/>
                    </w:rPr>
                    <w:fldChar w:fldCharType="separate"/>
                  </w:r>
                  <w:r w:rsidR="00BE7CBA">
                    <w:rPr>
                      <w:noProof/>
                      <w:webHidden/>
                    </w:rPr>
                    <w:t>7</w:t>
                  </w:r>
                  <w:r w:rsidR="00862CB3">
                    <w:rPr>
                      <w:noProof/>
                      <w:webHidden/>
                    </w:rPr>
                    <w:fldChar w:fldCharType="end"/>
                  </w:r>
                </w:hyperlink>
              </w:p>
              <w:p w14:paraId="7C4171A6" w14:textId="6E527BB6" w:rsidR="00862CB3" w:rsidRDefault="00000000">
                <w:pPr>
                  <w:pStyle w:val="TOC1"/>
                  <w:rPr>
                    <w:rFonts w:asciiTheme="minorHAnsi" w:eastAsiaTheme="minorEastAsia" w:hAnsiTheme="minorHAnsi" w:cstheme="minorBidi"/>
                    <w:b w:val="0"/>
                    <w:noProof/>
                    <w:sz w:val="22"/>
                    <w:szCs w:val="22"/>
                  </w:rPr>
                </w:pPr>
                <w:hyperlink w:anchor="_Toc116396995" w:history="1">
                  <w:r w:rsidR="00862CB3" w:rsidRPr="00E44F04">
                    <w:rPr>
                      <w:rStyle w:val="Hyperlink"/>
                      <w:noProof/>
                      <w14:scene3d>
                        <w14:camera w14:prst="orthographicFront"/>
                        <w14:lightRig w14:rig="threePt" w14:dir="t">
                          <w14:rot w14:lat="0" w14:lon="0" w14:rev="0"/>
                        </w14:lightRig>
                      </w14:scene3d>
                    </w:rPr>
                    <w:t>8.</w:t>
                  </w:r>
                  <w:r w:rsidR="00862CB3">
                    <w:rPr>
                      <w:rFonts w:asciiTheme="minorHAnsi" w:eastAsiaTheme="minorEastAsia" w:hAnsiTheme="minorHAnsi" w:cstheme="minorBidi"/>
                      <w:b w:val="0"/>
                      <w:noProof/>
                      <w:sz w:val="22"/>
                      <w:szCs w:val="22"/>
                    </w:rPr>
                    <w:tab/>
                  </w:r>
                  <w:r w:rsidR="00862CB3" w:rsidRPr="00E44F04">
                    <w:rPr>
                      <w:rStyle w:val="Hyperlink"/>
                      <w:noProof/>
                    </w:rPr>
                    <w:t>Installation</w:t>
                  </w:r>
                  <w:r w:rsidR="00862CB3">
                    <w:rPr>
                      <w:noProof/>
                      <w:webHidden/>
                    </w:rPr>
                    <w:tab/>
                  </w:r>
                  <w:r w:rsidR="00862CB3">
                    <w:rPr>
                      <w:noProof/>
                      <w:webHidden/>
                    </w:rPr>
                    <w:fldChar w:fldCharType="begin"/>
                  </w:r>
                  <w:r w:rsidR="00862CB3">
                    <w:rPr>
                      <w:noProof/>
                      <w:webHidden/>
                    </w:rPr>
                    <w:instrText xml:space="preserve"> PAGEREF _Toc116396995 \h </w:instrText>
                  </w:r>
                  <w:r w:rsidR="00862CB3">
                    <w:rPr>
                      <w:noProof/>
                      <w:webHidden/>
                    </w:rPr>
                  </w:r>
                  <w:r w:rsidR="00862CB3">
                    <w:rPr>
                      <w:noProof/>
                      <w:webHidden/>
                    </w:rPr>
                    <w:fldChar w:fldCharType="separate"/>
                  </w:r>
                  <w:r w:rsidR="00BE7CBA">
                    <w:rPr>
                      <w:noProof/>
                      <w:webHidden/>
                    </w:rPr>
                    <w:t>7</w:t>
                  </w:r>
                  <w:r w:rsidR="00862CB3">
                    <w:rPr>
                      <w:noProof/>
                      <w:webHidden/>
                    </w:rPr>
                    <w:fldChar w:fldCharType="end"/>
                  </w:r>
                </w:hyperlink>
              </w:p>
              <w:p w14:paraId="75B1F273" w14:textId="480F5979" w:rsidR="00862CB3" w:rsidRDefault="00000000">
                <w:pPr>
                  <w:pStyle w:val="TOC2"/>
                  <w:rPr>
                    <w:rFonts w:asciiTheme="minorHAnsi" w:eastAsiaTheme="minorEastAsia" w:hAnsiTheme="minorHAnsi" w:cstheme="minorBidi"/>
                    <w:bCs w:val="0"/>
                    <w:noProof/>
                    <w:sz w:val="22"/>
                    <w:szCs w:val="22"/>
                  </w:rPr>
                </w:pPr>
                <w:hyperlink w:anchor="_Toc116396996" w:history="1">
                  <w:r w:rsidR="00862CB3" w:rsidRPr="00E44F04">
                    <w:rPr>
                      <w:rStyle w:val="Hyperlink"/>
                      <w:noProof/>
                    </w:rPr>
                    <w:t>General</w:t>
                  </w:r>
                  <w:r w:rsidR="00862CB3">
                    <w:rPr>
                      <w:noProof/>
                      <w:webHidden/>
                    </w:rPr>
                    <w:tab/>
                  </w:r>
                  <w:r w:rsidR="00862CB3">
                    <w:rPr>
                      <w:noProof/>
                      <w:webHidden/>
                    </w:rPr>
                    <w:fldChar w:fldCharType="begin"/>
                  </w:r>
                  <w:r w:rsidR="00862CB3">
                    <w:rPr>
                      <w:noProof/>
                      <w:webHidden/>
                    </w:rPr>
                    <w:instrText xml:space="preserve"> PAGEREF _Toc116396996 \h </w:instrText>
                  </w:r>
                  <w:r w:rsidR="00862CB3">
                    <w:rPr>
                      <w:noProof/>
                      <w:webHidden/>
                    </w:rPr>
                  </w:r>
                  <w:r w:rsidR="00862CB3">
                    <w:rPr>
                      <w:noProof/>
                      <w:webHidden/>
                    </w:rPr>
                    <w:fldChar w:fldCharType="separate"/>
                  </w:r>
                  <w:r w:rsidR="00BE7CBA">
                    <w:rPr>
                      <w:noProof/>
                      <w:webHidden/>
                    </w:rPr>
                    <w:t>7</w:t>
                  </w:r>
                  <w:r w:rsidR="00862CB3">
                    <w:rPr>
                      <w:noProof/>
                      <w:webHidden/>
                    </w:rPr>
                    <w:fldChar w:fldCharType="end"/>
                  </w:r>
                </w:hyperlink>
              </w:p>
              <w:p w14:paraId="46AF1D70" w14:textId="6B1E00A7" w:rsidR="00862CB3" w:rsidRDefault="00000000">
                <w:pPr>
                  <w:pStyle w:val="TOC2"/>
                  <w:rPr>
                    <w:rFonts w:asciiTheme="minorHAnsi" w:eastAsiaTheme="minorEastAsia" w:hAnsiTheme="minorHAnsi" w:cstheme="minorBidi"/>
                    <w:bCs w:val="0"/>
                    <w:noProof/>
                    <w:sz w:val="22"/>
                    <w:szCs w:val="22"/>
                  </w:rPr>
                </w:pPr>
                <w:hyperlink w:anchor="_Toc116396997" w:history="1">
                  <w:r w:rsidR="00862CB3" w:rsidRPr="00E44F04">
                    <w:rPr>
                      <w:rStyle w:val="Hyperlink"/>
                      <w:noProof/>
                    </w:rPr>
                    <w:t>Joint Gap</w:t>
                  </w:r>
                  <w:r w:rsidR="00862CB3">
                    <w:rPr>
                      <w:noProof/>
                      <w:webHidden/>
                    </w:rPr>
                    <w:tab/>
                  </w:r>
                  <w:r w:rsidR="00862CB3">
                    <w:rPr>
                      <w:noProof/>
                      <w:webHidden/>
                    </w:rPr>
                    <w:fldChar w:fldCharType="begin"/>
                  </w:r>
                  <w:r w:rsidR="00862CB3">
                    <w:rPr>
                      <w:noProof/>
                      <w:webHidden/>
                    </w:rPr>
                    <w:instrText xml:space="preserve"> PAGEREF _Toc116396997 \h </w:instrText>
                  </w:r>
                  <w:r w:rsidR="00862CB3">
                    <w:rPr>
                      <w:noProof/>
                      <w:webHidden/>
                    </w:rPr>
                  </w:r>
                  <w:r w:rsidR="00862CB3">
                    <w:rPr>
                      <w:noProof/>
                      <w:webHidden/>
                    </w:rPr>
                    <w:fldChar w:fldCharType="separate"/>
                  </w:r>
                  <w:r w:rsidR="00BE7CBA">
                    <w:rPr>
                      <w:noProof/>
                      <w:webHidden/>
                    </w:rPr>
                    <w:t>7</w:t>
                  </w:r>
                  <w:r w:rsidR="00862CB3">
                    <w:rPr>
                      <w:noProof/>
                      <w:webHidden/>
                    </w:rPr>
                    <w:fldChar w:fldCharType="end"/>
                  </w:r>
                </w:hyperlink>
              </w:p>
              <w:p w14:paraId="47092EAC" w14:textId="4E08834B" w:rsidR="00862CB3" w:rsidRDefault="00000000">
                <w:pPr>
                  <w:pStyle w:val="TOC2"/>
                  <w:rPr>
                    <w:rFonts w:asciiTheme="minorHAnsi" w:eastAsiaTheme="minorEastAsia" w:hAnsiTheme="minorHAnsi" w:cstheme="minorBidi"/>
                    <w:bCs w:val="0"/>
                    <w:noProof/>
                    <w:sz w:val="22"/>
                    <w:szCs w:val="22"/>
                  </w:rPr>
                </w:pPr>
                <w:hyperlink w:anchor="_Toc116396998" w:history="1">
                  <w:r w:rsidR="00862CB3" w:rsidRPr="00E44F04">
                    <w:rPr>
                      <w:rStyle w:val="Hyperlink"/>
                      <w:noProof/>
                    </w:rPr>
                    <w:t>Substrate Strength</w:t>
                  </w:r>
                  <w:r w:rsidR="00862CB3">
                    <w:rPr>
                      <w:noProof/>
                      <w:webHidden/>
                    </w:rPr>
                    <w:tab/>
                  </w:r>
                  <w:r w:rsidR="00862CB3">
                    <w:rPr>
                      <w:noProof/>
                      <w:webHidden/>
                    </w:rPr>
                    <w:fldChar w:fldCharType="begin"/>
                  </w:r>
                  <w:r w:rsidR="00862CB3">
                    <w:rPr>
                      <w:noProof/>
                      <w:webHidden/>
                    </w:rPr>
                    <w:instrText xml:space="preserve"> PAGEREF _Toc116396998 \h </w:instrText>
                  </w:r>
                  <w:r w:rsidR="00862CB3">
                    <w:rPr>
                      <w:noProof/>
                      <w:webHidden/>
                    </w:rPr>
                  </w:r>
                  <w:r w:rsidR="00862CB3">
                    <w:rPr>
                      <w:noProof/>
                      <w:webHidden/>
                    </w:rPr>
                    <w:fldChar w:fldCharType="separate"/>
                  </w:r>
                  <w:r w:rsidR="00BE7CBA">
                    <w:rPr>
                      <w:noProof/>
                      <w:webHidden/>
                    </w:rPr>
                    <w:t>8</w:t>
                  </w:r>
                  <w:r w:rsidR="00862CB3">
                    <w:rPr>
                      <w:noProof/>
                      <w:webHidden/>
                    </w:rPr>
                    <w:fldChar w:fldCharType="end"/>
                  </w:r>
                </w:hyperlink>
              </w:p>
              <w:p w14:paraId="46506648" w14:textId="07C746AE" w:rsidR="00862CB3" w:rsidRDefault="00000000">
                <w:pPr>
                  <w:pStyle w:val="TOC2"/>
                  <w:rPr>
                    <w:rFonts w:asciiTheme="minorHAnsi" w:eastAsiaTheme="minorEastAsia" w:hAnsiTheme="minorHAnsi" w:cstheme="minorBidi"/>
                    <w:bCs w:val="0"/>
                    <w:noProof/>
                    <w:sz w:val="22"/>
                    <w:szCs w:val="22"/>
                  </w:rPr>
                </w:pPr>
                <w:hyperlink w:anchor="_Toc116396999" w:history="1">
                  <w:r w:rsidR="00862CB3" w:rsidRPr="00E44F04">
                    <w:rPr>
                      <w:rStyle w:val="Hyperlink"/>
                      <w:noProof/>
                    </w:rPr>
                    <w:t>Preparatory Work</w:t>
                  </w:r>
                  <w:r w:rsidR="00862CB3">
                    <w:rPr>
                      <w:noProof/>
                      <w:webHidden/>
                    </w:rPr>
                    <w:tab/>
                  </w:r>
                  <w:r w:rsidR="00862CB3">
                    <w:rPr>
                      <w:noProof/>
                      <w:webHidden/>
                    </w:rPr>
                    <w:fldChar w:fldCharType="begin"/>
                  </w:r>
                  <w:r w:rsidR="00862CB3">
                    <w:rPr>
                      <w:noProof/>
                      <w:webHidden/>
                    </w:rPr>
                    <w:instrText xml:space="preserve"> PAGEREF _Toc116396999 \h </w:instrText>
                  </w:r>
                  <w:r w:rsidR="00862CB3">
                    <w:rPr>
                      <w:noProof/>
                      <w:webHidden/>
                    </w:rPr>
                  </w:r>
                  <w:r w:rsidR="00862CB3">
                    <w:rPr>
                      <w:noProof/>
                      <w:webHidden/>
                    </w:rPr>
                    <w:fldChar w:fldCharType="separate"/>
                  </w:r>
                  <w:r w:rsidR="00BE7CBA">
                    <w:rPr>
                      <w:noProof/>
                      <w:webHidden/>
                    </w:rPr>
                    <w:t>8</w:t>
                  </w:r>
                  <w:r w:rsidR="00862CB3">
                    <w:rPr>
                      <w:noProof/>
                      <w:webHidden/>
                    </w:rPr>
                    <w:fldChar w:fldCharType="end"/>
                  </w:r>
                </w:hyperlink>
              </w:p>
              <w:p w14:paraId="1570C448" w14:textId="747E8284" w:rsidR="00862CB3" w:rsidRDefault="00000000">
                <w:pPr>
                  <w:pStyle w:val="TOC2"/>
                  <w:rPr>
                    <w:rFonts w:asciiTheme="minorHAnsi" w:eastAsiaTheme="minorEastAsia" w:hAnsiTheme="minorHAnsi" w:cstheme="minorBidi"/>
                    <w:bCs w:val="0"/>
                    <w:noProof/>
                    <w:sz w:val="22"/>
                    <w:szCs w:val="22"/>
                  </w:rPr>
                </w:pPr>
                <w:hyperlink w:anchor="_Toc116397000" w:history="1">
                  <w:r w:rsidR="00862CB3" w:rsidRPr="00E44F04">
                    <w:rPr>
                      <w:rStyle w:val="Hyperlink"/>
                      <w:noProof/>
                    </w:rPr>
                    <w:t>Method of Application</w:t>
                  </w:r>
                  <w:r w:rsidR="00862CB3">
                    <w:rPr>
                      <w:noProof/>
                      <w:webHidden/>
                    </w:rPr>
                    <w:tab/>
                  </w:r>
                  <w:r w:rsidR="00862CB3">
                    <w:rPr>
                      <w:noProof/>
                      <w:webHidden/>
                    </w:rPr>
                    <w:fldChar w:fldCharType="begin"/>
                  </w:r>
                  <w:r w:rsidR="00862CB3">
                    <w:rPr>
                      <w:noProof/>
                      <w:webHidden/>
                    </w:rPr>
                    <w:instrText xml:space="preserve"> PAGEREF _Toc116397000 \h </w:instrText>
                  </w:r>
                  <w:r w:rsidR="00862CB3">
                    <w:rPr>
                      <w:noProof/>
                      <w:webHidden/>
                    </w:rPr>
                  </w:r>
                  <w:r w:rsidR="00862CB3">
                    <w:rPr>
                      <w:noProof/>
                      <w:webHidden/>
                    </w:rPr>
                    <w:fldChar w:fldCharType="separate"/>
                  </w:r>
                  <w:r w:rsidR="00BE7CBA">
                    <w:rPr>
                      <w:noProof/>
                      <w:webHidden/>
                    </w:rPr>
                    <w:t>8</w:t>
                  </w:r>
                  <w:r w:rsidR="00862CB3">
                    <w:rPr>
                      <w:noProof/>
                      <w:webHidden/>
                    </w:rPr>
                    <w:fldChar w:fldCharType="end"/>
                  </w:r>
                </w:hyperlink>
              </w:p>
              <w:p w14:paraId="2226B5C1" w14:textId="654E1E08" w:rsidR="00862CB3" w:rsidRDefault="00000000">
                <w:pPr>
                  <w:pStyle w:val="TOC2"/>
                  <w:rPr>
                    <w:rFonts w:asciiTheme="minorHAnsi" w:eastAsiaTheme="minorEastAsia" w:hAnsiTheme="minorHAnsi" w:cstheme="minorBidi"/>
                    <w:bCs w:val="0"/>
                    <w:noProof/>
                    <w:sz w:val="22"/>
                    <w:szCs w:val="22"/>
                  </w:rPr>
                </w:pPr>
                <w:hyperlink w:anchor="_Toc116397001" w:history="1">
                  <w:r w:rsidR="00862CB3" w:rsidRPr="00E44F04">
                    <w:rPr>
                      <w:rStyle w:val="Hyperlink"/>
                      <w:noProof/>
                    </w:rPr>
                    <w:t>Curing</w:t>
                  </w:r>
                  <w:r w:rsidR="00862CB3">
                    <w:rPr>
                      <w:noProof/>
                      <w:webHidden/>
                    </w:rPr>
                    <w:fldChar w:fldCharType="begin"/>
                  </w:r>
                  <w:r w:rsidR="00862CB3">
                    <w:rPr>
                      <w:noProof/>
                      <w:webHidden/>
                    </w:rPr>
                    <w:instrText xml:space="preserve"> PAGEREF _Toc116397001 \h </w:instrText>
                  </w:r>
                  <w:r w:rsidR="00862CB3">
                    <w:rPr>
                      <w:noProof/>
                      <w:webHidden/>
                    </w:rPr>
                  </w:r>
                  <w:r w:rsidR="00862CB3">
                    <w:rPr>
                      <w:noProof/>
                      <w:webHidden/>
                    </w:rPr>
                    <w:fldChar w:fldCharType="separate"/>
                  </w:r>
                  <w:r w:rsidR="00BE7CBA">
                    <w:rPr>
                      <w:noProof/>
                      <w:webHidden/>
                    </w:rPr>
                    <w:t>8</w:t>
                  </w:r>
                  <w:r w:rsidR="00862CB3">
                    <w:rPr>
                      <w:noProof/>
                      <w:webHidden/>
                    </w:rPr>
                    <w:fldChar w:fldCharType="end"/>
                  </w:r>
                </w:hyperlink>
              </w:p>
              <w:p w14:paraId="42177E69" w14:textId="1536BC3C" w:rsidR="00862CB3" w:rsidRDefault="00000000">
                <w:pPr>
                  <w:pStyle w:val="TOC1"/>
                  <w:rPr>
                    <w:rFonts w:asciiTheme="minorHAnsi" w:eastAsiaTheme="minorEastAsia" w:hAnsiTheme="minorHAnsi" w:cstheme="minorBidi"/>
                    <w:b w:val="0"/>
                    <w:noProof/>
                    <w:sz w:val="22"/>
                    <w:szCs w:val="22"/>
                  </w:rPr>
                </w:pPr>
                <w:hyperlink w:anchor="_Toc116397002" w:history="1">
                  <w:r w:rsidR="00862CB3" w:rsidRPr="00E44F04">
                    <w:rPr>
                      <w:rStyle w:val="Hyperlink"/>
                      <w:noProof/>
                      <w14:scene3d>
                        <w14:camera w14:prst="orthographicFront"/>
                        <w14:lightRig w14:rig="threePt" w14:dir="t">
                          <w14:rot w14:lat="0" w14:lon="0" w14:rev="0"/>
                        </w14:lightRig>
                      </w14:scene3d>
                    </w:rPr>
                    <w:t>9.</w:t>
                  </w:r>
                  <w:r w:rsidR="00862CB3">
                    <w:rPr>
                      <w:rFonts w:asciiTheme="minorHAnsi" w:eastAsiaTheme="minorEastAsia" w:hAnsiTheme="minorHAnsi" w:cstheme="minorBidi"/>
                      <w:b w:val="0"/>
                      <w:noProof/>
                      <w:sz w:val="22"/>
                      <w:szCs w:val="22"/>
                    </w:rPr>
                    <w:tab/>
                  </w:r>
                  <w:r w:rsidR="00862CB3" w:rsidRPr="00E44F04">
                    <w:rPr>
                      <w:rStyle w:val="Hyperlink"/>
                      <w:noProof/>
                    </w:rPr>
                    <w:t>Warranty</w:t>
                  </w:r>
                  <w:r w:rsidR="00862CB3">
                    <w:rPr>
                      <w:noProof/>
                      <w:webHidden/>
                    </w:rPr>
                    <w:tab/>
                  </w:r>
                  <w:r w:rsidR="00862CB3">
                    <w:rPr>
                      <w:noProof/>
                      <w:webHidden/>
                    </w:rPr>
                    <w:fldChar w:fldCharType="begin"/>
                  </w:r>
                  <w:r w:rsidR="00862CB3">
                    <w:rPr>
                      <w:noProof/>
                      <w:webHidden/>
                    </w:rPr>
                    <w:instrText xml:space="preserve"> PAGEREF _Toc116397002 \h </w:instrText>
                  </w:r>
                  <w:r w:rsidR="00862CB3">
                    <w:rPr>
                      <w:noProof/>
                      <w:webHidden/>
                    </w:rPr>
                  </w:r>
                  <w:r w:rsidR="00862CB3">
                    <w:rPr>
                      <w:noProof/>
                      <w:webHidden/>
                    </w:rPr>
                    <w:fldChar w:fldCharType="separate"/>
                  </w:r>
                  <w:r w:rsidR="00BE7CBA">
                    <w:rPr>
                      <w:noProof/>
                      <w:webHidden/>
                    </w:rPr>
                    <w:t>9</w:t>
                  </w:r>
                  <w:r w:rsidR="00862CB3">
                    <w:rPr>
                      <w:noProof/>
                      <w:webHidden/>
                    </w:rPr>
                    <w:fldChar w:fldCharType="end"/>
                  </w:r>
                </w:hyperlink>
              </w:p>
              <w:p w14:paraId="1A595F0F" w14:textId="7FB21CC7" w:rsidR="00862CB3" w:rsidRDefault="00000000">
                <w:pPr>
                  <w:pStyle w:val="TOC1"/>
                  <w:tabs>
                    <w:tab w:val="left" w:pos="1571"/>
                  </w:tabs>
                  <w:rPr>
                    <w:rFonts w:asciiTheme="minorHAnsi" w:eastAsiaTheme="minorEastAsia" w:hAnsiTheme="minorHAnsi" w:cstheme="minorBidi"/>
                    <w:b w:val="0"/>
                    <w:noProof/>
                    <w:sz w:val="22"/>
                    <w:szCs w:val="22"/>
                  </w:rPr>
                </w:pPr>
                <w:hyperlink w:anchor="_Toc116397003" w:history="1">
                  <w:r w:rsidR="00862CB3" w:rsidRPr="00E44F04">
                    <w:rPr>
                      <w:rStyle w:val="Hyperlink"/>
                      <w:noProof/>
                    </w:rPr>
                    <w:t>Annexure A:</w:t>
                  </w:r>
                  <w:r w:rsidR="00862CB3">
                    <w:rPr>
                      <w:rFonts w:asciiTheme="minorHAnsi" w:eastAsiaTheme="minorEastAsia" w:hAnsiTheme="minorHAnsi" w:cstheme="minorBidi"/>
                      <w:b w:val="0"/>
                      <w:noProof/>
                      <w:sz w:val="22"/>
                      <w:szCs w:val="22"/>
                    </w:rPr>
                    <w:tab/>
                  </w:r>
                  <w:r w:rsidR="00862CB3" w:rsidRPr="00E44F04">
                    <w:rPr>
                      <w:rStyle w:val="Hyperlink"/>
                      <w:noProof/>
                    </w:rPr>
                    <w:t>Summary of Hold Points, Witness Points and Records</w:t>
                  </w:r>
                  <w:r w:rsidR="00862CB3">
                    <w:rPr>
                      <w:noProof/>
                      <w:webHidden/>
                    </w:rPr>
                    <w:tab/>
                  </w:r>
                  <w:r w:rsidR="00862CB3">
                    <w:rPr>
                      <w:noProof/>
                      <w:webHidden/>
                    </w:rPr>
                    <w:fldChar w:fldCharType="begin"/>
                  </w:r>
                  <w:r w:rsidR="00862CB3">
                    <w:rPr>
                      <w:noProof/>
                      <w:webHidden/>
                    </w:rPr>
                    <w:instrText xml:space="preserve"> PAGEREF _Toc116397003 \h </w:instrText>
                  </w:r>
                  <w:r w:rsidR="00862CB3">
                    <w:rPr>
                      <w:noProof/>
                      <w:webHidden/>
                    </w:rPr>
                  </w:r>
                  <w:r w:rsidR="00862CB3">
                    <w:rPr>
                      <w:noProof/>
                      <w:webHidden/>
                    </w:rPr>
                    <w:fldChar w:fldCharType="separate"/>
                  </w:r>
                  <w:r w:rsidR="00BE7CBA">
                    <w:rPr>
                      <w:noProof/>
                      <w:webHidden/>
                    </w:rPr>
                    <w:t>10</w:t>
                  </w:r>
                  <w:r w:rsidR="00862CB3">
                    <w:rPr>
                      <w:noProof/>
                      <w:webHidden/>
                    </w:rPr>
                    <w:fldChar w:fldCharType="end"/>
                  </w:r>
                </w:hyperlink>
              </w:p>
              <w:p w14:paraId="731494AC" w14:textId="71A07EEA" w:rsidR="00AF1D72" w:rsidRPr="000E598A" w:rsidRDefault="00B23DC4" w:rsidP="005C24F8">
                <w:pPr>
                  <w:pStyle w:val="TOC1"/>
                  <w:tabs>
                    <w:tab w:val="left" w:pos="1571"/>
                  </w:tabs>
                  <w:rPr>
                    <w:b w:val="0"/>
                    <w:bCs/>
                  </w:rPr>
                </w:pPr>
                <w:r w:rsidRPr="000E598A">
                  <w:rPr>
                    <w:b w:val="0"/>
                    <w:bCs/>
                    <w:sz w:val="20"/>
                    <w:szCs w:val="20"/>
                  </w:rPr>
                  <w:fldChar w:fldCharType="end"/>
                </w:r>
              </w:p>
            </w:sdtContent>
          </w:sdt>
        </w:tc>
      </w:tr>
    </w:tbl>
    <w:p w14:paraId="7FA9E9E5" w14:textId="3B5946EE" w:rsidR="00991F4D" w:rsidRPr="000E598A" w:rsidRDefault="00055E8B" w:rsidP="000B08A3">
      <w:pPr>
        <w:pStyle w:val="Heading1"/>
        <w:ind w:left="709" w:hanging="567"/>
      </w:pPr>
      <w:bookmarkStart w:id="4" w:name="_Toc116396980"/>
      <w:r w:rsidRPr="000E598A">
        <w:rPr>
          <w:caps w:val="0"/>
        </w:rPr>
        <w:t>Scope</w:t>
      </w:r>
      <w:bookmarkEnd w:id="1"/>
      <w:bookmarkEnd w:id="4"/>
    </w:p>
    <w:p w14:paraId="162E0CB6" w14:textId="5B7E1BCF" w:rsidR="00EC0C55" w:rsidRPr="000E598A" w:rsidRDefault="005C24F8" w:rsidP="008C1FB7">
      <w:pPr>
        <w:pStyle w:val="Bodynumbered1"/>
        <w:ind w:left="709" w:hanging="567"/>
      </w:pPr>
      <w:bookmarkStart w:id="5" w:name="_Toc514678946"/>
      <w:bookmarkStart w:id="6" w:name="_Toc886733"/>
      <w:bookmarkStart w:id="7" w:name="_Toc886732"/>
      <w:r w:rsidRPr="000E598A">
        <w:t xml:space="preserve">Austroads Technical Specification ATS </w:t>
      </w:r>
      <w:r w:rsidR="009E0603" w:rsidRPr="000E598A">
        <w:t>56</w:t>
      </w:r>
      <w:r w:rsidR="001A3C37" w:rsidRPr="000E598A">
        <w:t>2</w:t>
      </w:r>
      <w:r w:rsidR="009E0603" w:rsidRPr="000E598A">
        <w:t>0</w:t>
      </w:r>
      <w:r w:rsidRPr="000E598A">
        <w:t xml:space="preserve"> sets out the requirements </w:t>
      </w:r>
      <w:r w:rsidR="0075757D" w:rsidRPr="000E598A">
        <w:t>for cold applied sealant joints in bridges, including sealant selection and installation.</w:t>
      </w:r>
      <w:r w:rsidR="00A85763" w:rsidRPr="000E598A">
        <w:t xml:space="preserve"> These may also be referred to as flexible plug joints.</w:t>
      </w:r>
      <w:r w:rsidR="00554959" w:rsidRPr="000E598A">
        <w:t xml:space="preserve"> </w:t>
      </w:r>
      <w:r w:rsidR="000A68F5" w:rsidRPr="000E598A">
        <w:t>It excludes joints with an elastomeric concrete nosing</w:t>
      </w:r>
      <w:r w:rsidR="00F221DF" w:rsidRPr="000E598A">
        <w:t>.</w:t>
      </w:r>
      <w:r w:rsidR="00086821" w:rsidRPr="000E598A">
        <w:t xml:space="preserve"> </w:t>
      </w:r>
    </w:p>
    <w:p w14:paraId="2099917E" w14:textId="2207EADF" w:rsidR="00F40305" w:rsidRPr="000E598A" w:rsidRDefault="009334B8" w:rsidP="000B08A3">
      <w:pPr>
        <w:pStyle w:val="Heading1"/>
        <w:ind w:left="709" w:hanging="567"/>
      </w:pPr>
      <w:bookmarkStart w:id="8" w:name="_Toc116396981"/>
      <w:r w:rsidRPr="000E598A">
        <w:rPr>
          <w:caps w:val="0"/>
        </w:rPr>
        <w:lastRenderedPageBreak/>
        <w:t>Referenced Documents</w:t>
      </w:r>
      <w:bookmarkEnd w:id="5"/>
      <w:bookmarkEnd w:id="6"/>
      <w:bookmarkEnd w:id="8"/>
    </w:p>
    <w:p w14:paraId="6FE7F3E3" w14:textId="77777777" w:rsidR="000C4EFD" w:rsidRPr="000E598A" w:rsidRDefault="005417E9" w:rsidP="004E54CC">
      <w:pPr>
        <w:pStyle w:val="Bodynumbered1"/>
        <w:keepNext/>
        <w:ind w:left="709" w:hanging="567"/>
      </w:pPr>
      <w:r w:rsidRPr="000E598A">
        <w:t xml:space="preserve">The following documents are referenced in this </w:t>
      </w:r>
      <w:r w:rsidR="00151D07" w:rsidRPr="000E598A">
        <w:t>s</w:t>
      </w:r>
      <w:r w:rsidRPr="000E598A">
        <w:t>pecification</w:t>
      </w:r>
      <w:r w:rsidR="00502381" w:rsidRPr="000E598A">
        <w:t>:</w:t>
      </w:r>
    </w:p>
    <w:tbl>
      <w:tblPr>
        <w:tblStyle w:val="SimpleTable8"/>
        <w:tblW w:w="4659" w:type="pct"/>
        <w:tblInd w:w="646" w:type="dxa"/>
        <w:tblBorders>
          <w:top w:val="single" w:sz="12"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8833"/>
      </w:tblGrid>
      <w:tr w:rsidR="000C4EFD" w:rsidRPr="000E598A" w14:paraId="2D63EB44" w14:textId="77777777" w:rsidTr="00A62185">
        <w:trPr>
          <w:tblHeader/>
        </w:trPr>
        <w:tc>
          <w:tcPr>
            <w:tcW w:w="4999" w:type="pct"/>
            <w:shd w:val="clear" w:color="auto" w:fill="auto"/>
          </w:tcPr>
          <w:p w14:paraId="308432A4" w14:textId="77777777" w:rsidR="000C4EFD" w:rsidRPr="000E598A" w:rsidRDefault="000C4EFD" w:rsidP="000C4EFD">
            <w:pPr>
              <w:keepLines/>
              <w:spacing w:before="120" w:after="120"/>
              <w:ind w:left="2977" w:hanging="2943"/>
              <w:rPr>
                <w:rFonts w:ascii="Arial" w:hAnsi="Arial" w:cs="Arial"/>
                <w:b/>
                <w:color w:val="004259"/>
                <w:sz w:val="20"/>
              </w:rPr>
            </w:pPr>
            <w:r w:rsidRPr="000E598A">
              <w:rPr>
                <w:rFonts w:ascii="Arial" w:hAnsi="Arial" w:cs="Arial"/>
                <w:b/>
                <w:color w:val="004259"/>
                <w:sz w:val="20"/>
              </w:rPr>
              <w:t>Australian / New Zealand Standards</w:t>
            </w:r>
          </w:p>
          <w:p w14:paraId="271B3543" w14:textId="77777777" w:rsidR="000C4EFD" w:rsidRPr="000E598A" w:rsidRDefault="000C4EFD" w:rsidP="004E54CC">
            <w:pPr>
              <w:keepLines/>
              <w:spacing w:after="120"/>
              <w:ind w:left="1929" w:hanging="1897"/>
              <w:rPr>
                <w:rFonts w:ascii="Arial" w:hAnsi="Arial" w:cs="Arial"/>
                <w:bCs/>
                <w:sz w:val="20"/>
              </w:rPr>
            </w:pPr>
            <w:r w:rsidRPr="000E598A">
              <w:rPr>
                <w:rFonts w:ascii="Arial" w:hAnsi="Arial" w:cs="Arial"/>
                <w:bCs/>
                <w:sz w:val="20"/>
              </w:rPr>
              <w:t>AS 5100.4</w:t>
            </w:r>
            <w:r w:rsidRPr="000E598A">
              <w:rPr>
                <w:rFonts w:ascii="Arial" w:hAnsi="Arial" w:cs="Arial"/>
                <w:bCs/>
                <w:sz w:val="20"/>
              </w:rPr>
              <w:tab/>
              <w:t>Bridge design – Bearings and deck joints</w:t>
            </w:r>
          </w:p>
          <w:p w14:paraId="59D722EE" w14:textId="77777777" w:rsidR="000C4EFD" w:rsidRPr="000E598A" w:rsidRDefault="000C4EFD" w:rsidP="004E54CC">
            <w:pPr>
              <w:keepLines/>
              <w:spacing w:after="120"/>
              <w:ind w:left="1929" w:hanging="1897"/>
              <w:rPr>
                <w:rFonts w:ascii="Arial" w:hAnsi="Arial" w:cs="Arial"/>
                <w:bCs/>
                <w:sz w:val="20"/>
              </w:rPr>
            </w:pPr>
            <w:r w:rsidRPr="000E598A">
              <w:rPr>
                <w:rFonts w:ascii="Arial" w:hAnsi="Arial" w:cs="Arial"/>
                <w:bCs/>
                <w:sz w:val="20"/>
              </w:rPr>
              <w:t>AS/NZS ISO 9001</w:t>
            </w:r>
            <w:r w:rsidRPr="000E598A">
              <w:rPr>
                <w:rFonts w:ascii="Arial" w:hAnsi="Arial" w:cs="Arial"/>
                <w:bCs/>
                <w:sz w:val="20"/>
              </w:rPr>
              <w:tab/>
              <w:t>Quality management systems – Requirements</w:t>
            </w:r>
          </w:p>
        </w:tc>
      </w:tr>
      <w:tr w:rsidR="000C4EFD" w:rsidRPr="000E598A" w14:paraId="4ED5EE55" w14:textId="77777777" w:rsidTr="00A62185">
        <w:trPr>
          <w:tblHeader/>
        </w:trPr>
        <w:tc>
          <w:tcPr>
            <w:tcW w:w="4999" w:type="pct"/>
            <w:shd w:val="clear" w:color="auto" w:fill="auto"/>
          </w:tcPr>
          <w:p w14:paraId="6D454B45" w14:textId="77777777" w:rsidR="000C4EFD" w:rsidRPr="000E598A" w:rsidRDefault="000C4EFD" w:rsidP="000C4EFD">
            <w:pPr>
              <w:keepLines/>
              <w:spacing w:before="120" w:after="120"/>
              <w:ind w:left="2977" w:hanging="2943"/>
              <w:rPr>
                <w:rFonts w:ascii="Arial" w:hAnsi="Arial" w:cs="Arial"/>
                <w:b/>
                <w:color w:val="004259"/>
                <w:sz w:val="20"/>
              </w:rPr>
            </w:pPr>
            <w:r w:rsidRPr="000E598A">
              <w:rPr>
                <w:rFonts w:ascii="Arial" w:hAnsi="Arial" w:cs="Arial"/>
                <w:b/>
                <w:color w:val="004259"/>
                <w:sz w:val="20"/>
              </w:rPr>
              <w:t>Waka Kotahi NZ Transport Agency</w:t>
            </w:r>
          </w:p>
          <w:p w14:paraId="16657F6B" w14:textId="2DF8B0F3" w:rsidR="000C4EFD" w:rsidRPr="000E598A" w:rsidRDefault="000C4EFD" w:rsidP="004E54CC">
            <w:pPr>
              <w:keepLines/>
              <w:spacing w:after="120"/>
              <w:ind w:left="1929" w:hanging="1897"/>
              <w:rPr>
                <w:rFonts w:ascii="Arial" w:hAnsi="Arial" w:cs="Arial"/>
                <w:b/>
                <w:color w:val="004259"/>
                <w:sz w:val="20"/>
              </w:rPr>
            </w:pPr>
            <w:r w:rsidRPr="000E598A">
              <w:rPr>
                <w:rFonts w:ascii="Arial" w:hAnsi="Arial" w:cs="Arial"/>
                <w:bCs/>
                <w:sz w:val="20"/>
              </w:rPr>
              <w:t xml:space="preserve">SP/M/022 </w:t>
            </w:r>
            <w:r w:rsidR="004E54CC" w:rsidRPr="000E598A">
              <w:rPr>
                <w:rFonts w:ascii="Arial" w:hAnsi="Arial" w:cs="Arial"/>
                <w:bCs/>
                <w:sz w:val="20"/>
              </w:rPr>
              <w:tab/>
            </w:r>
            <w:r w:rsidRPr="000E598A">
              <w:rPr>
                <w:rFonts w:ascii="Arial" w:hAnsi="Arial" w:cs="Arial"/>
                <w:bCs/>
                <w:sz w:val="20"/>
              </w:rPr>
              <w:t>Bridge Manual</w:t>
            </w:r>
          </w:p>
        </w:tc>
      </w:tr>
      <w:tr w:rsidR="000C4EFD" w:rsidRPr="000E598A" w14:paraId="2714C58C" w14:textId="77777777" w:rsidTr="00A62185">
        <w:trPr>
          <w:tblHeader/>
        </w:trPr>
        <w:tc>
          <w:tcPr>
            <w:tcW w:w="5000" w:type="pct"/>
            <w:shd w:val="clear" w:color="auto" w:fill="auto"/>
          </w:tcPr>
          <w:p w14:paraId="00251125" w14:textId="77777777" w:rsidR="000C4EFD" w:rsidRPr="000E598A" w:rsidRDefault="000C4EFD" w:rsidP="000C4EFD">
            <w:pPr>
              <w:keepLines/>
              <w:spacing w:before="120" w:after="120"/>
              <w:ind w:left="2977" w:hanging="2943"/>
              <w:rPr>
                <w:rFonts w:ascii="Arial" w:hAnsi="Arial" w:cs="Arial"/>
                <w:b/>
                <w:color w:val="004259"/>
                <w:sz w:val="20"/>
              </w:rPr>
            </w:pPr>
            <w:r w:rsidRPr="000E598A">
              <w:rPr>
                <w:rFonts w:ascii="Arial" w:hAnsi="Arial" w:cs="Arial"/>
                <w:b/>
                <w:color w:val="004259"/>
                <w:sz w:val="20"/>
              </w:rPr>
              <w:t>ASTM International</w:t>
            </w:r>
          </w:p>
          <w:p w14:paraId="5BC14E8F" w14:textId="77777777" w:rsidR="000C4EFD" w:rsidRPr="000E598A" w:rsidRDefault="000C4EFD" w:rsidP="004E54CC">
            <w:pPr>
              <w:keepLines/>
              <w:spacing w:after="120"/>
              <w:ind w:left="1929" w:hanging="1897"/>
              <w:rPr>
                <w:rFonts w:ascii="Arial" w:hAnsi="Arial" w:cs="Arial"/>
                <w:bCs/>
                <w:sz w:val="20"/>
              </w:rPr>
            </w:pPr>
            <w:r w:rsidRPr="000E598A">
              <w:rPr>
                <w:rFonts w:ascii="Arial" w:hAnsi="Arial" w:cs="Arial"/>
                <w:bCs/>
                <w:sz w:val="20"/>
              </w:rPr>
              <w:t>ASTM C639</w:t>
            </w:r>
            <w:r w:rsidRPr="000E598A">
              <w:rPr>
                <w:rFonts w:ascii="Arial" w:hAnsi="Arial" w:cs="Arial"/>
                <w:bCs/>
                <w:sz w:val="20"/>
              </w:rPr>
              <w:tab/>
              <w:t>Standard Test Method for Rheological (Flow) Properties of Elastomeric Sealants</w:t>
            </w:r>
          </w:p>
          <w:p w14:paraId="21EFA655" w14:textId="77777777" w:rsidR="000C4EFD" w:rsidRPr="000E598A" w:rsidRDefault="000C4EFD" w:rsidP="004E54CC">
            <w:pPr>
              <w:keepLines/>
              <w:spacing w:after="120"/>
              <w:ind w:left="1929" w:hanging="1897"/>
              <w:rPr>
                <w:rFonts w:ascii="Arial" w:hAnsi="Arial" w:cs="Arial"/>
                <w:bCs/>
                <w:sz w:val="20"/>
              </w:rPr>
            </w:pPr>
            <w:r w:rsidRPr="000E598A">
              <w:rPr>
                <w:rFonts w:ascii="Arial" w:hAnsi="Arial" w:cs="Arial"/>
                <w:bCs/>
                <w:sz w:val="20"/>
              </w:rPr>
              <w:t>ASTM C661</w:t>
            </w:r>
            <w:r w:rsidRPr="000E598A">
              <w:rPr>
                <w:rFonts w:ascii="Arial" w:hAnsi="Arial" w:cs="Arial"/>
                <w:bCs/>
                <w:sz w:val="20"/>
              </w:rPr>
              <w:tab/>
              <w:t>Standard Test Method for Indentation Hardness of Elastomeric-Type Sealants by Means of a Durometer</w:t>
            </w:r>
          </w:p>
          <w:p w14:paraId="01CCD151" w14:textId="77777777" w:rsidR="000C4EFD" w:rsidRPr="000E598A" w:rsidRDefault="000C4EFD" w:rsidP="004E54CC">
            <w:pPr>
              <w:keepLines/>
              <w:spacing w:after="120"/>
              <w:ind w:left="1929" w:hanging="1897"/>
              <w:rPr>
                <w:rFonts w:ascii="Arial" w:hAnsi="Arial" w:cs="Arial"/>
                <w:bCs/>
                <w:sz w:val="20"/>
              </w:rPr>
            </w:pPr>
            <w:r w:rsidRPr="000E598A">
              <w:rPr>
                <w:rFonts w:ascii="Arial" w:hAnsi="Arial" w:cs="Arial"/>
                <w:bCs/>
                <w:sz w:val="20"/>
              </w:rPr>
              <w:t>ASTM C679</w:t>
            </w:r>
            <w:r w:rsidRPr="000E598A">
              <w:rPr>
                <w:rFonts w:ascii="Arial" w:hAnsi="Arial" w:cs="Arial"/>
                <w:bCs/>
                <w:sz w:val="20"/>
              </w:rPr>
              <w:tab/>
              <w:t>Standard Test Method for Tack-Free Time of Elastomeric Sealants</w:t>
            </w:r>
          </w:p>
          <w:p w14:paraId="2986BA03" w14:textId="77777777" w:rsidR="000C4EFD" w:rsidRPr="000E598A" w:rsidRDefault="000C4EFD" w:rsidP="004E54CC">
            <w:pPr>
              <w:keepLines/>
              <w:spacing w:after="120"/>
              <w:ind w:left="1929" w:hanging="1897"/>
              <w:rPr>
                <w:rFonts w:ascii="Arial" w:hAnsi="Arial" w:cs="Arial"/>
                <w:bCs/>
                <w:sz w:val="20"/>
              </w:rPr>
            </w:pPr>
            <w:r w:rsidRPr="000E598A">
              <w:rPr>
                <w:rFonts w:ascii="Arial" w:hAnsi="Arial" w:cs="Arial"/>
                <w:bCs/>
                <w:sz w:val="20"/>
              </w:rPr>
              <w:t>ASTM C719</w:t>
            </w:r>
            <w:r w:rsidRPr="000E598A">
              <w:rPr>
                <w:rFonts w:ascii="Arial" w:hAnsi="Arial" w:cs="Arial"/>
                <w:bCs/>
                <w:sz w:val="20"/>
              </w:rPr>
              <w:tab/>
              <w:t>Standard Test Method for Adhesion and Cohesion of Elastomeric Joint Sealants under Cyclic Movement (Hockman Cycle)</w:t>
            </w:r>
          </w:p>
          <w:p w14:paraId="309AD7AA" w14:textId="77777777" w:rsidR="000C4EFD" w:rsidRPr="000E598A" w:rsidRDefault="000C4EFD" w:rsidP="004E54CC">
            <w:pPr>
              <w:keepLines/>
              <w:spacing w:after="120"/>
              <w:ind w:left="1929" w:hanging="1897"/>
              <w:rPr>
                <w:rFonts w:ascii="Arial" w:hAnsi="Arial" w:cs="Arial"/>
                <w:bCs/>
                <w:sz w:val="20"/>
              </w:rPr>
            </w:pPr>
            <w:r w:rsidRPr="000E598A">
              <w:rPr>
                <w:rFonts w:ascii="Arial" w:hAnsi="Arial" w:cs="Arial"/>
                <w:bCs/>
                <w:sz w:val="20"/>
              </w:rPr>
              <w:t>ASTM C793</w:t>
            </w:r>
            <w:r w:rsidRPr="000E598A">
              <w:rPr>
                <w:rFonts w:ascii="Arial" w:hAnsi="Arial" w:cs="Arial"/>
                <w:bCs/>
                <w:sz w:val="20"/>
              </w:rPr>
              <w:tab/>
              <w:t>Standard Test Method for Effects of Laboratory Accelerated Weathering on Elastomeric Joint Sealants</w:t>
            </w:r>
          </w:p>
          <w:p w14:paraId="3F5065AE" w14:textId="77777777" w:rsidR="000C4EFD" w:rsidRPr="000E598A" w:rsidRDefault="000C4EFD" w:rsidP="004E54CC">
            <w:pPr>
              <w:keepLines/>
              <w:spacing w:after="120"/>
              <w:ind w:left="1929" w:hanging="1897"/>
              <w:rPr>
                <w:rFonts w:ascii="Arial" w:hAnsi="Arial" w:cs="Arial"/>
                <w:bCs/>
                <w:sz w:val="20"/>
              </w:rPr>
            </w:pPr>
            <w:r w:rsidRPr="000E598A">
              <w:rPr>
                <w:rFonts w:ascii="Arial" w:hAnsi="Arial" w:cs="Arial"/>
                <w:bCs/>
                <w:sz w:val="20"/>
              </w:rPr>
              <w:t>ASTM C794</w:t>
            </w:r>
            <w:r w:rsidRPr="000E598A">
              <w:rPr>
                <w:rFonts w:ascii="Arial" w:hAnsi="Arial" w:cs="Arial"/>
                <w:bCs/>
                <w:sz w:val="20"/>
              </w:rPr>
              <w:tab/>
              <w:t>Standard Test Method for Adhesion-in-Peel of Elastomeric Joint Sealants</w:t>
            </w:r>
          </w:p>
          <w:p w14:paraId="0A59A4A6" w14:textId="77777777" w:rsidR="000C4EFD" w:rsidRPr="000E598A" w:rsidRDefault="000C4EFD" w:rsidP="004E54CC">
            <w:pPr>
              <w:keepLines/>
              <w:spacing w:after="120"/>
              <w:ind w:left="1929" w:hanging="1897"/>
              <w:rPr>
                <w:rFonts w:ascii="Arial" w:hAnsi="Arial" w:cs="Arial"/>
                <w:bCs/>
                <w:sz w:val="20"/>
              </w:rPr>
            </w:pPr>
            <w:r w:rsidRPr="000E598A">
              <w:rPr>
                <w:rFonts w:ascii="Arial" w:hAnsi="Arial" w:cs="Arial"/>
                <w:bCs/>
                <w:sz w:val="20"/>
              </w:rPr>
              <w:t xml:space="preserve"> ASTM C1183</w:t>
            </w:r>
            <w:r w:rsidRPr="000E598A">
              <w:rPr>
                <w:rFonts w:ascii="Arial" w:hAnsi="Arial" w:cs="Arial"/>
                <w:bCs/>
                <w:sz w:val="20"/>
              </w:rPr>
              <w:tab/>
              <w:t>Standard Test Method for Extrusion Rate of Elastomeric Sealants</w:t>
            </w:r>
          </w:p>
          <w:p w14:paraId="2C0E1F04" w14:textId="77777777" w:rsidR="000C4EFD" w:rsidRPr="000E598A" w:rsidRDefault="000C4EFD" w:rsidP="004E54CC">
            <w:pPr>
              <w:keepLines/>
              <w:spacing w:after="120"/>
              <w:ind w:left="1929" w:hanging="1897"/>
              <w:rPr>
                <w:rFonts w:ascii="Arial" w:hAnsi="Arial" w:cs="Arial"/>
                <w:bCs/>
                <w:sz w:val="20"/>
              </w:rPr>
            </w:pPr>
            <w:r w:rsidRPr="000E598A">
              <w:rPr>
                <w:rFonts w:ascii="Arial" w:hAnsi="Arial" w:cs="Arial"/>
                <w:bCs/>
                <w:sz w:val="20"/>
              </w:rPr>
              <w:t>ASTM D412</w:t>
            </w:r>
            <w:r w:rsidRPr="000E598A">
              <w:rPr>
                <w:rFonts w:ascii="Arial" w:hAnsi="Arial" w:cs="Arial"/>
                <w:bCs/>
                <w:sz w:val="20"/>
              </w:rPr>
              <w:tab/>
              <w:t>Standard Test Methods for Vulcanized Rubber and Thermoplastic Elastomers— Tension</w:t>
            </w:r>
          </w:p>
          <w:p w14:paraId="307597BC" w14:textId="5BD277B6" w:rsidR="00D421C7" w:rsidRPr="000E598A" w:rsidRDefault="00D421C7" w:rsidP="004E54CC">
            <w:pPr>
              <w:keepLines/>
              <w:spacing w:after="120"/>
              <w:ind w:left="1929" w:hanging="1897"/>
              <w:rPr>
                <w:rFonts w:ascii="Arial" w:hAnsi="Arial" w:cs="Arial"/>
                <w:bCs/>
                <w:sz w:val="20"/>
              </w:rPr>
            </w:pPr>
            <w:r w:rsidRPr="000E598A">
              <w:rPr>
                <w:rFonts w:ascii="Arial" w:hAnsi="Arial" w:cs="Arial"/>
                <w:bCs/>
                <w:sz w:val="20"/>
              </w:rPr>
              <w:t>ASTM D</w:t>
            </w:r>
            <w:r w:rsidR="000305ED" w:rsidRPr="000E598A">
              <w:rPr>
                <w:rFonts w:ascii="Arial" w:hAnsi="Arial" w:cs="Arial"/>
                <w:bCs/>
                <w:sz w:val="20"/>
              </w:rPr>
              <w:t>882</w:t>
            </w:r>
            <w:r w:rsidR="000305ED" w:rsidRPr="000E598A">
              <w:rPr>
                <w:rFonts w:ascii="Arial" w:hAnsi="Arial" w:cs="Arial"/>
                <w:bCs/>
                <w:sz w:val="20"/>
              </w:rPr>
              <w:tab/>
            </w:r>
            <w:r w:rsidRPr="000E598A">
              <w:rPr>
                <w:rFonts w:ascii="Arial" w:hAnsi="Arial" w:cs="Arial"/>
                <w:bCs/>
                <w:sz w:val="20"/>
              </w:rPr>
              <w:t xml:space="preserve">Standard Test Method for Tensile Properties of Thin Plastic Sheeting </w:t>
            </w:r>
          </w:p>
          <w:p w14:paraId="4CD1C8E5" w14:textId="481D8B4B" w:rsidR="000C4EFD" w:rsidRPr="000E598A" w:rsidRDefault="000C4EFD" w:rsidP="004E54CC">
            <w:pPr>
              <w:keepLines/>
              <w:spacing w:after="120"/>
              <w:ind w:left="1929" w:hanging="1897"/>
              <w:rPr>
                <w:rFonts w:ascii="Arial" w:hAnsi="Arial" w:cs="Arial"/>
                <w:b/>
                <w:color w:val="004259"/>
                <w:sz w:val="20"/>
              </w:rPr>
            </w:pPr>
            <w:r w:rsidRPr="000E598A">
              <w:rPr>
                <w:rFonts w:ascii="Arial" w:hAnsi="Arial" w:cs="Arial"/>
                <w:bCs/>
                <w:sz w:val="20"/>
              </w:rPr>
              <w:t>ASTM D1475</w:t>
            </w:r>
            <w:r w:rsidRPr="000E598A">
              <w:rPr>
                <w:rFonts w:ascii="Arial" w:hAnsi="Arial" w:cs="Arial"/>
                <w:bCs/>
                <w:sz w:val="20"/>
              </w:rPr>
              <w:tab/>
              <w:t>Standard Test Method for Density of Liquid Coatings, Inks, and Related Products</w:t>
            </w:r>
          </w:p>
        </w:tc>
      </w:tr>
      <w:tr w:rsidR="0023110D" w:rsidRPr="000E598A" w14:paraId="5BF58327" w14:textId="77777777" w:rsidTr="00A62185">
        <w:trPr>
          <w:tblHeader/>
        </w:trPr>
        <w:tc>
          <w:tcPr>
            <w:tcW w:w="5000" w:type="pct"/>
            <w:shd w:val="clear" w:color="auto" w:fill="auto"/>
          </w:tcPr>
          <w:p w14:paraId="67510A77" w14:textId="77777777" w:rsidR="0023110D" w:rsidRPr="000E598A" w:rsidRDefault="0023110D" w:rsidP="009E732E">
            <w:pPr>
              <w:keepLines/>
              <w:spacing w:before="120" w:after="120"/>
              <w:ind w:left="2977" w:hanging="2943"/>
              <w:rPr>
                <w:rFonts w:ascii="Arial" w:hAnsi="Arial" w:cs="Arial"/>
                <w:b/>
                <w:color w:val="004259"/>
                <w:sz w:val="20"/>
                <w:szCs w:val="20"/>
              </w:rPr>
            </w:pPr>
            <w:bookmarkStart w:id="9" w:name="_Toc514678947"/>
            <w:bookmarkStart w:id="10" w:name="_Toc886734"/>
            <w:bookmarkEnd w:id="7"/>
            <w:r w:rsidRPr="000E598A">
              <w:rPr>
                <w:rFonts w:ascii="Arial" w:hAnsi="Arial" w:cs="Arial"/>
                <w:b/>
                <w:color w:val="004259"/>
                <w:sz w:val="20"/>
                <w:szCs w:val="20"/>
              </w:rPr>
              <w:t>Transport for New South Wales</w:t>
            </w:r>
          </w:p>
          <w:p w14:paraId="700070D5" w14:textId="6BAD837D" w:rsidR="0023110D" w:rsidRPr="004E54CC" w:rsidRDefault="0023110D" w:rsidP="004E54CC">
            <w:pPr>
              <w:pStyle w:val="CommentText"/>
              <w:ind w:left="1929" w:hanging="1890"/>
              <w:rPr>
                <w:rFonts w:ascii="Arial" w:hAnsi="Arial"/>
                <w:color w:val="1F497D" w:themeColor="text2"/>
                <w:sz w:val="20"/>
                <w:u w:val="single"/>
              </w:rPr>
            </w:pPr>
            <w:r w:rsidRPr="000E598A">
              <w:rPr>
                <w:rFonts w:ascii="Arial" w:hAnsi="Arial" w:cs="Arial"/>
                <w:bCs/>
                <w:sz w:val="20"/>
                <w:szCs w:val="20"/>
              </w:rPr>
              <w:t>B0600</w:t>
            </w:r>
            <w:r w:rsidRPr="000E598A">
              <w:rPr>
                <w:rFonts w:ascii="Arial" w:hAnsi="Arial" w:cs="Arial"/>
                <w:bCs/>
                <w:sz w:val="20"/>
                <w:szCs w:val="20"/>
              </w:rPr>
              <w:tab/>
            </w:r>
            <w:r w:rsidR="00262D73" w:rsidRPr="000E598A">
              <w:rPr>
                <w:rFonts w:ascii="Arial" w:hAnsi="Arial" w:cs="Arial"/>
                <w:bCs/>
                <w:sz w:val="20"/>
                <w:szCs w:val="20"/>
              </w:rPr>
              <w:t xml:space="preserve">Standard </w:t>
            </w:r>
            <w:r w:rsidRPr="000E598A">
              <w:rPr>
                <w:rFonts w:ascii="Arial" w:hAnsi="Arial" w:cs="Arial"/>
                <w:bCs/>
                <w:sz w:val="20"/>
                <w:szCs w:val="20"/>
              </w:rPr>
              <w:t xml:space="preserve">Drawings: Bridge joint - Small movement joint link. Refer: </w:t>
            </w:r>
            <w:hyperlink r:id="rId12" w:history="1">
              <w:r w:rsidRPr="004E54CC">
                <w:rPr>
                  <w:rStyle w:val="Hyperlink"/>
                </w:rPr>
                <w:t>https://roads-waterways.transport.nsw.gov.au/business-industry/partners-suppliers/documents/standard-drawings/b0600.pdf</w:t>
              </w:r>
            </w:hyperlink>
          </w:p>
        </w:tc>
      </w:tr>
    </w:tbl>
    <w:p w14:paraId="34D6CEE6" w14:textId="5926FA4D" w:rsidR="00354BF6" w:rsidRPr="000E598A" w:rsidRDefault="00182166" w:rsidP="000B08A3">
      <w:pPr>
        <w:pStyle w:val="Heading1"/>
        <w:ind w:left="709" w:hanging="567"/>
        <w:rPr>
          <w:rFonts w:eastAsiaTheme="majorEastAsia"/>
        </w:rPr>
      </w:pPr>
      <w:bookmarkStart w:id="11" w:name="_Toc116396982"/>
      <w:r w:rsidRPr="000E598A">
        <w:rPr>
          <w:caps w:val="0"/>
        </w:rPr>
        <w:t>Definitions</w:t>
      </w:r>
      <w:bookmarkEnd w:id="11"/>
    </w:p>
    <w:p w14:paraId="2FCC0B73" w14:textId="77777777" w:rsidR="00354BF6" w:rsidRPr="000E598A" w:rsidRDefault="00354BF6" w:rsidP="00853962">
      <w:pPr>
        <w:pStyle w:val="Bodynumbered1"/>
        <w:ind w:left="709" w:hanging="567"/>
      </w:pPr>
      <w:bookmarkStart w:id="12" w:name="1.3.1_Definitions_–_Personnel"/>
      <w:bookmarkStart w:id="13" w:name="1.4_Work_Health_&amp;_Safety_(WHS)"/>
      <w:bookmarkStart w:id="14" w:name="1.6.3_Principal_Supplied_Components"/>
      <w:bookmarkStart w:id="15" w:name="4_Design,_Specification,_Documentation_a"/>
      <w:bookmarkEnd w:id="12"/>
      <w:bookmarkEnd w:id="13"/>
      <w:bookmarkEnd w:id="14"/>
      <w:bookmarkEnd w:id="15"/>
      <w:r w:rsidRPr="000E598A">
        <w:t>The following definitions apply to this specification.</w:t>
      </w:r>
    </w:p>
    <w:tbl>
      <w:tblPr>
        <w:tblStyle w:val="TableGrid"/>
        <w:tblW w:w="5000"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9"/>
        <w:gridCol w:w="7091"/>
      </w:tblGrid>
      <w:tr w:rsidR="008F5F72" w:rsidRPr="000E598A" w14:paraId="0FA57F77" w14:textId="77777777" w:rsidTr="008743E2">
        <w:tc>
          <w:tcPr>
            <w:tcW w:w="1268" w:type="pct"/>
          </w:tcPr>
          <w:p w14:paraId="7004D601" w14:textId="3BA847F4" w:rsidR="008F5F72" w:rsidRPr="00C06FF2" w:rsidRDefault="008F5F72" w:rsidP="007F7944">
            <w:pPr>
              <w:pStyle w:val="BodyTextIndent"/>
              <w:rPr>
                <w:b/>
                <w:bCs w:val="0"/>
              </w:rPr>
            </w:pPr>
            <w:r w:rsidRPr="00C06FF2">
              <w:rPr>
                <w:b/>
                <w:bCs w:val="0"/>
              </w:rPr>
              <w:t>Asphalt bridging layer:</w:t>
            </w:r>
          </w:p>
        </w:tc>
        <w:tc>
          <w:tcPr>
            <w:tcW w:w="3732" w:type="pct"/>
          </w:tcPr>
          <w:p w14:paraId="0492D296" w14:textId="54DEEAF6" w:rsidR="008F5F72" w:rsidRPr="000E598A" w:rsidRDefault="008F5F72" w:rsidP="007F7944">
            <w:pPr>
              <w:pStyle w:val="BodyTextIndent"/>
            </w:pPr>
            <w:r w:rsidRPr="000E598A">
              <w:t>An arrangement for bridging deck joint gaps, comprising a single layer or multiple layers of one or more materials effectively supporting the asphalt layer over the underlying joint gap.</w:t>
            </w:r>
          </w:p>
        </w:tc>
      </w:tr>
      <w:tr w:rsidR="008F5F72" w:rsidRPr="000E598A" w14:paraId="3559A7B9" w14:textId="77777777" w:rsidTr="008743E2">
        <w:tc>
          <w:tcPr>
            <w:tcW w:w="1268" w:type="pct"/>
          </w:tcPr>
          <w:p w14:paraId="5B17A9D5" w14:textId="41DD2884" w:rsidR="008F5F72" w:rsidRPr="00C06FF2" w:rsidRDefault="008F5F72" w:rsidP="007F7944">
            <w:pPr>
              <w:pStyle w:val="BodyTextIndent"/>
              <w:rPr>
                <w:b/>
                <w:bCs w:val="0"/>
              </w:rPr>
            </w:pPr>
            <w:r w:rsidRPr="00C06FF2">
              <w:rPr>
                <w:b/>
                <w:bCs w:val="0"/>
              </w:rPr>
              <w:t>Elastomeric sealant:</w:t>
            </w:r>
          </w:p>
        </w:tc>
        <w:tc>
          <w:tcPr>
            <w:tcW w:w="3732" w:type="pct"/>
          </w:tcPr>
          <w:p w14:paraId="35DB33A9" w14:textId="2C70AF53" w:rsidR="008F5F72" w:rsidRPr="000E598A" w:rsidRDefault="008F5F72" w:rsidP="007F7944">
            <w:pPr>
              <w:pStyle w:val="BodyTextIndent"/>
            </w:pPr>
            <w:r w:rsidRPr="000E598A">
              <w:t>Elastomer for sealing gaps comprising a macromolecular material that rapidly regains its approximate original dimensions after the release of a weak stress that has caused its substantial deformation.</w:t>
            </w:r>
          </w:p>
        </w:tc>
      </w:tr>
      <w:tr w:rsidR="008F5F72" w:rsidRPr="000E598A" w14:paraId="2C684EE9" w14:textId="77777777" w:rsidTr="008743E2">
        <w:tc>
          <w:tcPr>
            <w:tcW w:w="1268" w:type="pct"/>
          </w:tcPr>
          <w:p w14:paraId="4B842911" w14:textId="5C6837BA" w:rsidR="008F5F72" w:rsidRPr="00C06FF2" w:rsidRDefault="008F5F72" w:rsidP="007F7944">
            <w:pPr>
              <w:pStyle w:val="BodyTextIndent"/>
              <w:rPr>
                <w:b/>
                <w:bCs w:val="0"/>
              </w:rPr>
            </w:pPr>
            <w:r w:rsidRPr="00C06FF2">
              <w:rPr>
                <w:b/>
                <w:bCs w:val="0"/>
              </w:rPr>
              <w:t>Joint gap:</w:t>
            </w:r>
          </w:p>
        </w:tc>
        <w:tc>
          <w:tcPr>
            <w:tcW w:w="3732" w:type="pct"/>
          </w:tcPr>
          <w:p w14:paraId="2828483F" w14:textId="19E91837" w:rsidR="008F5F72" w:rsidRPr="000E598A" w:rsidRDefault="008F5F72" w:rsidP="007F7944">
            <w:pPr>
              <w:pStyle w:val="BodyTextIndent"/>
            </w:pPr>
            <w:r w:rsidRPr="000E598A">
              <w:t>Joint width at sealant location irrespective of the width of the joint below or above the sealant.</w:t>
            </w:r>
          </w:p>
        </w:tc>
      </w:tr>
      <w:tr w:rsidR="008F5F72" w:rsidRPr="000E598A" w14:paraId="6CA9084F" w14:textId="77777777" w:rsidTr="008743E2">
        <w:tc>
          <w:tcPr>
            <w:tcW w:w="1268" w:type="pct"/>
          </w:tcPr>
          <w:p w14:paraId="38A81910" w14:textId="252ECA5E" w:rsidR="008F5F72" w:rsidRPr="00C06FF2" w:rsidRDefault="008F5F72" w:rsidP="007F7944">
            <w:pPr>
              <w:pStyle w:val="BodyTextIndent"/>
              <w:rPr>
                <w:b/>
                <w:bCs w:val="0"/>
              </w:rPr>
            </w:pPr>
            <w:r w:rsidRPr="00C06FF2">
              <w:rPr>
                <w:b/>
                <w:bCs w:val="0"/>
              </w:rPr>
              <w:lastRenderedPageBreak/>
              <w:t>Maximum joint gap:</w:t>
            </w:r>
          </w:p>
        </w:tc>
        <w:tc>
          <w:tcPr>
            <w:tcW w:w="3732" w:type="pct"/>
          </w:tcPr>
          <w:p w14:paraId="23D63B2E" w14:textId="3A985BC2" w:rsidR="008F5F72" w:rsidRPr="000E598A" w:rsidRDefault="008F5F72" w:rsidP="007F7944">
            <w:pPr>
              <w:pStyle w:val="BodyTextIndent"/>
            </w:pPr>
            <w:r w:rsidRPr="000E598A">
              <w:t>The joint opening at Ultimate Limit State in accordance with AS 5100.4.</w:t>
            </w:r>
          </w:p>
        </w:tc>
      </w:tr>
      <w:tr w:rsidR="008F5F72" w:rsidRPr="000E598A" w14:paraId="61237273" w14:textId="77777777" w:rsidTr="008743E2">
        <w:tc>
          <w:tcPr>
            <w:tcW w:w="1268" w:type="pct"/>
          </w:tcPr>
          <w:p w14:paraId="2BB0AC2C" w14:textId="0F162BED" w:rsidR="008F5F72" w:rsidRPr="00C06FF2" w:rsidRDefault="008F5F72" w:rsidP="007F7944">
            <w:pPr>
              <w:pStyle w:val="BodyTextIndent"/>
              <w:rPr>
                <w:b/>
                <w:bCs w:val="0"/>
              </w:rPr>
            </w:pPr>
            <w:r w:rsidRPr="00C06FF2">
              <w:rPr>
                <w:b/>
                <w:bCs w:val="0"/>
              </w:rPr>
              <w:t>Movement capability:</w:t>
            </w:r>
          </w:p>
        </w:tc>
        <w:tc>
          <w:tcPr>
            <w:tcW w:w="3732" w:type="pct"/>
          </w:tcPr>
          <w:p w14:paraId="33C9D5FF" w14:textId="7E9FA3B8" w:rsidR="008F5F72" w:rsidRPr="000E598A" w:rsidRDefault="008F5F72" w:rsidP="007F7944">
            <w:pPr>
              <w:pStyle w:val="BodyTextIndent"/>
            </w:pPr>
            <w:r w:rsidRPr="000E598A">
              <w:t>Cyclic strain of a magnitude that can be accommodated by a sealant without damage when tested according to ASTM C719 with cement mortar substrate.</w:t>
            </w:r>
          </w:p>
        </w:tc>
      </w:tr>
      <w:tr w:rsidR="008F5F72" w:rsidRPr="000E598A" w14:paraId="56F3D59E" w14:textId="77777777" w:rsidTr="008743E2">
        <w:tc>
          <w:tcPr>
            <w:tcW w:w="1268" w:type="pct"/>
          </w:tcPr>
          <w:p w14:paraId="27EA8550" w14:textId="609FEA47" w:rsidR="008F5F72" w:rsidRPr="00C06FF2" w:rsidRDefault="008F5F72" w:rsidP="007F7944">
            <w:pPr>
              <w:pStyle w:val="BodyTextIndent"/>
              <w:rPr>
                <w:b/>
                <w:bCs w:val="0"/>
              </w:rPr>
            </w:pPr>
            <w:r w:rsidRPr="00C06FF2">
              <w:rPr>
                <w:b/>
                <w:bCs w:val="0"/>
              </w:rPr>
              <w:t>Non-sag sealant:</w:t>
            </w:r>
          </w:p>
        </w:tc>
        <w:tc>
          <w:tcPr>
            <w:tcW w:w="3732" w:type="pct"/>
          </w:tcPr>
          <w:p w14:paraId="6B09183D" w14:textId="44D39FDC" w:rsidR="008F5F72" w:rsidRPr="000E598A" w:rsidRDefault="008F5F72" w:rsidP="007F7944">
            <w:pPr>
              <w:pStyle w:val="BodyTextIndent"/>
              <w:rPr>
                <w:rFonts w:eastAsia="SimSun"/>
              </w:rPr>
            </w:pPr>
            <w:r w:rsidRPr="000E598A">
              <w:rPr>
                <w:rFonts w:eastAsia="SimSun"/>
              </w:rPr>
              <w:t>Sealant that does not flow in vertical or inverted joints when applied at a temperature between 5°C and 50°C.</w:t>
            </w:r>
          </w:p>
        </w:tc>
      </w:tr>
      <w:tr w:rsidR="008F5F72" w:rsidRPr="000E598A" w14:paraId="4F32690F" w14:textId="77777777" w:rsidTr="008743E2">
        <w:tc>
          <w:tcPr>
            <w:tcW w:w="1268" w:type="pct"/>
          </w:tcPr>
          <w:p w14:paraId="6356F92B" w14:textId="40CFC464" w:rsidR="008F5F72" w:rsidRPr="00C06FF2" w:rsidRDefault="008F5F72" w:rsidP="007F7944">
            <w:pPr>
              <w:pStyle w:val="BodyTextIndent"/>
              <w:rPr>
                <w:b/>
                <w:bCs w:val="0"/>
              </w:rPr>
            </w:pPr>
            <w:r w:rsidRPr="00C06FF2">
              <w:rPr>
                <w:rFonts w:eastAsia="SimSun"/>
                <w:b/>
                <w:bCs w:val="0"/>
              </w:rPr>
              <w:t>Principal’s Registration Scheme:</w:t>
            </w:r>
          </w:p>
        </w:tc>
        <w:tc>
          <w:tcPr>
            <w:tcW w:w="3732" w:type="pct"/>
          </w:tcPr>
          <w:p w14:paraId="1AA1E09B" w14:textId="774B4498" w:rsidR="008F5F72" w:rsidRPr="000E598A" w:rsidRDefault="008F5F72" w:rsidP="007F7944">
            <w:pPr>
              <w:pStyle w:val="BodyTextIndent"/>
              <w:rPr>
                <w:rFonts w:eastAsia="SimSun"/>
              </w:rPr>
            </w:pPr>
            <w:r w:rsidRPr="000E598A">
              <w:rPr>
                <w:rFonts w:eastAsia="SimSun"/>
              </w:rPr>
              <w:t xml:space="preserve">Any scheme for the prequalification, registration or approval of products, manufacturers, suppliers and/or Professional Engineers in operation in the jurisdiction where the </w:t>
            </w:r>
            <w:r w:rsidR="003640E5" w:rsidRPr="000E598A">
              <w:rPr>
                <w:rFonts w:eastAsia="SimSun"/>
              </w:rPr>
              <w:t xml:space="preserve">sealant </w:t>
            </w:r>
            <w:r w:rsidRPr="000E598A">
              <w:rPr>
                <w:rFonts w:eastAsia="SimSun"/>
              </w:rPr>
              <w:t>joint is to be installed.</w:t>
            </w:r>
          </w:p>
        </w:tc>
      </w:tr>
      <w:tr w:rsidR="008F5F72" w:rsidRPr="000E598A" w14:paraId="2F15D8D2" w14:textId="77777777" w:rsidTr="008743E2">
        <w:tc>
          <w:tcPr>
            <w:tcW w:w="1268" w:type="pct"/>
          </w:tcPr>
          <w:p w14:paraId="65E642B6" w14:textId="71EB950F" w:rsidR="008F5F72" w:rsidRPr="00C06FF2" w:rsidRDefault="008F5F72" w:rsidP="007F7944">
            <w:pPr>
              <w:pStyle w:val="BodyTextIndent"/>
              <w:rPr>
                <w:b/>
                <w:bCs w:val="0"/>
              </w:rPr>
            </w:pPr>
            <w:r w:rsidRPr="00C06FF2">
              <w:rPr>
                <w:b/>
                <w:bCs w:val="0"/>
              </w:rPr>
              <w:t>Rapid curing sealant:</w:t>
            </w:r>
          </w:p>
        </w:tc>
        <w:tc>
          <w:tcPr>
            <w:tcW w:w="3732" w:type="pct"/>
          </w:tcPr>
          <w:p w14:paraId="4D9A2F4F" w14:textId="10B2DAE7" w:rsidR="008F5F72" w:rsidRPr="000E598A" w:rsidRDefault="008F5F72" w:rsidP="007F7944">
            <w:pPr>
              <w:pStyle w:val="BodyTextIndent"/>
              <w:rPr>
                <w:rFonts w:eastAsia="SimSun"/>
              </w:rPr>
            </w:pPr>
            <w:r w:rsidRPr="000E598A">
              <w:rPr>
                <w:rFonts w:eastAsia="SimSun"/>
              </w:rPr>
              <w:t>Sealant with tack-free time and adhesion-in-peel conforming to Table </w:t>
            </w:r>
            <w:r w:rsidRPr="000E598A">
              <w:rPr>
                <w:rFonts w:eastAsia="SimSun"/>
              </w:rPr>
              <w:fldChar w:fldCharType="begin"/>
            </w:r>
            <w:r w:rsidRPr="000E598A">
              <w:rPr>
                <w:rFonts w:eastAsia="SimSun"/>
              </w:rPr>
              <w:instrText xml:space="preserve"> REF _Ref40884712 \r \h  \* MERGEFORMAT </w:instrText>
            </w:r>
            <w:r w:rsidRPr="000E598A">
              <w:rPr>
                <w:rFonts w:eastAsia="SimSun"/>
              </w:rPr>
            </w:r>
            <w:r w:rsidRPr="000E598A">
              <w:rPr>
                <w:rFonts w:eastAsia="SimSun"/>
              </w:rPr>
              <w:fldChar w:fldCharType="separate"/>
            </w:r>
            <w:r w:rsidR="00851F44" w:rsidRPr="000E598A">
              <w:rPr>
                <w:rFonts w:eastAsia="SimSun"/>
              </w:rPr>
              <w:t>6.9</w:t>
            </w:r>
            <w:r w:rsidRPr="000E598A">
              <w:rPr>
                <w:rFonts w:eastAsia="SimSun"/>
              </w:rPr>
              <w:fldChar w:fldCharType="end"/>
            </w:r>
            <w:r w:rsidRPr="000E598A">
              <w:rPr>
                <w:rFonts w:eastAsia="SimSun"/>
              </w:rPr>
              <w:t>.</w:t>
            </w:r>
          </w:p>
        </w:tc>
      </w:tr>
      <w:tr w:rsidR="008F5F72" w:rsidRPr="000E598A" w14:paraId="4BB2E3BB" w14:textId="77777777" w:rsidTr="008743E2">
        <w:tc>
          <w:tcPr>
            <w:tcW w:w="1268" w:type="pct"/>
          </w:tcPr>
          <w:p w14:paraId="4B82AB48" w14:textId="75C25689" w:rsidR="008F5F72" w:rsidRPr="00C06FF2" w:rsidRDefault="008F5F72" w:rsidP="007F7944">
            <w:pPr>
              <w:pStyle w:val="BodyTextIndent"/>
              <w:rPr>
                <w:b/>
                <w:bCs w:val="0"/>
              </w:rPr>
            </w:pPr>
            <w:r w:rsidRPr="00C06FF2">
              <w:rPr>
                <w:b/>
                <w:bCs w:val="0"/>
              </w:rPr>
              <w:t>Self-levelling sealant:</w:t>
            </w:r>
            <w:r w:rsidRPr="00C06FF2">
              <w:rPr>
                <w:b/>
                <w:bCs w:val="0"/>
              </w:rPr>
              <w:tab/>
            </w:r>
          </w:p>
        </w:tc>
        <w:tc>
          <w:tcPr>
            <w:tcW w:w="3732" w:type="pct"/>
          </w:tcPr>
          <w:p w14:paraId="6EF1C22B" w14:textId="5865277A" w:rsidR="008F5F72" w:rsidRPr="000E598A" w:rsidRDefault="008F5F72" w:rsidP="007F7944">
            <w:pPr>
              <w:pStyle w:val="BodyTextIndent"/>
              <w:rPr>
                <w:rFonts w:eastAsia="SimSun"/>
              </w:rPr>
            </w:pPr>
            <w:r w:rsidRPr="000E598A">
              <w:rPr>
                <w:rFonts w:eastAsia="SimSun"/>
              </w:rPr>
              <w:t>Sealant that flows sufficiently under gravity at a temperature not less than 5°C to become level when applied in a horizontal joint or to become smooth when applied to a joint on a crossfall.</w:t>
            </w:r>
          </w:p>
        </w:tc>
      </w:tr>
      <w:tr w:rsidR="008F5F72" w:rsidRPr="000E598A" w14:paraId="681AD255" w14:textId="77777777" w:rsidTr="008743E2">
        <w:tc>
          <w:tcPr>
            <w:tcW w:w="1268" w:type="pct"/>
          </w:tcPr>
          <w:p w14:paraId="5BF53A9E" w14:textId="3B7EA9CD" w:rsidR="008F5F72" w:rsidRPr="00C06FF2" w:rsidRDefault="008F5F72" w:rsidP="007F7944">
            <w:pPr>
              <w:pStyle w:val="BodyTextIndent"/>
              <w:rPr>
                <w:b/>
                <w:bCs w:val="0"/>
              </w:rPr>
            </w:pPr>
            <w:r w:rsidRPr="00C06FF2">
              <w:rPr>
                <w:b/>
                <w:bCs w:val="0"/>
              </w:rPr>
              <w:t>Standard test conditions:</w:t>
            </w:r>
          </w:p>
        </w:tc>
        <w:tc>
          <w:tcPr>
            <w:tcW w:w="3732" w:type="pct"/>
          </w:tcPr>
          <w:p w14:paraId="69D694E4" w14:textId="03DAE802" w:rsidR="008F5F72" w:rsidRPr="000E598A" w:rsidRDefault="008F5F72" w:rsidP="007F7944">
            <w:pPr>
              <w:pStyle w:val="BodyTextIndent"/>
              <w:rPr>
                <w:rFonts w:eastAsia="SimSun"/>
              </w:rPr>
            </w:pPr>
            <w:r w:rsidRPr="000E598A">
              <w:t>A temperature of 23</w:t>
            </w:r>
            <w:bookmarkStart w:id="16" w:name="_Hlk40880738"/>
            <w:r w:rsidRPr="000E598A">
              <w:t xml:space="preserve"> ±</w:t>
            </w:r>
            <w:bookmarkEnd w:id="16"/>
            <w:r w:rsidRPr="000E598A">
              <w:t xml:space="preserve"> 2°C and a relative humidity of 50 ± 5%.</w:t>
            </w:r>
          </w:p>
        </w:tc>
      </w:tr>
    </w:tbl>
    <w:p w14:paraId="516337E0" w14:textId="206A12E4" w:rsidR="00D32834" w:rsidRPr="000E598A" w:rsidRDefault="00182166" w:rsidP="000B08A3">
      <w:pPr>
        <w:pStyle w:val="Heading1"/>
        <w:ind w:left="709" w:hanging="567"/>
      </w:pPr>
      <w:bookmarkStart w:id="17" w:name="_Ref80963872"/>
      <w:bookmarkStart w:id="18" w:name="_Toc116396983"/>
      <w:r w:rsidRPr="000E598A">
        <w:rPr>
          <w:caps w:val="0"/>
        </w:rPr>
        <w:t>Quality System Requirements</w:t>
      </w:r>
      <w:bookmarkEnd w:id="9"/>
      <w:bookmarkEnd w:id="10"/>
      <w:bookmarkEnd w:id="17"/>
      <w:bookmarkEnd w:id="18"/>
    </w:p>
    <w:p w14:paraId="704DC145" w14:textId="77777777" w:rsidR="00455852" w:rsidRDefault="00FB2BB5" w:rsidP="00853962">
      <w:pPr>
        <w:pStyle w:val="Bodynumbered1"/>
        <w:ind w:left="709" w:hanging="567"/>
        <w:rPr>
          <w:rFonts w:eastAsia="Arial"/>
          <w:lang w:bidi="en-US"/>
        </w:rPr>
      </w:pPr>
      <w:bookmarkStart w:id="19" w:name="_Ref9599800"/>
      <w:r w:rsidRPr="000E598A">
        <w:rPr>
          <w:rFonts w:eastAsia="Arial"/>
          <w:lang w:bidi="en-US"/>
        </w:rPr>
        <w:t xml:space="preserve">The </w:t>
      </w:r>
      <w:r w:rsidRPr="00853962">
        <w:t>Contractor</w:t>
      </w:r>
      <w:r w:rsidRPr="000E598A">
        <w:rPr>
          <w:rFonts w:eastAsia="Arial"/>
          <w:lang w:bidi="en-US"/>
        </w:rPr>
        <w:t xml:space="preserve"> must prepare and implement a </w:t>
      </w:r>
      <w:bookmarkStart w:id="20" w:name="_Hlk91068213"/>
      <w:r w:rsidR="00D12EA9" w:rsidRPr="000E598A">
        <w:rPr>
          <w:rFonts w:eastAsia="Arial"/>
          <w:lang w:bidi="en-US"/>
        </w:rPr>
        <w:t>Quality Plan</w:t>
      </w:r>
      <w:bookmarkEnd w:id="20"/>
      <w:r w:rsidRPr="000E598A">
        <w:rPr>
          <w:rFonts w:eastAsia="Arial"/>
          <w:lang w:bidi="en-US"/>
        </w:rPr>
        <w:t xml:space="preserve"> that includes the documentation in Table </w:t>
      </w:r>
      <w:r w:rsidRPr="000E598A">
        <w:rPr>
          <w:rFonts w:eastAsia="Arial"/>
          <w:lang w:bidi="en-US"/>
        </w:rPr>
        <w:fldChar w:fldCharType="begin"/>
      </w:r>
      <w:r w:rsidRPr="000E598A">
        <w:rPr>
          <w:rFonts w:eastAsia="Arial"/>
          <w:lang w:bidi="en-US"/>
        </w:rPr>
        <w:instrText xml:space="preserve"> REF _Ref9599800 \r \h  \* MERGEFORMAT </w:instrText>
      </w:r>
      <w:r w:rsidRPr="000E598A">
        <w:rPr>
          <w:rFonts w:eastAsia="Arial"/>
          <w:lang w:bidi="en-US"/>
        </w:rPr>
      </w:r>
      <w:r w:rsidRPr="000E598A">
        <w:rPr>
          <w:rFonts w:eastAsia="Arial"/>
          <w:lang w:bidi="en-US"/>
        </w:rPr>
        <w:fldChar w:fldCharType="separate"/>
      </w:r>
      <w:r w:rsidR="00851F44" w:rsidRPr="000E598A">
        <w:rPr>
          <w:rFonts w:eastAsia="Arial"/>
          <w:lang w:bidi="en-US"/>
        </w:rPr>
        <w:t>4.1</w:t>
      </w:r>
      <w:r w:rsidRPr="000E598A">
        <w:rPr>
          <w:rFonts w:eastAsia="Arial"/>
          <w:lang w:bidi="en-US"/>
        </w:rPr>
        <w:fldChar w:fldCharType="end"/>
      </w:r>
      <w:r w:rsidR="00455852">
        <w:rPr>
          <w:rFonts w:eastAsia="Arial"/>
          <w:lang w:bidi="en-US"/>
        </w:rPr>
        <w:t>.</w:t>
      </w:r>
    </w:p>
    <w:p w14:paraId="6C64E0B8" w14:textId="3466D13B" w:rsidR="00FB2BB5" w:rsidRPr="000E598A" w:rsidRDefault="00FB2BB5" w:rsidP="004E54CC">
      <w:pPr>
        <w:pStyle w:val="Caption"/>
        <w:ind w:left="1843"/>
        <w:rPr>
          <w:lang w:bidi="en-US"/>
        </w:rPr>
      </w:pPr>
      <w:r w:rsidRPr="000E598A">
        <w:rPr>
          <w:lang w:bidi="en-US"/>
        </w:rPr>
        <w:t xml:space="preserve">Table </w:t>
      </w:r>
      <w:r w:rsidRPr="000E598A">
        <w:rPr>
          <w:lang w:bidi="en-US"/>
        </w:rPr>
        <w:fldChar w:fldCharType="begin"/>
      </w:r>
      <w:r w:rsidRPr="000E598A">
        <w:rPr>
          <w:lang w:bidi="en-US"/>
        </w:rPr>
        <w:instrText xml:space="preserve"> REF _Ref9599800 \r \h  \* MERGEFORMAT </w:instrText>
      </w:r>
      <w:r w:rsidRPr="000E598A">
        <w:rPr>
          <w:lang w:bidi="en-US"/>
        </w:rPr>
      </w:r>
      <w:r w:rsidRPr="000E598A">
        <w:rPr>
          <w:lang w:bidi="en-US"/>
        </w:rPr>
        <w:fldChar w:fldCharType="separate"/>
      </w:r>
      <w:r w:rsidR="00851F44" w:rsidRPr="000E598A">
        <w:rPr>
          <w:lang w:bidi="en-US"/>
        </w:rPr>
        <w:t>4.1</w:t>
      </w:r>
      <w:r w:rsidRPr="000E598A">
        <w:rPr>
          <w:lang w:bidi="en-US"/>
        </w:rPr>
        <w:fldChar w:fldCharType="end"/>
      </w:r>
      <w:r w:rsidR="004E54CC">
        <w:rPr>
          <w:lang w:bidi="en-US"/>
        </w:rPr>
        <w:tab/>
      </w:r>
      <w:r w:rsidR="00D12EA9" w:rsidRPr="000E598A">
        <w:rPr>
          <w:lang w:bidi="en-US"/>
        </w:rPr>
        <w:t>Quality Plan</w:t>
      </w:r>
    </w:p>
    <w:tbl>
      <w:tblPr>
        <w:tblW w:w="5000" w:type="pct"/>
        <w:tblInd w:w="701"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56" w:type="dxa"/>
          <w:right w:w="56" w:type="dxa"/>
        </w:tblCellMar>
        <w:tblLook w:val="0000" w:firstRow="0" w:lastRow="0" w:firstColumn="0" w:lastColumn="0" w:noHBand="0" w:noVBand="0"/>
      </w:tblPr>
      <w:tblGrid>
        <w:gridCol w:w="1088"/>
        <w:gridCol w:w="8406"/>
      </w:tblGrid>
      <w:tr w:rsidR="00FB2BB5" w:rsidRPr="000E598A" w14:paraId="4E29A8FA" w14:textId="77777777" w:rsidTr="00A83F03">
        <w:trPr>
          <w:tblHeader/>
        </w:trPr>
        <w:tc>
          <w:tcPr>
            <w:tcW w:w="573" w:type="pct"/>
            <w:shd w:val="clear" w:color="auto" w:fill="A6A6A6" w:themeFill="background1" w:themeFillShade="A6"/>
          </w:tcPr>
          <w:p w14:paraId="750DD512" w14:textId="640C0DCB" w:rsidR="00FB2BB5" w:rsidRPr="002F3409" w:rsidRDefault="00112746" w:rsidP="002F3409">
            <w:pPr>
              <w:pStyle w:val="TableHeading"/>
              <w:rPr>
                <w:color w:val="auto"/>
              </w:rPr>
            </w:pPr>
            <w:r w:rsidRPr="002F3409">
              <w:rPr>
                <w:color w:val="auto"/>
              </w:rPr>
              <w:t>Clause</w:t>
            </w:r>
          </w:p>
        </w:tc>
        <w:tc>
          <w:tcPr>
            <w:tcW w:w="4427" w:type="pct"/>
            <w:shd w:val="clear" w:color="auto" w:fill="A6A6A6" w:themeFill="background1" w:themeFillShade="A6"/>
          </w:tcPr>
          <w:p w14:paraId="2EB418D6" w14:textId="0E283B26" w:rsidR="00FB2BB5" w:rsidRPr="002F3409" w:rsidRDefault="00112746" w:rsidP="002F3409">
            <w:pPr>
              <w:pStyle w:val="TableHeading"/>
              <w:rPr>
                <w:color w:val="auto"/>
              </w:rPr>
            </w:pPr>
            <w:r w:rsidRPr="002F3409">
              <w:rPr>
                <w:color w:val="auto"/>
              </w:rPr>
              <w:t>Description of document</w:t>
            </w:r>
          </w:p>
        </w:tc>
      </w:tr>
      <w:tr w:rsidR="00FB2BB5" w:rsidRPr="000E598A" w14:paraId="220F641D" w14:textId="77777777" w:rsidTr="00A83F03">
        <w:tc>
          <w:tcPr>
            <w:tcW w:w="573" w:type="pct"/>
            <w:shd w:val="clear" w:color="auto" w:fill="D9D9D9" w:themeFill="background1" w:themeFillShade="D9"/>
          </w:tcPr>
          <w:p w14:paraId="2F44537E" w14:textId="5EA1344D" w:rsidR="00FB2BB5" w:rsidRPr="000E598A" w:rsidRDefault="00FB2BB5" w:rsidP="002F3409">
            <w:pPr>
              <w:pStyle w:val="TableBodyText"/>
            </w:pPr>
            <w:r w:rsidRPr="000E598A">
              <w:fldChar w:fldCharType="begin"/>
            </w:r>
            <w:r w:rsidRPr="000E598A">
              <w:instrText xml:space="preserve"> REF _Ref40856376 \r \h  \* MERGEFORMAT </w:instrText>
            </w:r>
            <w:r w:rsidRPr="000E598A">
              <w:fldChar w:fldCharType="separate"/>
            </w:r>
            <w:r w:rsidR="00851F44" w:rsidRPr="000E598A">
              <w:t>5</w:t>
            </w:r>
            <w:r w:rsidRPr="000E598A">
              <w:fldChar w:fldCharType="end"/>
            </w:r>
          </w:p>
        </w:tc>
        <w:tc>
          <w:tcPr>
            <w:tcW w:w="4427" w:type="pct"/>
            <w:shd w:val="clear" w:color="auto" w:fill="D9D9D9" w:themeFill="background1" w:themeFillShade="D9"/>
          </w:tcPr>
          <w:p w14:paraId="6B43C5FD" w14:textId="50E4BD7D" w:rsidR="00FB2BB5" w:rsidRPr="000E598A" w:rsidRDefault="00FB2BB5" w:rsidP="002F3409">
            <w:pPr>
              <w:pStyle w:val="TableBodyText"/>
            </w:pPr>
            <w:r w:rsidRPr="000E598A">
              <w:t>Detail</w:t>
            </w:r>
            <w:r w:rsidR="002B29F8" w:rsidRPr="000E598A">
              <w:t xml:space="preserve">s and properties </w:t>
            </w:r>
            <w:r w:rsidRPr="000E598A">
              <w:t>of the proposed</w:t>
            </w:r>
            <w:r w:rsidR="002B29F8" w:rsidRPr="000E598A">
              <w:t xml:space="preserve"> sealant</w:t>
            </w:r>
            <w:r w:rsidRPr="000E598A">
              <w:t xml:space="preserve"> </w:t>
            </w:r>
            <w:r w:rsidR="00A20169" w:rsidRPr="000E598A">
              <w:t xml:space="preserve">and </w:t>
            </w:r>
            <w:r w:rsidRPr="000E598A">
              <w:t>joint</w:t>
            </w:r>
            <w:r w:rsidR="00A20169" w:rsidRPr="000E598A">
              <w:t>.</w:t>
            </w:r>
          </w:p>
        </w:tc>
      </w:tr>
      <w:tr w:rsidR="00FB2BB5" w:rsidRPr="000E598A" w14:paraId="790C1CEA" w14:textId="77777777" w:rsidTr="00A83F03">
        <w:tc>
          <w:tcPr>
            <w:tcW w:w="573" w:type="pct"/>
            <w:shd w:val="clear" w:color="auto" w:fill="D9D9D9" w:themeFill="background1" w:themeFillShade="D9"/>
          </w:tcPr>
          <w:p w14:paraId="438060E9" w14:textId="3119A0EC" w:rsidR="00FB2BB5" w:rsidRPr="000E598A" w:rsidRDefault="009D15F8" w:rsidP="002F3409">
            <w:pPr>
              <w:pStyle w:val="TableBodyText"/>
            </w:pPr>
            <w:r w:rsidRPr="000E598A">
              <w:fldChar w:fldCharType="begin"/>
            </w:r>
            <w:r w:rsidRPr="000E598A">
              <w:instrText xml:space="preserve"> REF _Ref78389064 \r \h </w:instrText>
            </w:r>
            <w:r w:rsidR="00352AB1" w:rsidRPr="000E598A">
              <w:instrText xml:space="preserve"> \* MERGEFORMAT </w:instrText>
            </w:r>
            <w:r w:rsidRPr="000E598A">
              <w:fldChar w:fldCharType="separate"/>
            </w:r>
            <w:r w:rsidR="00851F44" w:rsidRPr="000E598A">
              <w:t>7</w:t>
            </w:r>
            <w:r w:rsidRPr="000E598A">
              <w:fldChar w:fldCharType="end"/>
            </w:r>
          </w:p>
        </w:tc>
        <w:tc>
          <w:tcPr>
            <w:tcW w:w="4427" w:type="pct"/>
            <w:shd w:val="clear" w:color="auto" w:fill="D9D9D9" w:themeFill="background1" w:themeFillShade="D9"/>
          </w:tcPr>
          <w:p w14:paraId="2F12A336" w14:textId="77777777" w:rsidR="00FB2BB5" w:rsidRPr="000E598A" w:rsidRDefault="00FB2BB5" w:rsidP="002F3409">
            <w:pPr>
              <w:pStyle w:val="TableBodyText"/>
            </w:pPr>
            <w:r w:rsidRPr="000E598A">
              <w:t>Laboratory test certificates</w:t>
            </w:r>
          </w:p>
        </w:tc>
      </w:tr>
      <w:tr w:rsidR="00FB2BB5" w:rsidRPr="000E598A" w14:paraId="71BC47AA" w14:textId="77777777" w:rsidTr="00A83F03">
        <w:tc>
          <w:tcPr>
            <w:tcW w:w="573" w:type="pct"/>
            <w:shd w:val="clear" w:color="auto" w:fill="D9D9D9" w:themeFill="background1" w:themeFillShade="D9"/>
          </w:tcPr>
          <w:p w14:paraId="1BE6DA8B" w14:textId="7838604D" w:rsidR="00FB2BB5" w:rsidRPr="000E598A" w:rsidRDefault="00590181" w:rsidP="002F3409">
            <w:pPr>
              <w:pStyle w:val="TableBodyText"/>
            </w:pPr>
            <w:r w:rsidRPr="000E598A">
              <w:fldChar w:fldCharType="begin"/>
            </w:r>
            <w:r w:rsidRPr="000E598A">
              <w:instrText xml:space="preserve"> REF _Ref80942333 \r \h </w:instrText>
            </w:r>
            <w:r w:rsidR="00352AB1" w:rsidRPr="000E598A">
              <w:instrText xml:space="preserve"> \* MERGEFORMAT </w:instrText>
            </w:r>
            <w:r w:rsidRPr="000E598A">
              <w:fldChar w:fldCharType="separate"/>
            </w:r>
            <w:r w:rsidR="00851F44" w:rsidRPr="000E598A">
              <w:t>8.1</w:t>
            </w:r>
            <w:r w:rsidRPr="000E598A">
              <w:fldChar w:fldCharType="end"/>
            </w:r>
          </w:p>
        </w:tc>
        <w:tc>
          <w:tcPr>
            <w:tcW w:w="4427" w:type="pct"/>
            <w:shd w:val="clear" w:color="auto" w:fill="D9D9D9" w:themeFill="background1" w:themeFillShade="D9"/>
          </w:tcPr>
          <w:p w14:paraId="025AD579" w14:textId="77777777" w:rsidR="00FB2BB5" w:rsidRPr="000E598A" w:rsidRDefault="00FB2BB5" w:rsidP="002F3409">
            <w:pPr>
              <w:pStyle w:val="TableBodyText"/>
            </w:pPr>
            <w:r w:rsidRPr="000E598A">
              <w:t>Details and / or procedures for installation</w:t>
            </w:r>
          </w:p>
        </w:tc>
      </w:tr>
      <w:tr w:rsidR="00FB2BB5" w:rsidRPr="000E598A" w14:paraId="24E36A93" w14:textId="77777777" w:rsidTr="00A83F03">
        <w:tc>
          <w:tcPr>
            <w:tcW w:w="573" w:type="pct"/>
            <w:shd w:val="clear" w:color="auto" w:fill="D9D9D9" w:themeFill="background1" w:themeFillShade="D9"/>
          </w:tcPr>
          <w:p w14:paraId="5F163440" w14:textId="390AA433" w:rsidR="00FB2BB5" w:rsidRPr="000E598A" w:rsidRDefault="00590181" w:rsidP="002F3409">
            <w:pPr>
              <w:pStyle w:val="TableBodyText"/>
            </w:pPr>
            <w:r w:rsidRPr="000E598A">
              <w:fldChar w:fldCharType="begin"/>
            </w:r>
            <w:r w:rsidRPr="000E598A">
              <w:instrText xml:space="preserve"> REF _Ref80942358 \r \h </w:instrText>
            </w:r>
            <w:r w:rsidR="00352AB1" w:rsidRPr="000E598A">
              <w:instrText xml:space="preserve"> \* MERGEFORMAT </w:instrText>
            </w:r>
            <w:r w:rsidRPr="000E598A">
              <w:fldChar w:fldCharType="separate"/>
            </w:r>
            <w:r w:rsidR="00851F44" w:rsidRPr="000E598A">
              <w:t>9.1</w:t>
            </w:r>
            <w:r w:rsidRPr="000E598A">
              <w:fldChar w:fldCharType="end"/>
            </w:r>
          </w:p>
        </w:tc>
        <w:tc>
          <w:tcPr>
            <w:tcW w:w="4427" w:type="pct"/>
            <w:shd w:val="clear" w:color="auto" w:fill="D9D9D9" w:themeFill="background1" w:themeFillShade="D9"/>
          </w:tcPr>
          <w:p w14:paraId="71DF76F4" w14:textId="77777777" w:rsidR="00FB2BB5" w:rsidRPr="000E598A" w:rsidRDefault="00FB2BB5" w:rsidP="002F3409">
            <w:pPr>
              <w:pStyle w:val="TableBodyText"/>
            </w:pPr>
            <w:r w:rsidRPr="000E598A">
              <w:t>The wording of the proposed warranty</w:t>
            </w:r>
          </w:p>
        </w:tc>
      </w:tr>
    </w:tbl>
    <w:p w14:paraId="437C4DAA" w14:textId="7F82C6CC" w:rsidR="00FB2BB5" w:rsidRPr="000E598A" w:rsidRDefault="00FB2BB5" w:rsidP="00853962">
      <w:pPr>
        <w:pStyle w:val="Bodynumbered1"/>
        <w:ind w:left="709" w:hanging="567"/>
      </w:pPr>
      <w:bookmarkStart w:id="21" w:name="_Ref78385691"/>
      <w:r w:rsidRPr="000E598A">
        <w:t xml:space="preserve">The </w:t>
      </w:r>
      <w:r w:rsidR="003640E5" w:rsidRPr="000E598A">
        <w:t>sealant</w:t>
      </w:r>
      <w:r w:rsidRPr="000E598A">
        <w:t xml:space="preserve"> joint must be manufactured under a Quality Management System which is certified as complying with AS/NZS ISO 9001 by a JAS-ANZ accredited organisation</w:t>
      </w:r>
      <w:bookmarkEnd w:id="21"/>
      <w:r w:rsidR="007D3D3B" w:rsidRPr="000E598A">
        <w:t>.</w:t>
      </w:r>
    </w:p>
    <w:p w14:paraId="23191113" w14:textId="5277FF67" w:rsidR="00935198" w:rsidRPr="000E598A" w:rsidRDefault="00FB2BB5" w:rsidP="00853962">
      <w:pPr>
        <w:pStyle w:val="Bodynumbered1"/>
        <w:ind w:left="709" w:hanging="567"/>
      </w:pPr>
      <w:bookmarkStart w:id="22" w:name="_Ref80943089"/>
      <w:bookmarkStart w:id="23" w:name="_Ref78385703"/>
      <w:r w:rsidRPr="000E598A">
        <w:t>Where a Principal’s Registration Scheme is in place for the supply of</w:t>
      </w:r>
      <w:r w:rsidR="00710275" w:rsidRPr="000E598A">
        <w:t xml:space="preserve"> </w:t>
      </w:r>
      <w:r w:rsidR="00404867" w:rsidRPr="000E598A">
        <w:t>sealant</w:t>
      </w:r>
      <w:r w:rsidR="00CE2370" w:rsidRPr="000E598A">
        <w:t xml:space="preserve"> / joint</w:t>
      </w:r>
      <w:r w:rsidRPr="000E598A">
        <w:t xml:space="preserve">, the </w:t>
      </w:r>
      <w:r w:rsidR="00CE2370" w:rsidRPr="000E598A">
        <w:t>products</w:t>
      </w:r>
      <w:r w:rsidRPr="000E598A">
        <w:t xml:space="preserve"> must be approved under that scheme and a certificate of compliance must be submitted with the </w:t>
      </w:r>
      <w:r w:rsidR="00851F44" w:rsidRPr="000E598A">
        <w:t>Quality Plan</w:t>
      </w:r>
      <w:r w:rsidRPr="000E598A">
        <w:t xml:space="preserve">. </w:t>
      </w:r>
      <w:r w:rsidR="00935198" w:rsidRPr="000E598A">
        <w:t xml:space="preserve">For work carried in New South Wales, refer to </w:t>
      </w:r>
      <w:hyperlink r:id="rId13" w:history="1">
        <w:r w:rsidR="00935198" w:rsidRPr="000E598A">
          <w:rPr>
            <w:rStyle w:val="Hyperlink"/>
          </w:rPr>
          <w:t>https://roads-waterways.transport.nsw.gov.au/business-industry/partners-suppliers/documents/tenders-contracts/listofapprovedbridgecomponentssystems.pdf</w:t>
        </w:r>
      </w:hyperlink>
      <w:bookmarkEnd w:id="22"/>
      <w:r w:rsidR="000171F3" w:rsidRPr="000E598A">
        <w:rPr>
          <w:rStyle w:val="Hyperlink"/>
        </w:rPr>
        <w:t>.</w:t>
      </w:r>
    </w:p>
    <w:p w14:paraId="12BC3872" w14:textId="183B6E9D" w:rsidR="008105CC" w:rsidRPr="000E598A" w:rsidRDefault="00FB2BB5" w:rsidP="00853962">
      <w:pPr>
        <w:pStyle w:val="Bodynumbered1"/>
        <w:ind w:left="709" w:hanging="567"/>
      </w:pPr>
      <w:bookmarkStart w:id="24" w:name="_Ref80941981"/>
      <w:r w:rsidRPr="000E598A">
        <w:t>If a Principal’s Registration Scheme does not apply,</w:t>
      </w:r>
      <w:r w:rsidR="00CF67EF" w:rsidRPr="000E598A">
        <w:t xml:space="preserve"> </w:t>
      </w:r>
      <w:r w:rsidRPr="000E598A">
        <w:t xml:space="preserve">documentary evidence of the proven performance of the </w:t>
      </w:r>
      <w:r w:rsidR="00CE2370" w:rsidRPr="000E598A">
        <w:t xml:space="preserve">sealant / joint </w:t>
      </w:r>
      <w:r w:rsidRPr="000E598A">
        <w:t>and compliance with this Specification</w:t>
      </w:r>
      <w:r w:rsidR="001D0BB6" w:rsidRPr="000E598A">
        <w:t>,</w:t>
      </w:r>
      <w:r w:rsidR="002F7F7D" w:rsidRPr="000E598A">
        <w:t xml:space="preserve"> including certification</w:t>
      </w:r>
      <w:r w:rsidR="00D13984" w:rsidRPr="000E598A">
        <w:t xml:space="preserve"> to</w:t>
      </w:r>
      <w:r w:rsidR="002F7F7D" w:rsidRPr="000E598A">
        <w:t xml:space="preserve"> AS/NZS ISO 9001</w:t>
      </w:r>
      <w:r w:rsidR="00ED0E3A" w:rsidRPr="000E598A">
        <w:t xml:space="preserve">, must be submitted to the </w:t>
      </w:r>
      <w:proofErr w:type="gramStart"/>
      <w:r w:rsidRPr="000E598A">
        <w:t>Principal</w:t>
      </w:r>
      <w:proofErr w:type="gramEnd"/>
      <w:r w:rsidRPr="000E598A">
        <w:t>.</w:t>
      </w:r>
      <w:bookmarkEnd w:id="23"/>
      <w:bookmarkEnd w:id="24"/>
    </w:p>
    <w:tbl>
      <w:tblPr>
        <w:tblStyle w:val="TMTable"/>
        <w:tblW w:w="5000" w:type="pct"/>
        <w:tblInd w:w="699" w:type="dxa"/>
        <w:tblLook w:val="04A0" w:firstRow="1" w:lastRow="0" w:firstColumn="1" w:lastColumn="0" w:noHBand="0" w:noVBand="1"/>
      </w:tblPr>
      <w:tblGrid>
        <w:gridCol w:w="1843"/>
        <w:gridCol w:w="7647"/>
      </w:tblGrid>
      <w:tr w:rsidR="00FB2BB5" w:rsidRPr="000E598A" w14:paraId="5363616A" w14:textId="77777777" w:rsidTr="00AA67F9">
        <w:trPr>
          <w:cnfStyle w:val="100000000000" w:firstRow="1" w:lastRow="0" w:firstColumn="0" w:lastColumn="0" w:oddVBand="0" w:evenVBand="0" w:oddHBand="0" w:evenHBand="0" w:firstRowFirstColumn="0" w:firstRowLastColumn="0" w:lastRowFirstColumn="0" w:lastRowLastColumn="0"/>
          <w:tblHeader/>
        </w:trPr>
        <w:tc>
          <w:tcPr>
            <w:tcW w:w="5000" w:type="pct"/>
            <w:gridSpan w:val="2"/>
            <w:shd w:val="clear" w:color="auto" w:fill="004259"/>
            <w:hideMark/>
          </w:tcPr>
          <w:p w14:paraId="59CE1E0B" w14:textId="77777777" w:rsidR="00FB2BB5" w:rsidRPr="00FE4265" w:rsidRDefault="00FB2BB5" w:rsidP="00FE4265">
            <w:pPr>
              <w:pStyle w:val="TableHeading"/>
              <w:rPr>
                <w:b/>
                <w:bCs/>
              </w:rPr>
            </w:pPr>
            <w:r w:rsidRPr="00FE4265">
              <w:rPr>
                <w:b/>
                <w:bCs/>
              </w:rPr>
              <w:lastRenderedPageBreak/>
              <w:t>HOLD POINT 1.</w:t>
            </w:r>
          </w:p>
        </w:tc>
      </w:tr>
      <w:tr w:rsidR="00FB2BB5" w:rsidRPr="000E598A" w14:paraId="5378ECD1" w14:textId="77777777" w:rsidTr="004E54CC">
        <w:trPr>
          <w:cnfStyle w:val="100000000000" w:firstRow="1" w:lastRow="0" w:firstColumn="0" w:lastColumn="0" w:oddVBand="0" w:evenVBand="0" w:oddHBand="0" w:evenHBand="0" w:firstRowFirstColumn="0" w:firstRowLastColumn="0" w:lastRowFirstColumn="0" w:lastRowLastColumn="0"/>
          <w:tblHeader/>
        </w:trPr>
        <w:tc>
          <w:tcPr>
            <w:tcW w:w="971" w:type="pct"/>
            <w:tcBorders>
              <w:bottom w:val="single" w:sz="4" w:space="0" w:color="FFFFFF" w:themeColor="background1"/>
            </w:tcBorders>
            <w:hideMark/>
          </w:tcPr>
          <w:p w14:paraId="269CFC0C" w14:textId="77777777" w:rsidR="00FB2BB5" w:rsidRPr="00AA67F9" w:rsidRDefault="00FB2BB5" w:rsidP="00AA67F9">
            <w:pPr>
              <w:pStyle w:val="TableBodyText"/>
              <w:rPr>
                <w:rFonts w:cstheme="minorBidi"/>
                <w:b w:val="0"/>
                <w:bCs w:val="0"/>
              </w:rPr>
            </w:pPr>
            <w:r w:rsidRPr="00AA67F9">
              <w:rPr>
                <w:b w:val="0"/>
                <w:bCs w:val="0"/>
              </w:rPr>
              <w:t>Process Held</w:t>
            </w:r>
          </w:p>
        </w:tc>
        <w:tc>
          <w:tcPr>
            <w:tcW w:w="4029" w:type="pct"/>
            <w:tcBorders>
              <w:bottom w:val="single" w:sz="4" w:space="0" w:color="FFFFFF" w:themeColor="background1"/>
            </w:tcBorders>
            <w:hideMark/>
          </w:tcPr>
          <w:p w14:paraId="6F7E1858" w14:textId="0825D9A2" w:rsidR="00FB2BB5" w:rsidRPr="00AA67F9" w:rsidRDefault="00FB2BB5" w:rsidP="00AA67F9">
            <w:pPr>
              <w:pStyle w:val="TableBodyText"/>
              <w:rPr>
                <w:b w:val="0"/>
                <w:bCs w:val="0"/>
              </w:rPr>
            </w:pPr>
            <w:r w:rsidRPr="00AA67F9">
              <w:rPr>
                <w:b w:val="0"/>
                <w:bCs w:val="0"/>
              </w:rPr>
              <w:t xml:space="preserve">Installation of the </w:t>
            </w:r>
            <w:r w:rsidR="003640E5" w:rsidRPr="00AA67F9">
              <w:rPr>
                <w:b w:val="0"/>
                <w:bCs w:val="0"/>
              </w:rPr>
              <w:t>Sealant</w:t>
            </w:r>
            <w:r w:rsidRPr="00AA67F9">
              <w:rPr>
                <w:b w:val="0"/>
                <w:bCs w:val="0"/>
              </w:rPr>
              <w:t xml:space="preserve"> Joint</w:t>
            </w:r>
          </w:p>
        </w:tc>
      </w:tr>
      <w:tr w:rsidR="00FB2BB5" w:rsidRPr="000E598A" w14:paraId="13F1FAED" w14:textId="77777777" w:rsidTr="004E54CC">
        <w:trPr>
          <w:cnfStyle w:val="100000000000" w:firstRow="1" w:lastRow="0" w:firstColumn="0" w:lastColumn="0" w:oddVBand="0" w:evenVBand="0" w:oddHBand="0" w:evenHBand="0" w:firstRowFirstColumn="0" w:firstRowLastColumn="0" w:lastRowFirstColumn="0" w:lastRowLastColumn="0"/>
          <w:tblHeader/>
        </w:trPr>
        <w:tc>
          <w:tcPr>
            <w:tcW w:w="971" w:type="pct"/>
            <w:tcBorders>
              <w:bottom w:val="single" w:sz="4" w:space="0" w:color="FFFFFF" w:themeColor="background1"/>
            </w:tcBorders>
            <w:hideMark/>
          </w:tcPr>
          <w:p w14:paraId="6121E9B6" w14:textId="77777777" w:rsidR="00FB2BB5" w:rsidRPr="00AA67F9" w:rsidRDefault="00FB2BB5" w:rsidP="00AA67F9">
            <w:pPr>
              <w:pStyle w:val="TableBodyText"/>
              <w:rPr>
                <w:b w:val="0"/>
                <w:bCs w:val="0"/>
              </w:rPr>
            </w:pPr>
            <w:r w:rsidRPr="00AA67F9">
              <w:rPr>
                <w:b w:val="0"/>
                <w:bCs w:val="0"/>
              </w:rPr>
              <w:t>Submission Details</w:t>
            </w:r>
          </w:p>
        </w:tc>
        <w:tc>
          <w:tcPr>
            <w:tcW w:w="4029" w:type="pct"/>
            <w:tcBorders>
              <w:bottom w:val="single" w:sz="4" w:space="0" w:color="FFFFFF" w:themeColor="background1"/>
            </w:tcBorders>
            <w:hideMark/>
          </w:tcPr>
          <w:p w14:paraId="6D0FD883" w14:textId="5A4D3B4C" w:rsidR="00FB2BB5" w:rsidRPr="00AA67F9" w:rsidRDefault="00FB2BB5" w:rsidP="00AA67F9">
            <w:pPr>
              <w:pStyle w:val="TableBodyText"/>
              <w:rPr>
                <w:b w:val="0"/>
                <w:bCs w:val="0"/>
              </w:rPr>
            </w:pPr>
            <w:r w:rsidRPr="00AA67F9">
              <w:rPr>
                <w:b w:val="0"/>
                <w:bCs w:val="0"/>
              </w:rPr>
              <w:t xml:space="preserve">The </w:t>
            </w:r>
            <w:r w:rsidR="00D12EA9" w:rsidRPr="00AA67F9">
              <w:rPr>
                <w:b w:val="0"/>
                <w:bCs w:val="0"/>
              </w:rPr>
              <w:t>Quality Plan</w:t>
            </w:r>
            <w:r w:rsidRPr="00AA67F9">
              <w:rPr>
                <w:b w:val="0"/>
                <w:bCs w:val="0"/>
              </w:rPr>
              <w:t xml:space="preserve"> and the documentation required under Clause</w:t>
            </w:r>
            <w:r w:rsidR="00FE4312" w:rsidRPr="00AA67F9">
              <w:rPr>
                <w:b w:val="0"/>
                <w:bCs w:val="0"/>
              </w:rPr>
              <w:t xml:space="preserve"> </w:t>
            </w:r>
            <w:r w:rsidR="00FE4312" w:rsidRPr="00AA67F9">
              <w:rPr>
                <w:bCs w:val="0"/>
              </w:rPr>
              <w:fldChar w:fldCharType="begin"/>
            </w:r>
            <w:r w:rsidR="00FE4312" w:rsidRPr="00AA67F9">
              <w:rPr>
                <w:b w:val="0"/>
                <w:bCs w:val="0"/>
              </w:rPr>
              <w:instrText xml:space="preserve"> REF _Ref78385703 \r \h  \* MERGEFORMAT </w:instrText>
            </w:r>
            <w:r w:rsidR="00FE4312" w:rsidRPr="00AA67F9">
              <w:rPr>
                <w:bCs w:val="0"/>
              </w:rPr>
            </w:r>
            <w:r w:rsidR="00FE4312" w:rsidRPr="00AA67F9">
              <w:rPr>
                <w:bCs w:val="0"/>
              </w:rPr>
              <w:fldChar w:fldCharType="separate"/>
            </w:r>
            <w:r w:rsidR="00851F44" w:rsidRPr="00AA67F9">
              <w:rPr>
                <w:b w:val="0"/>
                <w:bCs w:val="0"/>
              </w:rPr>
              <w:t>4.3</w:t>
            </w:r>
            <w:r w:rsidR="00FE4312" w:rsidRPr="00AA67F9">
              <w:rPr>
                <w:bCs w:val="0"/>
              </w:rPr>
              <w:fldChar w:fldCharType="end"/>
            </w:r>
            <w:r w:rsidRPr="00AA67F9">
              <w:rPr>
                <w:b w:val="0"/>
                <w:bCs w:val="0"/>
              </w:rPr>
              <w:t xml:space="preserve"> </w:t>
            </w:r>
            <w:r w:rsidR="00FE4312" w:rsidRPr="00AA67F9">
              <w:rPr>
                <w:b w:val="0"/>
                <w:bCs w:val="0"/>
              </w:rPr>
              <w:t xml:space="preserve">or </w:t>
            </w:r>
            <w:r w:rsidR="00FE4312" w:rsidRPr="00AA67F9">
              <w:rPr>
                <w:bCs w:val="0"/>
              </w:rPr>
              <w:fldChar w:fldCharType="begin"/>
            </w:r>
            <w:r w:rsidR="00FE4312" w:rsidRPr="00AA67F9">
              <w:rPr>
                <w:b w:val="0"/>
                <w:bCs w:val="0"/>
              </w:rPr>
              <w:instrText xml:space="preserve"> REF _Ref80941981 \r \h </w:instrText>
            </w:r>
            <w:r w:rsidR="00352AB1" w:rsidRPr="00AA67F9">
              <w:rPr>
                <w:b w:val="0"/>
                <w:bCs w:val="0"/>
              </w:rPr>
              <w:instrText xml:space="preserve"> \* MERGEFORMAT </w:instrText>
            </w:r>
            <w:r w:rsidR="00FE4312" w:rsidRPr="00AA67F9">
              <w:rPr>
                <w:bCs w:val="0"/>
              </w:rPr>
            </w:r>
            <w:r w:rsidR="00FE4312" w:rsidRPr="00AA67F9">
              <w:rPr>
                <w:bCs w:val="0"/>
              </w:rPr>
              <w:fldChar w:fldCharType="separate"/>
            </w:r>
            <w:r w:rsidR="00851F44" w:rsidRPr="00AA67F9">
              <w:rPr>
                <w:b w:val="0"/>
                <w:bCs w:val="0"/>
              </w:rPr>
              <w:t>4.4</w:t>
            </w:r>
            <w:r w:rsidR="00FE4312" w:rsidRPr="00AA67F9">
              <w:rPr>
                <w:bCs w:val="0"/>
              </w:rPr>
              <w:fldChar w:fldCharType="end"/>
            </w:r>
            <w:r w:rsidRPr="00AA67F9">
              <w:rPr>
                <w:b w:val="0"/>
                <w:bCs w:val="0"/>
              </w:rPr>
              <w:t xml:space="preserve">  must be submitted to the Principal at least 15 working days prior to the commencement of the installation of the </w:t>
            </w:r>
            <w:r w:rsidR="003640E5" w:rsidRPr="00AA67F9">
              <w:rPr>
                <w:b w:val="0"/>
                <w:bCs w:val="0"/>
              </w:rPr>
              <w:t>Sealant</w:t>
            </w:r>
            <w:r w:rsidRPr="00AA67F9">
              <w:rPr>
                <w:b w:val="0"/>
                <w:bCs w:val="0"/>
              </w:rPr>
              <w:t xml:space="preserve"> Joint.</w:t>
            </w:r>
          </w:p>
        </w:tc>
      </w:tr>
    </w:tbl>
    <w:p w14:paraId="53DE5B6C" w14:textId="0DCBD40F" w:rsidR="00D845B3" w:rsidRPr="000E598A" w:rsidRDefault="007A1818" w:rsidP="000B08A3">
      <w:pPr>
        <w:pStyle w:val="Heading1"/>
        <w:ind w:left="709" w:hanging="567"/>
      </w:pPr>
      <w:bookmarkStart w:id="25" w:name="_Ref40856376"/>
      <w:bookmarkStart w:id="26" w:name="_Toc116396984"/>
      <w:bookmarkStart w:id="27" w:name="_Toc29489164"/>
      <w:bookmarkStart w:id="28" w:name="_Toc1138829"/>
      <w:bookmarkStart w:id="29" w:name="_Toc9850016"/>
      <w:bookmarkStart w:id="30" w:name="_Hlk9434043"/>
      <w:bookmarkEnd w:id="19"/>
      <w:r w:rsidRPr="000E598A">
        <w:rPr>
          <w:caps w:val="0"/>
        </w:rPr>
        <w:t>Sealant Selection</w:t>
      </w:r>
      <w:bookmarkEnd w:id="25"/>
      <w:bookmarkEnd w:id="26"/>
    </w:p>
    <w:p w14:paraId="0378521B" w14:textId="77777777" w:rsidR="00EC07C6" w:rsidRPr="000E598A" w:rsidRDefault="00EC07C6" w:rsidP="00EA6E6E">
      <w:pPr>
        <w:pStyle w:val="Heading2"/>
        <w:ind w:hanging="425"/>
      </w:pPr>
      <w:bookmarkStart w:id="31" w:name="_Toc116396985"/>
      <w:r w:rsidRPr="000E598A">
        <w:t>General</w:t>
      </w:r>
      <w:bookmarkEnd w:id="31"/>
    </w:p>
    <w:p w14:paraId="329CECE6" w14:textId="592A8978" w:rsidR="007B5B93" w:rsidRPr="000E598A" w:rsidRDefault="007B5B93" w:rsidP="00853962">
      <w:pPr>
        <w:pStyle w:val="Bodynumbered1"/>
        <w:ind w:left="709" w:hanging="567"/>
      </w:pPr>
      <w:r w:rsidRPr="000E598A">
        <w:t xml:space="preserve">The </w:t>
      </w:r>
      <w:r w:rsidR="000D4DB1" w:rsidRPr="000E598A">
        <w:t xml:space="preserve">sealant </w:t>
      </w:r>
      <w:r w:rsidRPr="000E598A">
        <w:t>must</w:t>
      </w:r>
      <w:r w:rsidR="001E6C58" w:rsidRPr="000E598A">
        <w:t xml:space="preserve"> </w:t>
      </w:r>
      <w:r w:rsidR="004357C0" w:rsidRPr="000E598A">
        <w:t xml:space="preserve">be selected </w:t>
      </w:r>
      <w:r w:rsidR="00344998" w:rsidRPr="000E598A">
        <w:t xml:space="preserve">in accordance with </w:t>
      </w:r>
      <w:r w:rsidRPr="000E598A">
        <w:t xml:space="preserve">AS 5100.4 (in Australia) or </w:t>
      </w:r>
      <w:bookmarkStart w:id="32" w:name="_Hlk78380922"/>
      <w:r w:rsidRPr="000E598A">
        <w:t xml:space="preserve">SP/M/022 </w:t>
      </w:r>
      <w:bookmarkEnd w:id="32"/>
      <w:r w:rsidRPr="000E598A">
        <w:t xml:space="preserve">(in New Zealand) </w:t>
      </w:r>
      <w:r w:rsidR="00A51972" w:rsidRPr="000E598A">
        <w:t xml:space="preserve">and </w:t>
      </w:r>
      <w:r w:rsidRPr="000E598A">
        <w:t>as amended by this Specification</w:t>
      </w:r>
      <w:r w:rsidR="009C52CE" w:rsidRPr="000E598A">
        <w:t>.</w:t>
      </w:r>
      <w:r w:rsidRPr="000E598A">
        <w:t xml:space="preserve"> </w:t>
      </w:r>
      <w:r w:rsidR="009C52CE" w:rsidRPr="000E598A">
        <w:t>The sealants must satisfy all joint design and performance requirements, including strains in the sealant at maximum and minimum joint opening</w:t>
      </w:r>
      <w:r w:rsidR="00A51972" w:rsidRPr="000E598A">
        <w:t>.</w:t>
      </w:r>
    </w:p>
    <w:p w14:paraId="26A0A84B" w14:textId="190A64AB" w:rsidR="006507A9" w:rsidRPr="000E598A" w:rsidRDefault="007428D9" w:rsidP="00853962">
      <w:pPr>
        <w:pStyle w:val="Bodynumbered1"/>
        <w:ind w:left="709" w:hanging="567"/>
      </w:pPr>
      <w:bookmarkStart w:id="33" w:name="_Ref80945517"/>
      <w:r w:rsidRPr="000E598A">
        <w:t>C</w:t>
      </w:r>
      <w:r w:rsidR="00C53B87" w:rsidRPr="000E598A">
        <w:t xml:space="preserve">alculations verifying that the strains in the sealants at </w:t>
      </w:r>
      <w:r w:rsidR="00E579D2" w:rsidRPr="000E598A">
        <w:t xml:space="preserve">the Ultimate Limit State </w:t>
      </w:r>
      <w:r w:rsidR="00C53B87" w:rsidRPr="000E598A">
        <w:t>are within the</w:t>
      </w:r>
      <w:r w:rsidR="003621AB" w:rsidRPr="000E598A">
        <w:t xml:space="preserve"> </w:t>
      </w:r>
      <w:r w:rsidR="00C53B87" w:rsidRPr="000E598A">
        <w:t>limits specified in AS 5100.4</w:t>
      </w:r>
      <w:r w:rsidR="0022185E" w:rsidRPr="000E598A">
        <w:t xml:space="preserve"> </w:t>
      </w:r>
      <w:r w:rsidR="001E6C58" w:rsidRPr="000E598A">
        <w:t xml:space="preserve">or SP/M/022 </w:t>
      </w:r>
      <w:r w:rsidR="0022185E" w:rsidRPr="000E598A">
        <w:t xml:space="preserve">must be submitted to the </w:t>
      </w:r>
      <w:proofErr w:type="gramStart"/>
      <w:r w:rsidR="0022185E" w:rsidRPr="000E598A">
        <w:t>Principal</w:t>
      </w:r>
      <w:proofErr w:type="gramEnd"/>
      <w:r w:rsidR="009F4D10" w:rsidRPr="000E598A">
        <w:t>.</w:t>
      </w:r>
      <w:bookmarkEnd w:id="33"/>
    </w:p>
    <w:p w14:paraId="06B7984F" w14:textId="7D82C0F8" w:rsidR="003F4501" w:rsidRPr="000E598A" w:rsidRDefault="003F4501" w:rsidP="000B08A3">
      <w:pPr>
        <w:pStyle w:val="Heading1"/>
        <w:ind w:left="709" w:hanging="567"/>
      </w:pPr>
      <w:bookmarkStart w:id="34" w:name="_Toc116396986"/>
      <w:bookmarkStart w:id="35" w:name="_Hlk40876106"/>
      <w:r w:rsidRPr="000B08A3">
        <w:rPr>
          <w:caps w:val="0"/>
        </w:rPr>
        <w:t>Material</w:t>
      </w:r>
      <w:r w:rsidR="00170376" w:rsidRPr="000B08A3">
        <w:rPr>
          <w:caps w:val="0"/>
        </w:rPr>
        <w:t>s</w:t>
      </w:r>
      <w:bookmarkEnd w:id="27"/>
      <w:bookmarkEnd w:id="34"/>
    </w:p>
    <w:p w14:paraId="4903C744" w14:textId="110A5D83" w:rsidR="00BA2B04" w:rsidRPr="000E598A" w:rsidRDefault="004C3DD4" w:rsidP="000A29DC">
      <w:pPr>
        <w:pStyle w:val="Heading2"/>
        <w:ind w:hanging="425"/>
      </w:pPr>
      <w:bookmarkStart w:id="36" w:name="_Toc116396987"/>
      <w:bookmarkStart w:id="37" w:name="_Ref15996048"/>
      <w:bookmarkEnd w:id="35"/>
      <w:r w:rsidRPr="000E598A">
        <w:t>Sealant – Classification</w:t>
      </w:r>
      <w:bookmarkEnd w:id="36"/>
    </w:p>
    <w:p w14:paraId="13969C35" w14:textId="6C0DF504" w:rsidR="00AF3A7C" w:rsidRPr="000E598A" w:rsidRDefault="00D20DF8" w:rsidP="00853962">
      <w:pPr>
        <w:pStyle w:val="Bodynumbered1"/>
        <w:ind w:left="709" w:hanging="567"/>
      </w:pPr>
      <w:bookmarkStart w:id="38" w:name="_Ref40881871"/>
      <w:r w:rsidRPr="000E598A">
        <w:t xml:space="preserve">Sealants for use under this Specification are classified as shown in Table </w:t>
      </w:r>
      <w:r w:rsidRPr="000E598A">
        <w:fldChar w:fldCharType="begin"/>
      </w:r>
      <w:r w:rsidRPr="000E598A">
        <w:instrText xml:space="preserve"> REF _Ref40881871 \r \h </w:instrText>
      </w:r>
      <w:r w:rsidR="00352AB1" w:rsidRPr="000E598A">
        <w:instrText xml:space="preserve"> \* MERGEFORMAT </w:instrText>
      </w:r>
      <w:r w:rsidRPr="000E598A">
        <w:fldChar w:fldCharType="separate"/>
      </w:r>
      <w:r w:rsidR="00851F44" w:rsidRPr="000E598A">
        <w:t>6.1</w:t>
      </w:r>
      <w:r w:rsidRPr="000E598A">
        <w:fldChar w:fldCharType="end"/>
      </w:r>
      <w:r w:rsidR="00AF3A7C" w:rsidRPr="000E598A">
        <w:t>.</w:t>
      </w:r>
      <w:bookmarkEnd w:id="38"/>
    </w:p>
    <w:p w14:paraId="07B3C352" w14:textId="603BF7E3" w:rsidR="00FB3071" w:rsidRPr="000E598A" w:rsidRDefault="00FB3071" w:rsidP="005C767D">
      <w:pPr>
        <w:pStyle w:val="Caption"/>
        <w:ind w:hanging="992"/>
      </w:pPr>
      <w:r w:rsidRPr="000E598A">
        <w:t xml:space="preserve">Table </w:t>
      </w:r>
      <w:r w:rsidRPr="000E598A">
        <w:fldChar w:fldCharType="begin"/>
      </w:r>
      <w:r w:rsidRPr="000E598A">
        <w:instrText xml:space="preserve"> REF _Ref40881871 \r \h </w:instrText>
      </w:r>
      <w:r w:rsidR="00B97DA4" w:rsidRPr="000E598A">
        <w:instrText xml:space="preserve"> \* MERGEFORMAT </w:instrText>
      </w:r>
      <w:r w:rsidRPr="000E598A">
        <w:fldChar w:fldCharType="separate"/>
      </w:r>
      <w:r w:rsidR="00851F44" w:rsidRPr="000E598A">
        <w:t>6.1</w:t>
      </w:r>
      <w:r w:rsidRPr="000E598A">
        <w:fldChar w:fldCharType="end"/>
      </w:r>
      <w:r w:rsidRPr="000E598A">
        <w:t xml:space="preserve"> – Sealant Classification</w:t>
      </w:r>
    </w:p>
    <w:tbl>
      <w:tblPr>
        <w:tblStyle w:val="TMTable2"/>
        <w:tblW w:w="5000" w:type="pct"/>
        <w:tblInd w:w="699" w:type="dxa"/>
        <w:shd w:val="clear" w:color="auto" w:fill="D9D9D9" w:themeFill="background1" w:themeFillShade="D9"/>
        <w:tblLook w:val="04A0" w:firstRow="1" w:lastRow="0" w:firstColumn="1" w:lastColumn="0" w:noHBand="0" w:noVBand="1"/>
      </w:tblPr>
      <w:tblGrid>
        <w:gridCol w:w="1418"/>
        <w:gridCol w:w="8072"/>
      </w:tblGrid>
      <w:tr w:rsidR="00B403A2" w:rsidRPr="00F436E2" w14:paraId="07529D8D" w14:textId="77777777" w:rsidTr="004E54CC">
        <w:trPr>
          <w:cnfStyle w:val="100000000000" w:firstRow="1" w:lastRow="0" w:firstColumn="0" w:lastColumn="0" w:oddVBand="0" w:evenVBand="0" w:oddHBand="0" w:evenHBand="0" w:firstRowFirstColumn="0" w:firstRowLastColumn="0" w:lastRowFirstColumn="0" w:lastRowLastColumn="0"/>
        </w:trPr>
        <w:tc>
          <w:tcPr>
            <w:tcW w:w="747" w:type="pct"/>
            <w:tcBorders>
              <w:bottom w:val="single" w:sz="4" w:space="0" w:color="FFFFFF" w:themeColor="background1"/>
            </w:tcBorders>
          </w:tcPr>
          <w:p w14:paraId="767B731F" w14:textId="0E81A981" w:rsidR="00B403A2" w:rsidRPr="005C767D" w:rsidRDefault="00B403A2" w:rsidP="005C767D">
            <w:pPr>
              <w:pStyle w:val="TableHeading"/>
              <w:rPr>
                <w:color w:val="auto"/>
              </w:rPr>
            </w:pPr>
            <w:r w:rsidRPr="005C767D">
              <w:rPr>
                <w:b/>
                <w:color w:val="auto"/>
                <w:lang w:val="en-US"/>
              </w:rPr>
              <w:t>Classification</w:t>
            </w:r>
          </w:p>
        </w:tc>
        <w:tc>
          <w:tcPr>
            <w:tcW w:w="4253" w:type="pct"/>
            <w:tcBorders>
              <w:bottom w:val="single" w:sz="4" w:space="0" w:color="FFFFFF" w:themeColor="background1"/>
            </w:tcBorders>
          </w:tcPr>
          <w:p w14:paraId="78FC6F9C" w14:textId="607267DC" w:rsidR="00B403A2" w:rsidRPr="005C767D" w:rsidRDefault="00B403A2" w:rsidP="005C767D">
            <w:pPr>
              <w:pStyle w:val="TableHeading"/>
              <w:rPr>
                <w:color w:val="auto"/>
              </w:rPr>
            </w:pPr>
            <w:r w:rsidRPr="005C767D">
              <w:rPr>
                <w:b/>
                <w:color w:val="auto"/>
                <w:lang w:val="en-US"/>
              </w:rPr>
              <w:t>Application</w:t>
            </w:r>
          </w:p>
        </w:tc>
      </w:tr>
      <w:tr w:rsidR="00B403A2" w:rsidRPr="00F436E2" w14:paraId="0FCAEB5E" w14:textId="77777777" w:rsidTr="004E54CC">
        <w:tc>
          <w:tcPr>
            <w:tcW w:w="747" w:type="pct"/>
            <w:tcBorders>
              <w:bottom w:val="single" w:sz="4" w:space="0" w:color="FFFFFF" w:themeColor="background1"/>
            </w:tcBorders>
          </w:tcPr>
          <w:p w14:paraId="445B837B" w14:textId="5D5A9E72" w:rsidR="00B403A2" w:rsidRPr="00F436E2" w:rsidRDefault="00B403A2" w:rsidP="00F436E2">
            <w:pPr>
              <w:pStyle w:val="TableBodyText"/>
            </w:pPr>
            <w:r w:rsidRPr="00F436E2">
              <w:t>Type 1 (1)</w:t>
            </w:r>
          </w:p>
        </w:tc>
        <w:tc>
          <w:tcPr>
            <w:tcW w:w="4253" w:type="pct"/>
            <w:tcBorders>
              <w:bottom w:val="single" w:sz="4" w:space="0" w:color="FFFFFF" w:themeColor="background1"/>
            </w:tcBorders>
          </w:tcPr>
          <w:p w14:paraId="05CFCBD2" w14:textId="65114962" w:rsidR="00B403A2" w:rsidRPr="00F436E2" w:rsidRDefault="00B403A2" w:rsidP="00F436E2">
            <w:pPr>
              <w:pStyle w:val="TableBodyText"/>
            </w:pPr>
            <w:r w:rsidRPr="00F436E2">
              <w:t>Joints sawn in asphalt road surface.</w:t>
            </w:r>
          </w:p>
        </w:tc>
      </w:tr>
      <w:tr w:rsidR="00B403A2" w:rsidRPr="00F436E2" w14:paraId="617530D8" w14:textId="77777777" w:rsidTr="004E54CC">
        <w:tc>
          <w:tcPr>
            <w:tcW w:w="747" w:type="pct"/>
            <w:tcBorders>
              <w:bottom w:val="single" w:sz="4" w:space="0" w:color="FFFFFF" w:themeColor="background1"/>
            </w:tcBorders>
          </w:tcPr>
          <w:p w14:paraId="406F2E02" w14:textId="2F30ABE9" w:rsidR="00B403A2" w:rsidRPr="00F436E2" w:rsidRDefault="00B403A2" w:rsidP="00B403A2">
            <w:pPr>
              <w:pStyle w:val="TableBodyText"/>
            </w:pPr>
            <w:r w:rsidRPr="00F436E2">
              <w:t>Type 2 (2)</w:t>
            </w:r>
          </w:p>
        </w:tc>
        <w:tc>
          <w:tcPr>
            <w:tcW w:w="4253" w:type="pct"/>
            <w:tcBorders>
              <w:bottom w:val="single" w:sz="4" w:space="0" w:color="FFFFFF" w:themeColor="background1"/>
            </w:tcBorders>
          </w:tcPr>
          <w:p w14:paraId="03545C5F" w14:textId="77777777" w:rsidR="00B403A2" w:rsidRPr="00F436E2" w:rsidRDefault="00B403A2" w:rsidP="00B403A2">
            <w:pPr>
              <w:pStyle w:val="TableBodyText"/>
            </w:pPr>
            <w:r w:rsidRPr="00F436E2">
              <w:t>Joints in concrete decks, as follows:</w:t>
            </w:r>
          </w:p>
          <w:p w14:paraId="566860B5" w14:textId="77777777" w:rsidR="00B403A2" w:rsidRPr="004E54CC" w:rsidRDefault="00B403A2" w:rsidP="004E54CC">
            <w:pPr>
              <w:pStyle w:val="TableBullet1"/>
            </w:pPr>
            <w:r w:rsidRPr="004E54CC">
              <w:t>Joints in concrete bridge decks underneath asphalt, with gaps at installation ≤ 15 mm but with maximum joint gap ≤ 25 mm.</w:t>
            </w:r>
          </w:p>
          <w:p w14:paraId="7D52E26F" w14:textId="77777777" w:rsidR="00B403A2" w:rsidRPr="00F436E2" w:rsidRDefault="00B403A2" w:rsidP="004E54CC">
            <w:pPr>
              <w:pStyle w:val="TableBullet1"/>
            </w:pPr>
            <w:r w:rsidRPr="004E54CC">
              <w:t xml:space="preserve">Joints in </w:t>
            </w:r>
            <w:r w:rsidRPr="00F436E2">
              <w:t>concrete bridge decks without asphalt overlay, with gaps at installation ≤ 25 mm but with maximum joint gap ≤ 38 mm.</w:t>
            </w:r>
          </w:p>
          <w:p w14:paraId="0444E0EA" w14:textId="6FC5B5A1" w:rsidR="00B403A2" w:rsidRPr="00F436E2" w:rsidRDefault="00B403A2" w:rsidP="00E90F51">
            <w:pPr>
              <w:pStyle w:val="TableBullet1"/>
            </w:pPr>
            <w:r w:rsidRPr="00F436E2">
              <w:t>Joints in concrete components not subject to traffic, such as kerbs and barriers, with gaps at installation ≤ 40 mm but with maximum joint gap ≤ 50 mm.</w:t>
            </w:r>
          </w:p>
        </w:tc>
      </w:tr>
      <w:tr w:rsidR="00B403A2" w:rsidRPr="00F436E2" w14:paraId="0F265049" w14:textId="77777777" w:rsidTr="004E54CC">
        <w:tc>
          <w:tcPr>
            <w:tcW w:w="747" w:type="pct"/>
            <w:tcBorders>
              <w:bottom w:val="single" w:sz="4" w:space="0" w:color="FFFFFF" w:themeColor="background1"/>
            </w:tcBorders>
          </w:tcPr>
          <w:p w14:paraId="0C446748" w14:textId="69EF9DF9" w:rsidR="00B403A2" w:rsidRPr="00F436E2" w:rsidRDefault="00B403A2" w:rsidP="00B403A2">
            <w:pPr>
              <w:pStyle w:val="TableBodyText"/>
            </w:pPr>
            <w:r w:rsidRPr="00F436E2">
              <w:t>Type 3 (3)</w:t>
            </w:r>
          </w:p>
        </w:tc>
        <w:tc>
          <w:tcPr>
            <w:tcW w:w="4253" w:type="pct"/>
            <w:tcBorders>
              <w:bottom w:val="single" w:sz="4" w:space="0" w:color="FFFFFF" w:themeColor="background1"/>
            </w:tcBorders>
          </w:tcPr>
          <w:p w14:paraId="373AE303" w14:textId="4FD9F5D2" w:rsidR="00B403A2" w:rsidRPr="00F436E2" w:rsidRDefault="00B403A2" w:rsidP="00B403A2">
            <w:pPr>
              <w:pStyle w:val="TableBodyText"/>
            </w:pPr>
            <w:r w:rsidRPr="00F436E2">
              <w:t>Joints in concrete decks, as follows:</w:t>
            </w:r>
          </w:p>
          <w:p w14:paraId="6923CA38" w14:textId="64A8A360" w:rsidR="00B403A2" w:rsidRPr="00B403A2" w:rsidRDefault="00B403A2" w:rsidP="004E54CC">
            <w:pPr>
              <w:pStyle w:val="TableBullet1"/>
            </w:pPr>
            <w:r w:rsidRPr="00B403A2">
              <w:t>Joints in concrete bridge decks underneath asphalt, with gaps at installation &gt; 15 mm but with maximum joint gap ≤ 35 mm.</w:t>
            </w:r>
          </w:p>
          <w:p w14:paraId="1D11C846" w14:textId="0E9D03C9" w:rsidR="00B403A2" w:rsidRPr="00B403A2" w:rsidRDefault="00B403A2" w:rsidP="004E54CC">
            <w:pPr>
              <w:pStyle w:val="TableBullet1"/>
            </w:pPr>
            <w:r w:rsidRPr="00B403A2">
              <w:t>Joints in concrete bridge decks without asphalt overlay, with gaps at installation &gt; 25 mm but with maximum joint gap ≤ 45 mm.</w:t>
            </w:r>
          </w:p>
          <w:p w14:paraId="4E3CD78E" w14:textId="3C876AB9" w:rsidR="00B403A2" w:rsidRPr="00F436E2" w:rsidRDefault="00B403A2" w:rsidP="004E54CC">
            <w:pPr>
              <w:pStyle w:val="TableBullet1"/>
            </w:pPr>
            <w:r w:rsidRPr="00B403A2">
              <w:t>Joints in concrete components not subject to traffic, such as kerbs and barriers, with gaps at installation &gt; 40 mm but with maximum joint gap ≤ 50 mm.</w:t>
            </w:r>
          </w:p>
        </w:tc>
      </w:tr>
    </w:tbl>
    <w:p w14:paraId="0AF0A7FA" w14:textId="0B4059CE" w:rsidR="00F41A63" w:rsidRPr="000E598A" w:rsidRDefault="00F41A63" w:rsidP="005C767D">
      <w:pPr>
        <w:pStyle w:val="NoteHeading"/>
        <w:ind w:left="709"/>
      </w:pPr>
      <w:r w:rsidRPr="000E598A">
        <w:t>Notes:</w:t>
      </w:r>
    </w:p>
    <w:p w14:paraId="4D68E389" w14:textId="1C62EDCA" w:rsidR="00F41A63" w:rsidRPr="000E598A" w:rsidRDefault="002D7650" w:rsidP="004E54CC">
      <w:pPr>
        <w:pStyle w:val="Notes"/>
        <w:numPr>
          <w:ilvl w:val="0"/>
          <w:numId w:val="0"/>
        </w:numPr>
        <w:tabs>
          <w:tab w:val="clear" w:pos="1276"/>
          <w:tab w:val="left" w:pos="1134"/>
        </w:tabs>
        <w:ind w:left="709"/>
      </w:pPr>
      <w:r w:rsidRPr="000E598A">
        <w:t>(1)</w:t>
      </w:r>
      <w:r w:rsidRPr="000E598A">
        <w:tab/>
      </w:r>
      <w:r w:rsidR="00F41A63" w:rsidRPr="000E598A">
        <w:t>Sealants may qualify for more than one classification.</w:t>
      </w:r>
    </w:p>
    <w:p w14:paraId="4BEDD4B4" w14:textId="1A491C93" w:rsidR="00F41A63" w:rsidRPr="000E598A" w:rsidRDefault="002D7650" w:rsidP="004E54CC">
      <w:pPr>
        <w:pStyle w:val="Notes"/>
        <w:numPr>
          <w:ilvl w:val="0"/>
          <w:numId w:val="0"/>
        </w:numPr>
        <w:tabs>
          <w:tab w:val="clear" w:pos="1276"/>
          <w:tab w:val="left" w:pos="1134"/>
        </w:tabs>
        <w:ind w:left="709"/>
      </w:pPr>
      <w:r w:rsidRPr="000E598A">
        <w:t>(2)</w:t>
      </w:r>
      <w:r w:rsidRPr="000E598A">
        <w:tab/>
      </w:r>
      <w:r w:rsidR="00F41A63" w:rsidRPr="000E598A">
        <w:t xml:space="preserve">Refer to Clause </w:t>
      </w:r>
      <w:r w:rsidR="004A7516" w:rsidRPr="000E598A">
        <w:fldChar w:fldCharType="begin"/>
      </w:r>
      <w:r w:rsidR="004A7516" w:rsidRPr="000E598A">
        <w:instrText xml:space="preserve"> REF _Ref61937160 \r \h </w:instrText>
      </w:r>
      <w:r w:rsidR="00352AB1" w:rsidRPr="000E598A">
        <w:instrText xml:space="preserve"> \* MERGEFORMAT </w:instrText>
      </w:r>
      <w:r w:rsidR="004A7516" w:rsidRPr="000E598A">
        <w:fldChar w:fldCharType="separate"/>
      </w:r>
      <w:r w:rsidR="00851F44" w:rsidRPr="000E598A">
        <w:t>8</w:t>
      </w:r>
      <w:r w:rsidR="004A7516" w:rsidRPr="000E598A">
        <w:fldChar w:fldCharType="end"/>
      </w:r>
      <w:r w:rsidR="00F41A63" w:rsidRPr="000E598A">
        <w:t xml:space="preserve"> for specified joint gaps for new bridge decks.</w:t>
      </w:r>
    </w:p>
    <w:p w14:paraId="4BADAE11" w14:textId="01DA041B" w:rsidR="002E3FE8" w:rsidRPr="000E598A" w:rsidRDefault="002D7650" w:rsidP="004E54CC">
      <w:pPr>
        <w:pStyle w:val="Notes"/>
        <w:numPr>
          <w:ilvl w:val="0"/>
          <w:numId w:val="0"/>
        </w:numPr>
        <w:tabs>
          <w:tab w:val="clear" w:pos="1276"/>
          <w:tab w:val="left" w:pos="1134"/>
        </w:tabs>
        <w:ind w:left="709"/>
      </w:pPr>
      <w:r w:rsidRPr="000E598A">
        <w:t>(3)</w:t>
      </w:r>
      <w:r w:rsidRPr="000E598A">
        <w:tab/>
      </w:r>
      <w:r w:rsidR="00F41A63" w:rsidRPr="000E598A">
        <w:t>Type 3 sealants are used in rehabilitation works only.</w:t>
      </w:r>
    </w:p>
    <w:p w14:paraId="29CE309E" w14:textId="1C0E8858" w:rsidR="00195DE2" w:rsidRPr="000E598A" w:rsidRDefault="00195DE2" w:rsidP="000A29DC">
      <w:pPr>
        <w:pStyle w:val="Heading2"/>
        <w:ind w:hanging="425"/>
      </w:pPr>
      <w:bookmarkStart w:id="39" w:name="_Toc116396988"/>
      <w:bookmarkStart w:id="40" w:name="_Ref40809533"/>
      <w:r w:rsidRPr="000E598A">
        <w:lastRenderedPageBreak/>
        <w:t>Sealant – General Properties</w:t>
      </w:r>
      <w:bookmarkEnd w:id="39"/>
    </w:p>
    <w:p w14:paraId="662BD54B" w14:textId="77777777" w:rsidR="00195DE2" w:rsidRPr="000E598A" w:rsidRDefault="00195DE2" w:rsidP="008F6332">
      <w:pPr>
        <w:pStyle w:val="Bodynumbered1"/>
        <w:keepNext/>
        <w:ind w:left="709" w:hanging="567"/>
      </w:pPr>
      <w:r w:rsidRPr="000E598A">
        <w:t xml:space="preserve">Sealants must be elastomeric and rapid curing, and cure chemically through moisture activation and/or </w:t>
      </w:r>
      <w:proofErr w:type="gramStart"/>
      <w:r w:rsidRPr="000E598A">
        <w:t>by the use of</w:t>
      </w:r>
      <w:proofErr w:type="gramEnd"/>
      <w:r w:rsidRPr="000E598A">
        <w:t xml:space="preserve"> crosslinking agents or promoters.</w:t>
      </w:r>
    </w:p>
    <w:p w14:paraId="08CB544D" w14:textId="77777777" w:rsidR="00195DE2" w:rsidRPr="000E598A" w:rsidRDefault="00195DE2" w:rsidP="00853962">
      <w:pPr>
        <w:pStyle w:val="Bodynumbered1"/>
        <w:ind w:left="709" w:hanging="567"/>
      </w:pPr>
      <w:r w:rsidRPr="000E598A">
        <w:t>Sealants may be single or multi-component formulations.</w:t>
      </w:r>
    </w:p>
    <w:p w14:paraId="3E359858" w14:textId="24E791A1" w:rsidR="00195DE2" w:rsidRPr="000E598A" w:rsidRDefault="00195DE2" w:rsidP="00853962">
      <w:pPr>
        <w:pStyle w:val="Bodynumbered1"/>
        <w:ind w:left="709" w:hanging="567"/>
      </w:pPr>
      <w:r w:rsidRPr="000E598A">
        <w:t xml:space="preserve">Sealants used in horizontal joints may be </w:t>
      </w:r>
      <w:r w:rsidR="008716E7" w:rsidRPr="000E598A">
        <w:t xml:space="preserve">either </w:t>
      </w:r>
      <w:r w:rsidRPr="000E598A">
        <w:t>self-levelling or non-sag. Sealants used in vertical joints must be non-sag.</w:t>
      </w:r>
    </w:p>
    <w:p w14:paraId="21FE76FA" w14:textId="77777777" w:rsidR="00195DE2" w:rsidRPr="000E598A" w:rsidRDefault="00195DE2" w:rsidP="00853962">
      <w:pPr>
        <w:pStyle w:val="Bodynumbered1"/>
        <w:ind w:left="709" w:hanging="567"/>
      </w:pPr>
      <w:r w:rsidRPr="000E598A">
        <w:t>Sealant used in joints under traffic must be capable of resisting punching from debris and particles accumulated over the joints.</w:t>
      </w:r>
    </w:p>
    <w:p w14:paraId="09B7B7C8" w14:textId="77777777" w:rsidR="00195DE2" w:rsidRPr="000E598A" w:rsidRDefault="00195DE2" w:rsidP="00853962">
      <w:pPr>
        <w:pStyle w:val="Bodynumbered1"/>
        <w:ind w:left="709" w:hanging="567"/>
      </w:pPr>
      <w:r w:rsidRPr="000E598A">
        <w:t>Sealant used in joints sawn in asphalt road surface (Type 1) must be compatible with asphalt.</w:t>
      </w:r>
    </w:p>
    <w:p w14:paraId="1A829FE4" w14:textId="77777777" w:rsidR="00195DE2" w:rsidRPr="000E598A" w:rsidRDefault="00195DE2" w:rsidP="00853962">
      <w:pPr>
        <w:pStyle w:val="Bodynumbered1"/>
        <w:ind w:left="709" w:hanging="567"/>
      </w:pPr>
      <w:r w:rsidRPr="000E598A">
        <w:t>If specified, the colour of the sealant after 21 days of curing must be as shown on the Drawings unless otherwise accepted by the Principal.</w:t>
      </w:r>
    </w:p>
    <w:p w14:paraId="51163E3B" w14:textId="77777777" w:rsidR="00195DE2" w:rsidRPr="000E598A" w:rsidRDefault="00195DE2" w:rsidP="00853962">
      <w:pPr>
        <w:pStyle w:val="Bodynumbered1"/>
        <w:ind w:left="709" w:hanging="567"/>
      </w:pPr>
      <w:r w:rsidRPr="000E598A">
        <w:t>The sealant after installation and curing must not pick up dirt, be watertight and accommodate the required movements.</w:t>
      </w:r>
    </w:p>
    <w:p w14:paraId="526A224C" w14:textId="039F72BE" w:rsidR="00EF0B7D" w:rsidRPr="000E598A" w:rsidRDefault="00EF0B7D" w:rsidP="000A29DC">
      <w:pPr>
        <w:pStyle w:val="Heading2"/>
        <w:ind w:hanging="425"/>
      </w:pPr>
      <w:bookmarkStart w:id="41" w:name="_Toc116396989"/>
      <w:r w:rsidRPr="000E598A">
        <w:t>Sealant – General Performance Requirements</w:t>
      </w:r>
      <w:bookmarkEnd w:id="41"/>
    </w:p>
    <w:p w14:paraId="4CB29F51" w14:textId="29551E03" w:rsidR="00EF0B7D" w:rsidRPr="000E598A" w:rsidRDefault="00EF0B7D" w:rsidP="00853962">
      <w:pPr>
        <w:pStyle w:val="Bodynumbered1"/>
        <w:ind w:left="709" w:hanging="567"/>
      </w:pPr>
      <w:bookmarkStart w:id="42" w:name="_Ref40884712"/>
      <w:r w:rsidRPr="000E598A">
        <w:t xml:space="preserve">Sealants of all Types for use under this Specification must conform to the requirements shown in Table </w:t>
      </w:r>
      <w:r w:rsidR="00CA44F0" w:rsidRPr="000E598A">
        <w:fldChar w:fldCharType="begin"/>
      </w:r>
      <w:r w:rsidR="00CA44F0" w:rsidRPr="000E598A">
        <w:instrText xml:space="preserve"> REF _Ref40884712 \r \h </w:instrText>
      </w:r>
      <w:r w:rsidR="00352AB1" w:rsidRPr="000E598A">
        <w:instrText xml:space="preserve"> \* MERGEFORMAT </w:instrText>
      </w:r>
      <w:r w:rsidR="00CA44F0" w:rsidRPr="000E598A">
        <w:fldChar w:fldCharType="separate"/>
      </w:r>
      <w:r w:rsidR="00851F44" w:rsidRPr="000E598A">
        <w:t>6.9</w:t>
      </w:r>
      <w:r w:rsidR="00CA44F0" w:rsidRPr="000E598A">
        <w:fldChar w:fldCharType="end"/>
      </w:r>
      <w:r w:rsidRPr="000E598A">
        <w:t>.</w:t>
      </w:r>
      <w:bookmarkEnd w:id="42"/>
    </w:p>
    <w:p w14:paraId="1E5E7B75" w14:textId="201586A9" w:rsidR="00FB3071" w:rsidRPr="000E598A" w:rsidRDefault="00FB3071" w:rsidP="005C767D">
      <w:pPr>
        <w:pStyle w:val="Caption"/>
        <w:ind w:hanging="992"/>
      </w:pPr>
      <w:r w:rsidRPr="000E598A">
        <w:t xml:space="preserve">Table </w:t>
      </w:r>
      <w:r w:rsidRPr="000E598A">
        <w:fldChar w:fldCharType="begin"/>
      </w:r>
      <w:r w:rsidRPr="000E598A">
        <w:instrText xml:space="preserve"> REF _Ref40884712 \r \h  \* MERGEFORMAT </w:instrText>
      </w:r>
      <w:r w:rsidRPr="000E598A">
        <w:fldChar w:fldCharType="separate"/>
      </w:r>
      <w:r w:rsidR="00851F44" w:rsidRPr="000E598A">
        <w:t>6.9</w:t>
      </w:r>
      <w:r w:rsidRPr="000E598A">
        <w:fldChar w:fldCharType="end"/>
      </w:r>
      <w:r w:rsidR="00E90F51">
        <w:tab/>
      </w:r>
      <w:r w:rsidRPr="000E598A">
        <w:t>Sealant - General Performance Requirements</w:t>
      </w:r>
    </w:p>
    <w:tbl>
      <w:tblPr>
        <w:tblW w:w="5000" w:type="pct"/>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57" w:type="dxa"/>
          <w:right w:w="57" w:type="dxa"/>
        </w:tblCellMar>
        <w:tblLook w:val="01E0" w:firstRow="1" w:lastRow="1" w:firstColumn="1" w:lastColumn="1" w:noHBand="0" w:noVBand="0"/>
      </w:tblPr>
      <w:tblGrid>
        <w:gridCol w:w="2296"/>
        <w:gridCol w:w="1530"/>
        <w:gridCol w:w="2605"/>
        <w:gridCol w:w="3069"/>
      </w:tblGrid>
      <w:tr w:rsidR="00EF0B7D" w:rsidRPr="000E598A" w14:paraId="47137053" w14:textId="65E44C22" w:rsidTr="008F6332">
        <w:trPr>
          <w:trHeight w:hRule="exact" w:val="607"/>
          <w:tblHeader/>
        </w:trPr>
        <w:tc>
          <w:tcPr>
            <w:tcW w:w="1209" w:type="pct"/>
            <w:tcBorders>
              <w:bottom w:val="single" w:sz="4" w:space="0" w:color="FFFFFF" w:themeColor="background1"/>
            </w:tcBorders>
            <w:shd w:val="clear" w:color="auto" w:fill="A6A6A6" w:themeFill="background1" w:themeFillShade="A6"/>
            <w:vAlign w:val="center"/>
          </w:tcPr>
          <w:bookmarkEnd w:id="37"/>
          <w:bookmarkEnd w:id="40"/>
          <w:p w14:paraId="6770C437" w14:textId="2FEA218B" w:rsidR="00EF0B7D" w:rsidRPr="000E598A" w:rsidRDefault="00112746" w:rsidP="00E90F51">
            <w:pPr>
              <w:pStyle w:val="TableHeading"/>
              <w:spacing w:before="40" w:after="40" w:line="240" w:lineRule="auto"/>
              <w:ind w:left="113"/>
              <w:rPr>
                <w:color w:val="auto"/>
                <w:szCs w:val="20"/>
              </w:rPr>
            </w:pPr>
            <w:r w:rsidRPr="000E598A">
              <w:rPr>
                <w:color w:val="auto"/>
                <w:szCs w:val="20"/>
              </w:rPr>
              <w:t>Test reference</w:t>
            </w:r>
          </w:p>
        </w:tc>
        <w:tc>
          <w:tcPr>
            <w:tcW w:w="805" w:type="pct"/>
            <w:tcBorders>
              <w:bottom w:val="single" w:sz="4" w:space="0" w:color="FFFFFF" w:themeColor="background1"/>
            </w:tcBorders>
            <w:shd w:val="clear" w:color="auto" w:fill="A6A6A6" w:themeFill="background1" w:themeFillShade="A6"/>
            <w:vAlign w:val="center"/>
          </w:tcPr>
          <w:p w14:paraId="6C245555" w14:textId="0E945155" w:rsidR="00EF0B7D" w:rsidRPr="000E598A" w:rsidRDefault="00112746" w:rsidP="00E90F51">
            <w:pPr>
              <w:pStyle w:val="TableHeading"/>
              <w:spacing w:before="40" w:after="40" w:line="240" w:lineRule="auto"/>
              <w:ind w:left="113"/>
              <w:rPr>
                <w:color w:val="auto"/>
                <w:szCs w:val="20"/>
              </w:rPr>
            </w:pPr>
            <w:r w:rsidRPr="000E598A">
              <w:rPr>
                <w:color w:val="auto"/>
                <w:szCs w:val="20"/>
              </w:rPr>
              <w:t>Test method</w:t>
            </w:r>
            <w:r w:rsidRPr="000E598A">
              <w:rPr>
                <w:color w:val="auto"/>
                <w:szCs w:val="20"/>
              </w:rPr>
              <w:br/>
              <w:t>(astm)</w:t>
            </w:r>
          </w:p>
        </w:tc>
        <w:tc>
          <w:tcPr>
            <w:tcW w:w="1371" w:type="pct"/>
            <w:tcBorders>
              <w:bottom w:val="single" w:sz="4" w:space="0" w:color="FFFFFF" w:themeColor="background1"/>
            </w:tcBorders>
            <w:shd w:val="clear" w:color="auto" w:fill="A6A6A6" w:themeFill="background1" w:themeFillShade="A6"/>
            <w:vAlign w:val="center"/>
          </w:tcPr>
          <w:p w14:paraId="6AEAA6F2" w14:textId="1A4D0856" w:rsidR="00EF0B7D" w:rsidRPr="000E598A" w:rsidRDefault="00112746" w:rsidP="00E90F51">
            <w:pPr>
              <w:pStyle w:val="TableHeading"/>
              <w:spacing w:before="40" w:after="40" w:line="240" w:lineRule="auto"/>
              <w:ind w:left="113"/>
              <w:rPr>
                <w:color w:val="auto"/>
                <w:szCs w:val="20"/>
              </w:rPr>
            </w:pPr>
            <w:r w:rsidRPr="000E598A">
              <w:rPr>
                <w:color w:val="auto"/>
                <w:szCs w:val="20"/>
              </w:rPr>
              <w:t xml:space="preserve">Requirement </w:t>
            </w:r>
          </w:p>
        </w:tc>
        <w:tc>
          <w:tcPr>
            <w:tcW w:w="1615" w:type="pct"/>
            <w:tcBorders>
              <w:bottom w:val="single" w:sz="4" w:space="0" w:color="FFFFFF" w:themeColor="background1"/>
            </w:tcBorders>
            <w:shd w:val="clear" w:color="auto" w:fill="A6A6A6" w:themeFill="background1" w:themeFillShade="A6"/>
            <w:vAlign w:val="center"/>
          </w:tcPr>
          <w:p w14:paraId="0249A7AC" w14:textId="41AFF5C0" w:rsidR="00EF0B7D" w:rsidRPr="000E598A" w:rsidRDefault="00112746" w:rsidP="00E90F51">
            <w:pPr>
              <w:pStyle w:val="TableHeading"/>
              <w:spacing w:before="40" w:after="40" w:line="240" w:lineRule="auto"/>
              <w:ind w:left="113"/>
              <w:rPr>
                <w:color w:val="auto"/>
                <w:szCs w:val="20"/>
              </w:rPr>
            </w:pPr>
            <w:r w:rsidRPr="000E598A">
              <w:rPr>
                <w:color w:val="auto"/>
                <w:szCs w:val="20"/>
              </w:rPr>
              <w:t>Notes</w:t>
            </w:r>
          </w:p>
        </w:tc>
      </w:tr>
      <w:tr w:rsidR="001B6E38" w:rsidRPr="000E598A" w14:paraId="20E18AE4" w14:textId="3870E680" w:rsidTr="008F6332">
        <w:tc>
          <w:tcPr>
            <w:tcW w:w="1209" w:type="pct"/>
            <w:shd w:val="clear" w:color="auto" w:fill="D9D9D9" w:themeFill="background1" w:themeFillShade="D9"/>
          </w:tcPr>
          <w:p w14:paraId="3DCFCD2C" w14:textId="765200B2" w:rsidR="001B6E38" w:rsidRPr="008F6332" w:rsidRDefault="001B6E38" w:rsidP="008F6332">
            <w:pPr>
              <w:pStyle w:val="TableBodyText"/>
              <w:rPr>
                <w:szCs w:val="18"/>
              </w:rPr>
            </w:pPr>
            <w:r w:rsidRPr="008F6332">
              <w:rPr>
                <w:szCs w:val="18"/>
              </w:rPr>
              <w:t>Flow</w:t>
            </w:r>
          </w:p>
        </w:tc>
        <w:tc>
          <w:tcPr>
            <w:tcW w:w="805" w:type="pct"/>
            <w:shd w:val="clear" w:color="auto" w:fill="D9D9D9" w:themeFill="background1" w:themeFillShade="D9"/>
          </w:tcPr>
          <w:p w14:paraId="67FED3F8" w14:textId="4CBDEF9B" w:rsidR="001B6E38" w:rsidRPr="008F6332" w:rsidRDefault="001B6E38" w:rsidP="008F6332">
            <w:pPr>
              <w:pStyle w:val="TableBodyText"/>
              <w:rPr>
                <w:szCs w:val="18"/>
              </w:rPr>
            </w:pPr>
            <w:r w:rsidRPr="008F6332">
              <w:rPr>
                <w:szCs w:val="18"/>
              </w:rPr>
              <w:t>C639</w:t>
            </w:r>
          </w:p>
        </w:tc>
        <w:tc>
          <w:tcPr>
            <w:tcW w:w="1371" w:type="pct"/>
            <w:shd w:val="clear" w:color="auto" w:fill="D9D9D9" w:themeFill="background1" w:themeFillShade="D9"/>
          </w:tcPr>
          <w:p w14:paraId="3616B9C5" w14:textId="1C2FA032" w:rsidR="001B6E38" w:rsidRPr="008F6332" w:rsidRDefault="001B6E38" w:rsidP="008F6332">
            <w:pPr>
              <w:pStyle w:val="TableBodyText"/>
              <w:rPr>
                <w:szCs w:val="18"/>
              </w:rPr>
            </w:pPr>
            <w:r w:rsidRPr="008F6332">
              <w:rPr>
                <w:szCs w:val="18"/>
              </w:rPr>
              <w:t>Smooth level surface</w:t>
            </w:r>
          </w:p>
        </w:tc>
        <w:tc>
          <w:tcPr>
            <w:tcW w:w="1615" w:type="pct"/>
            <w:shd w:val="clear" w:color="auto" w:fill="D9D9D9" w:themeFill="background1" w:themeFillShade="D9"/>
          </w:tcPr>
          <w:p w14:paraId="5E479D88" w14:textId="6A216CB0" w:rsidR="001B6E38" w:rsidRPr="008F6332" w:rsidRDefault="001B6E38" w:rsidP="008F6332">
            <w:pPr>
              <w:pStyle w:val="TableBodyText"/>
              <w:rPr>
                <w:szCs w:val="18"/>
              </w:rPr>
            </w:pPr>
            <w:r w:rsidRPr="008F6332">
              <w:rPr>
                <w:szCs w:val="18"/>
              </w:rPr>
              <w:t>Only for self-levelling sealants.</w:t>
            </w:r>
          </w:p>
        </w:tc>
      </w:tr>
      <w:tr w:rsidR="001B6E38" w:rsidRPr="000E598A" w14:paraId="4FD5B721" w14:textId="555A36D7" w:rsidTr="008F6332">
        <w:tc>
          <w:tcPr>
            <w:tcW w:w="1209" w:type="pct"/>
            <w:shd w:val="clear" w:color="auto" w:fill="D9D9D9" w:themeFill="background1" w:themeFillShade="D9"/>
          </w:tcPr>
          <w:p w14:paraId="6D6FC8FB" w14:textId="61EB0D2B" w:rsidR="001B6E38" w:rsidRPr="008F6332" w:rsidRDefault="001B6E38" w:rsidP="008F6332">
            <w:pPr>
              <w:pStyle w:val="TableBodyText"/>
              <w:rPr>
                <w:szCs w:val="18"/>
              </w:rPr>
            </w:pPr>
            <w:r w:rsidRPr="008F6332">
              <w:rPr>
                <w:szCs w:val="18"/>
              </w:rPr>
              <w:t>Non-sagging</w:t>
            </w:r>
          </w:p>
        </w:tc>
        <w:tc>
          <w:tcPr>
            <w:tcW w:w="805" w:type="pct"/>
            <w:shd w:val="clear" w:color="auto" w:fill="D9D9D9" w:themeFill="background1" w:themeFillShade="D9"/>
          </w:tcPr>
          <w:p w14:paraId="747E40F6" w14:textId="6CB0A5CB" w:rsidR="001B6E38" w:rsidRPr="008F6332" w:rsidRDefault="001B6E38" w:rsidP="008F6332">
            <w:pPr>
              <w:pStyle w:val="TableBodyText"/>
              <w:rPr>
                <w:szCs w:val="18"/>
              </w:rPr>
            </w:pPr>
            <w:r w:rsidRPr="008F6332">
              <w:rPr>
                <w:szCs w:val="18"/>
              </w:rPr>
              <w:t>C639</w:t>
            </w:r>
          </w:p>
        </w:tc>
        <w:tc>
          <w:tcPr>
            <w:tcW w:w="1371" w:type="pct"/>
            <w:shd w:val="clear" w:color="auto" w:fill="D9D9D9" w:themeFill="background1" w:themeFillShade="D9"/>
          </w:tcPr>
          <w:p w14:paraId="45E03918" w14:textId="0C97167C" w:rsidR="001B6E38" w:rsidRPr="008F6332" w:rsidRDefault="001B6E38" w:rsidP="008F6332">
            <w:pPr>
              <w:pStyle w:val="TableBodyText"/>
              <w:rPr>
                <w:szCs w:val="18"/>
              </w:rPr>
            </w:pPr>
            <w:r w:rsidRPr="008F6332">
              <w:rPr>
                <w:szCs w:val="18"/>
              </w:rPr>
              <w:t xml:space="preserve">Vertical sag </w:t>
            </w:r>
            <w:r w:rsidR="001E78C1" w:rsidRPr="008F6332">
              <w:rPr>
                <w:szCs w:val="18"/>
              </w:rPr>
              <w:t xml:space="preserve">≤ </w:t>
            </w:r>
            <w:r w:rsidRPr="008F6332">
              <w:rPr>
                <w:szCs w:val="18"/>
              </w:rPr>
              <w:t>5 mm</w:t>
            </w:r>
          </w:p>
          <w:p w14:paraId="2A8F2045" w14:textId="45FB34F8" w:rsidR="001B6E38" w:rsidRPr="008F6332" w:rsidRDefault="001B6E38" w:rsidP="008F6332">
            <w:pPr>
              <w:pStyle w:val="TableBodyText"/>
              <w:rPr>
                <w:szCs w:val="18"/>
              </w:rPr>
            </w:pPr>
            <w:r w:rsidRPr="008F6332">
              <w:rPr>
                <w:szCs w:val="18"/>
              </w:rPr>
              <w:t>No horizontal deformation</w:t>
            </w:r>
          </w:p>
        </w:tc>
        <w:tc>
          <w:tcPr>
            <w:tcW w:w="1615" w:type="pct"/>
            <w:shd w:val="clear" w:color="auto" w:fill="D9D9D9" w:themeFill="background1" w:themeFillShade="D9"/>
          </w:tcPr>
          <w:p w14:paraId="00F6B019" w14:textId="512BF379" w:rsidR="001B6E38" w:rsidRPr="008F6332" w:rsidRDefault="001B6E38" w:rsidP="008F6332">
            <w:pPr>
              <w:pStyle w:val="TableBodyText"/>
              <w:rPr>
                <w:szCs w:val="18"/>
              </w:rPr>
            </w:pPr>
            <w:r w:rsidRPr="008F6332">
              <w:rPr>
                <w:szCs w:val="18"/>
              </w:rPr>
              <w:t>Only for non-sag sealants.</w:t>
            </w:r>
          </w:p>
        </w:tc>
      </w:tr>
      <w:tr w:rsidR="001B6E38" w:rsidRPr="000E598A" w14:paraId="6FE46104" w14:textId="7782673B" w:rsidTr="008F6332">
        <w:tc>
          <w:tcPr>
            <w:tcW w:w="1209" w:type="pct"/>
            <w:shd w:val="clear" w:color="auto" w:fill="D9D9D9" w:themeFill="background1" w:themeFillShade="D9"/>
          </w:tcPr>
          <w:p w14:paraId="4E2B2BEC" w14:textId="0835CDB1" w:rsidR="001B6E38" w:rsidRPr="008F6332" w:rsidRDefault="001B6E38" w:rsidP="008F6332">
            <w:pPr>
              <w:pStyle w:val="TableBodyText"/>
              <w:rPr>
                <w:szCs w:val="18"/>
              </w:rPr>
            </w:pPr>
            <w:r w:rsidRPr="008F6332">
              <w:rPr>
                <w:szCs w:val="18"/>
              </w:rPr>
              <w:t>Extrudability</w:t>
            </w:r>
          </w:p>
        </w:tc>
        <w:tc>
          <w:tcPr>
            <w:tcW w:w="805" w:type="pct"/>
            <w:shd w:val="clear" w:color="auto" w:fill="D9D9D9" w:themeFill="background1" w:themeFillShade="D9"/>
          </w:tcPr>
          <w:p w14:paraId="699F60A4" w14:textId="77777777" w:rsidR="001B6E38" w:rsidRPr="008F6332" w:rsidRDefault="001B6E38" w:rsidP="008F6332">
            <w:pPr>
              <w:pStyle w:val="TableBodyText"/>
              <w:rPr>
                <w:szCs w:val="18"/>
              </w:rPr>
            </w:pPr>
            <w:r w:rsidRPr="008F6332">
              <w:rPr>
                <w:szCs w:val="18"/>
              </w:rPr>
              <w:t>C1183</w:t>
            </w:r>
          </w:p>
          <w:p w14:paraId="6940E735" w14:textId="224B70DC" w:rsidR="001B6E38" w:rsidRPr="008F6332" w:rsidRDefault="001B6E38" w:rsidP="008F6332">
            <w:pPr>
              <w:pStyle w:val="TableBodyText"/>
              <w:rPr>
                <w:szCs w:val="18"/>
              </w:rPr>
            </w:pPr>
            <w:r w:rsidRPr="008F6332">
              <w:rPr>
                <w:szCs w:val="18"/>
              </w:rPr>
              <w:t>Procedure A</w:t>
            </w:r>
          </w:p>
        </w:tc>
        <w:tc>
          <w:tcPr>
            <w:tcW w:w="1371" w:type="pct"/>
            <w:shd w:val="clear" w:color="auto" w:fill="D9D9D9" w:themeFill="background1" w:themeFillShade="D9"/>
          </w:tcPr>
          <w:p w14:paraId="79F2BA5C" w14:textId="6BAC53C0" w:rsidR="001B6E38" w:rsidRPr="008F6332" w:rsidRDefault="001B6E38" w:rsidP="008F6332">
            <w:pPr>
              <w:pStyle w:val="TableBodyText"/>
              <w:rPr>
                <w:szCs w:val="18"/>
              </w:rPr>
            </w:pPr>
            <w:r w:rsidRPr="008F6332">
              <w:rPr>
                <w:szCs w:val="18"/>
              </w:rPr>
              <w:t>Extrusion rate</w:t>
            </w:r>
            <w:r w:rsidR="003A1D64" w:rsidRPr="008F6332">
              <w:rPr>
                <w:szCs w:val="18"/>
              </w:rPr>
              <w:br/>
            </w:r>
            <w:r w:rsidRPr="008F6332">
              <w:rPr>
                <w:szCs w:val="18"/>
              </w:rPr>
              <w:t xml:space="preserve"> </w:t>
            </w:r>
            <w:r w:rsidR="003A1D64" w:rsidRPr="008F6332">
              <w:rPr>
                <w:szCs w:val="18"/>
              </w:rPr>
              <w:t xml:space="preserve">≥ </w:t>
            </w:r>
            <w:r w:rsidRPr="008F6332">
              <w:rPr>
                <w:szCs w:val="18"/>
              </w:rPr>
              <w:t>10 mL/min</w:t>
            </w:r>
          </w:p>
        </w:tc>
        <w:tc>
          <w:tcPr>
            <w:tcW w:w="1615" w:type="pct"/>
            <w:shd w:val="clear" w:color="auto" w:fill="D9D9D9" w:themeFill="background1" w:themeFillShade="D9"/>
          </w:tcPr>
          <w:p w14:paraId="60BF3C27" w14:textId="16027DAB" w:rsidR="001B6E38" w:rsidRPr="008F6332" w:rsidRDefault="001B6E38" w:rsidP="008F6332">
            <w:pPr>
              <w:pStyle w:val="TableBodyText"/>
              <w:rPr>
                <w:szCs w:val="18"/>
              </w:rPr>
            </w:pPr>
            <w:r w:rsidRPr="008F6332">
              <w:rPr>
                <w:szCs w:val="18"/>
              </w:rPr>
              <w:t>Test multi-component sealants immediately after mixing. Test single component sealants as specified in ASTM C1183.</w:t>
            </w:r>
          </w:p>
        </w:tc>
      </w:tr>
      <w:tr w:rsidR="001B6E38" w:rsidRPr="000E598A" w14:paraId="131883F4" w14:textId="7E726614" w:rsidTr="008F6332">
        <w:tc>
          <w:tcPr>
            <w:tcW w:w="1209" w:type="pct"/>
            <w:shd w:val="clear" w:color="auto" w:fill="D9D9D9" w:themeFill="background1" w:themeFillShade="D9"/>
          </w:tcPr>
          <w:p w14:paraId="44C1E56D" w14:textId="0848FAA6" w:rsidR="001B6E38" w:rsidRPr="008F6332" w:rsidRDefault="001B6E38" w:rsidP="008F6332">
            <w:pPr>
              <w:pStyle w:val="TableBodyText"/>
              <w:rPr>
                <w:szCs w:val="18"/>
              </w:rPr>
            </w:pPr>
            <w:r w:rsidRPr="008F6332">
              <w:rPr>
                <w:szCs w:val="18"/>
              </w:rPr>
              <w:t>Tack-free Time</w:t>
            </w:r>
          </w:p>
        </w:tc>
        <w:tc>
          <w:tcPr>
            <w:tcW w:w="805" w:type="pct"/>
            <w:shd w:val="clear" w:color="auto" w:fill="D9D9D9" w:themeFill="background1" w:themeFillShade="D9"/>
          </w:tcPr>
          <w:p w14:paraId="5D8B5CEA" w14:textId="72340A54" w:rsidR="001B6E38" w:rsidRPr="008F6332" w:rsidRDefault="001B6E38" w:rsidP="008F6332">
            <w:pPr>
              <w:pStyle w:val="TableBodyText"/>
              <w:rPr>
                <w:szCs w:val="18"/>
              </w:rPr>
            </w:pPr>
            <w:r w:rsidRPr="008F6332">
              <w:rPr>
                <w:szCs w:val="18"/>
              </w:rPr>
              <w:t>C679</w:t>
            </w:r>
          </w:p>
        </w:tc>
        <w:tc>
          <w:tcPr>
            <w:tcW w:w="1371" w:type="pct"/>
            <w:shd w:val="clear" w:color="auto" w:fill="D9D9D9" w:themeFill="background1" w:themeFillShade="D9"/>
          </w:tcPr>
          <w:p w14:paraId="46786070" w14:textId="39B0006A" w:rsidR="001B6E38" w:rsidRPr="008F6332" w:rsidRDefault="0013090C" w:rsidP="008F6332">
            <w:pPr>
              <w:pStyle w:val="TableBodyText"/>
              <w:rPr>
                <w:szCs w:val="18"/>
              </w:rPr>
            </w:pPr>
            <w:r w:rsidRPr="008F6332">
              <w:rPr>
                <w:szCs w:val="18"/>
              </w:rPr>
              <w:t>≤</w:t>
            </w:r>
            <w:r w:rsidR="003A1D64" w:rsidRPr="008F6332">
              <w:rPr>
                <w:szCs w:val="18"/>
              </w:rPr>
              <w:t xml:space="preserve"> </w:t>
            </w:r>
            <w:r w:rsidR="001B6E38" w:rsidRPr="008F6332">
              <w:rPr>
                <w:szCs w:val="18"/>
              </w:rPr>
              <w:t>4 hours</w:t>
            </w:r>
          </w:p>
        </w:tc>
        <w:tc>
          <w:tcPr>
            <w:tcW w:w="1615" w:type="pct"/>
            <w:shd w:val="clear" w:color="auto" w:fill="D9D9D9" w:themeFill="background1" w:themeFillShade="D9"/>
          </w:tcPr>
          <w:p w14:paraId="05C2FDA9" w14:textId="104CFBD5" w:rsidR="001B6E38" w:rsidRPr="008F6332" w:rsidRDefault="001B6E38" w:rsidP="008F6332">
            <w:pPr>
              <w:pStyle w:val="TableBodyText"/>
              <w:rPr>
                <w:szCs w:val="18"/>
              </w:rPr>
            </w:pPr>
            <w:r w:rsidRPr="008F6332">
              <w:rPr>
                <w:szCs w:val="18"/>
              </w:rPr>
              <w:t>Film pulls off with no sealant adhering to it.</w:t>
            </w:r>
          </w:p>
        </w:tc>
      </w:tr>
      <w:tr w:rsidR="001B6E38" w:rsidRPr="000E598A" w14:paraId="211E987D" w14:textId="57842429" w:rsidTr="008F6332">
        <w:tc>
          <w:tcPr>
            <w:tcW w:w="1209" w:type="pct"/>
            <w:shd w:val="clear" w:color="auto" w:fill="D9D9D9" w:themeFill="background1" w:themeFillShade="D9"/>
          </w:tcPr>
          <w:p w14:paraId="1CDC2C96" w14:textId="7FC265CC" w:rsidR="001B6E38" w:rsidRPr="008F6332" w:rsidRDefault="001B6E38" w:rsidP="008F6332">
            <w:pPr>
              <w:pStyle w:val="TableBodyText"/>
              <w:rPr>
                <w:szCs w:val="18"/>
              </w:rPr>
            </w:pPr>
            <w:r w:rsidRPr="008F6332">
              <w:rPr>
                <w:szCs w:val="18"/>
              </w:rPr>
              <w:t>Adhesion-in-Peel</w:t>
            </w:r>
          </w:p>
        </w:tc>
        <w:tc>
          <w:tcPr>
            <w:tcW w:w="805" w:type="pct"/>
            <w:shd w:val="clear" w:color="auto" w:fill="D9D9D9" w:themeFill="background1" w:themeFillShade="D9"/>
          </w:tcPr>
          <w:p w14:paraId="45A74AF0" w14:textId="5FC840EA" w:rsidR="001B6E38" w:rsidRPr="008F6332" w:rsidRDefault="001B6E38" w:rsidP="008F6332">
            <w:pPr>
              <w:pStyle w:val="TableBodyText"/>
              <w:rPr>
                <w:szCs w:val="18"/>
              </w:rPr>
            </w:pPr>
            <w:r w:rsidRPr="008F6332">
              <w:rPr>
                <w:szCs w:val="18"/>
              </w:rPr>
              <w:t>C794</w:t>
            </w:r>
          </w:p>
        </w:tc>
        <w:tc>
          <w:tcPr>
            <w:tcW w:w="1371" w:type="pct"/>
            <w:shd w:val="clear" w:color="auto" w:fill="D9D9D9" w:themeFill="background1" w:themeFillShade="D9"/>
          </w:tcPr>
          <w:p w14:paraId="63A91A0E" w14:textId="77777777" w:rsidR="001B6E38" w:rsidRPr="008F6332" w:rsidRDefault="001B6E38" w:rsidP="008F6332">
            <w:pPr>
              <w:pStyle w:val="TableBodyText"/>
              <w:rPr>
                <w:szCs w:val="18"/>
              </w:rPr>
            </w:pPr>
            <w:r w:rsidRPr="008F6332">
              <w:rPr>
                <w:szCs w:val="18"/>
              </w:rPr>
              <w:t>Average peel force</w:t>
            </w:r>
          </w:p>
          <w:p w14:paraId="3DF2A7DD" w14:textId="445F0F4D" w:rsidR="001B6E38" w:rsidRPr="008F6332" w:rsidRDefault="0013090C" w:rsidP="008F6332">
            <w:pPr>
              <w:pStyle w:val="TableBodyText"/>
              <w:rPr>
                <w:szCs w:val="18"/>
              </w:rPr>
            </w:pPr>
            <w:r w:rsidRPr="008F6332">
              <w:rPr>
                <w:szCs w:val="18"/>
              </w:rPr>
              <w:t>≥</w:t>
            </w:r>
            <w:r w:rsidR="001B6E38" w:rsidRPr="008F6332">
              <w:rPr>
                <w:szCs w:val="18"/>
              </w:rPr>
              <w:t xml:space="preserve"> 30 N for standard mortar substrate</w:t>
            </w:r>
          </w:p>
        </w:tc>
        <w:tc>
          <w:tcPr>
            <w:tcW w:w="1615" w:type="pct"/>
            <w:shd w:val="clear" w:color="auto" w:fill="D9D9D9" w:themeFill="background1" w:themeFillShade="D9"/>
          </w:tcPr>
          <w:p w14:paraId="036C12D0" w14:textId="03C52A6C" w:rsidR="001B6E38" w:rsidRPr="008F6332" w:rsidRDefault="001B6E38" w:rsidP="008F6332">
            <w:pPr>
              <w:pStyle w:val="TableBodyText"/>
              <w:rPr>
                <w:szCs w:val="18"/>
              </w:rPr>
            </w:pPr>
            <w:r w:rsidRPr="008F6332">
              <w:rPr>
                <w:szCs w:val="18"/>
              </w:rPr>
              <w:t xml:space="preserve">Cure for one day and test at the end of the curing, </w:t>
            </w:r>
            <w:r w:rsidR="00AE3A42" w:rsidRPr="008F6332">
              <w:rPr>
                <w:szCs w:val="18"/>
              </w:rPr>
              <w:t>i.e.,</w:t>
            </w:r>
            <w:r w:rsidRPr="008F6332">
              <w:rPr>
                <w:szCs w:val="18"/>
              </w:rPr>
              <w:t xml:space="preserve"> at an age of one day, with all being done under standard test conditions.</w:t>
            </w:r>
          </w:p>
        </w:tc>
      </w:tr>
      <w:tr w:rsidR="001B6E38" w:rsidRPr="000E598A" w14:paraId="349886DE" w14:textId="1A2CC97A" w:rsidTr="008F6332">
        <w:tc>
          <w:tcPr>
            <w:tcW w:w="1209" w:type="pct"/>
            <w:shd w:val="clear" w:color="auto" w:fill="D9D9D9" w:themeFill="background1" w:themeFillShade="D9"/>
          </w:tcPr>
          <w:p w14:paraId="5D0E29B4" w14:textId="5B70D905" w:rsidR="001B6E38" w:rsidRPr="008F6332" w:rsidRDefault="001B6E38" w:rsidP="008F6332">
            <w:pPr>
              <w:pStyle w:val="TableBodyText"/>
              <w:rPr>
                <w:szCs w:val="18"/>
              </w:rPr>
            </w:pPr>
            <w:r w:rsidRPr="008F6332">
              <w:rPr>
                <w:szCs w:val="18"/>
              </w:rPr>
              <w:t>Adhesion / Cohesion and Movement Capability</w:t>
            </w:r>
          </w:p>
        </w:tc>
        <w:tc>
          <w:tcPr>
            <w:tcW w:w="805" w:type="pct"/>
            <w:shd w:val="clear" w:color="auto" w:fill="D9D9D9" w:themeFill="background1" w:themeFillShade="D9"/>
          </w:tcPr>
          <w:p w14:paraId="0362B3AA" w14:textId="7A0B8D20" w:rsidR="001B6E38" w:rsidRPr="008F6332" w:rsidRDefault="001B6E38" w:rsidP="008F6332">
            <w:pPr>
              <w:pStyle w:val="TableBodyText"/>
              <w:rPr>
                <w:szCs w:val="18"/>
              </w:rPr>
            </w:pPr>
            <w:r w:rsidRPr="008F6332">
              <w:rPr>
                <w:szCs w:val="18"/>
              </w:rPr>
              <w:t>C719</w:t>
            </w:r>
          </w:p>
        </w:tc>
        <w:tc>
          <w:tcPr>
            <w:tcW w:w="1371" w:type="pct"/>
            <w:shd w:val="clear" w:color="auto" w:fill="D9D9D9" w:themeFill="background1" w:themeFillShade="D9"/>
          </w:tcPr>
          <w:p w14:paraId="7C9328FE" w14:textId="229C8301" w:rsidR="001B6E38" w:rsidRPr="008F6332" w:rsidRDefault="001B6E38" w:rsidP="008F6332">
            <w:pPr>
              <w:pStyle w:val="TableBodyText"/>
              <w:rPr>
                <w:szCs w:val="18"/>
              </w:rPr>
            </w:pPr>
            <w:r w:rsidRPr="008F6332">
              <w:rPr>
                <w:szCs w:val="18"/>
              </w:rPr>
              <w:t>No debonding at substrate and no sealant failure</w:t>
            </w:r>
          </w:p>
        </w:tc>
        <w:tc>
          <w:tcPr>
            <w:tcW w:w="1615" w:type="pct"/>
            <w:shd w:val="clear" w:color="auto" w:fill="D9D9D9" w:themeFill="background1" w:themeFillShade="D9"/>
          </w:tcPr>
          <w:p w14:paraId="695A8CA3" w14:textId="77777777" w:rsidR="001B6E38" w:rsidRPr="008F6332" w:rsidRDefault="001B6E38" w:rsidP="008F6332">
            <w:pPr>
              <w:pStyle w:val="TableBodyText"/>
              <w:rPr>
                <w:szCs w:val="18"/>
              </w:rPr>
            </w:pPr>
            <w:r w:rsidRPr="008F6332">
              <w:rPr>
                <w:szCs w:val="18"/>
              </w:rPr>
              <w:t>Test movement to be equal to the movement capability nominated by the manufacturer.</w:t>
            </w:r>
          </w:p>
          <w:p w14:paraId="433A158D" w14:textId="51D229CC" w:rsidR="001B6E38" w:rsidRPr="008F6332" w:rsidRDefault="001B6E38" w:rsidP="008F6332">
            <w:pPr>
              <w:pStyle w:val="TableBodyText"/>
              <w:rPr>
                <w:szCs w:val="18"/>
              </w:rPr>
            </w:pPr>
            <w:r w:rsidRPr="008F6332">
              <w:rPr>
                <w:szCs w:val="18"/>
              </w:rPr>
              <w:t>Use only cement mortar substrates.</w:t>
            </w:r>
          </w:p>
        </w:tc>
      </w:tr>
      <w:tr w:rsidR="001B6E38" w:rsidRPr="000E598A" w14:paraId="6F19D726" w14:textId="40A567C0" w:rsidTr="008F6332">
        <w:tc>
          <w:tcPr>
            <w:tcW w:w="1209" w:type="pct"/>
            <w:shd w:val="clear" w:color="auto" w:fill="D9D9D9" w:themeFill="background1" w:themeFillShade="D9"/>
          </w:tcPr>
          <w:p w14:paraId="46B57192" w14:textId="69E6A306" w:rsidR="001B6E38" w:rsidRPr="008F6332" w:rsidRDefault="001B6E38" w:rsidP="008F6332">
            <w:pPr>
              <w:pStyle w:val="TableBodyText"/>
              <w:rPr>
                <w:szCs w:val="18"/>
              </w:rPr>
            </w:pPr>
            <w:r w:rsidRPr="008F6332">
              <w:rPr>
                <w:szCs w:val="18"/>
              </w:rPr>
              <w:t>Indentation Hardness - Heat Aging</w:t>
            </w:r>
          </w:p>
        </w:tc>
        <w:tc>
          <w:tcPr>
            <w:tcW w:w="805" w:type="pct"/>
            <w:shd w:val="clear" w:color="auto" w:fill="D9D9D9" w:themeFill="background1" w:themeFillShade="D9"/>
          </w:tcPr>
          <w:p w14:paraId="39D2D896" w14:textId="06494657" w:rsidR="001B6E38" w:rsidRPr="008F6332" w:rsidRDefault="001B6E38" w:rsidP="008F6332">
            <w:pPr>
              <w:pStyle w:val="TableBodyText"/>
              <w:rPr>
                <w:szCs w:val="18"/>
              </w:rPr>
            </w:pPr>
            <w:r w:rsidRPr="008F6332">
              <w:rPr>
                <w:szCs w:val="18"/>
              </w:rPr>
              <w:t>C661</w:t>
            </w:r>
          </w:p>
        </w:tc>
        <w:tc>
          <w:tcPr>
            <w:tcW w:w="1371" w:type="pct"/>
            <w:shd w:val="clear" w:color="auto" w:fill="D9D9D9" w:themeFill="background1" w:themeFillShade="D9"/>
          </w:tcPr>
          <w:p w14:paraId="68CBD791" w14:textId="197D1128" w:rsidR="001B6E38" w:rsidRPr="008F6332" w:rsidRDefault="001B6E38" w:rsidP="008F6332">
            <w:pPr>
              <w:pStyle w:val="TableBodyText"/>
              <w:rPr>
                <w:szCs w:val="18"/>
              </w:rPr>
            </w:pPr>
            <w:r w:rsidRPr="008F6332">
              <w:rPr>
                <w:szCs w:val="18"/>
              </w:rPr>
              <w:t>Refer to Table</w:t>
            </w:r>
            <w:r w:rsidR="001650F3" w:rsidRPr="008F6332">
              <w:rPr>
                <w:szCs w:val="18"/>
              </w:rPr>
              <w:t xml:space="preserve"> </w:t>
            </w:r>
            <w:r w:rsidR="001650F3" w:rsidRPr="008F6332">
              <w:rPr>
                <w:szCs w:val="18"/>
              </w:rPr>
              <w:fldChar w:fldCharType="begin"/>
            </w:r>
            <w:r w:rsidR="001650F3" w:rsidRPr="008F6332">
              <w:rPr>
                <w:szCs w:val="18"/>
              </w:rPr>
              <w:instrText xml:space="preserve"> REF _Ref40884584 \r \h </w:instrText>
            </w:r>
            <w:r w:rsidR="00352AB1" w:rsidRPr="008F6332">
              <w:rPr>
                <w:szCs w:val="18"/>
              </w:rPr>
              <w:instrText xml:space="preserve"> \* MERGEFORMAT </w:instrText>
            </w:r>
            <w:r w:rsidR="001650F3" w:rsidRPr="008F6332">
              <w:rPr>
                <w:szCs w:val="18"/>
              </w:rPr>
            </w:r>
            <w:r w:rsidR="001650F3" w:rsidRPr="008F6332">
              <w:rPr>
                <w:szCs w:val="18"/>
              </w:rPr>
              <w:fldChar w:fldCharType="separate"/>
            </w:r>
            <w:r w:rsidR="00851F44" w:rsidRPr="008F6332">
              <w:rPr>
                <w:szCs w:val="18"/>
              </w:rPr>
              <w:t>6.10</w:t>
            </w:r>
            <w:r w:rsidR="001650F3" w:rsidRPr="008F6332">
              <w:rPr>
                <w:szCs w:val="18"/>
              </w:rPr>
              <w:fldChar w:fldCharType="end"/>
            </w:r>
            <w:r w:rsidRPr="008F6332">
              <w:rPr>
                <w:szCs w:val="18"/>
              </w:rPr>
              <w:t xml:space="preserve"> for “Shore A Hardness”</w:t>
            </w:r>
          </w:p>
        </w:tc>
        <w:tc>
          <w:tcPr>
            <w:tcW w:w="1615" w:type="pct"/>
            <w:shd w:val="clear" w:color="auto" w:fill="D9D9D9" w:themeFill="background1" w:themeFillShade="D9"/>
          </w:tcPr>
          <w:p w14:paraId="248A1275" w14:textId="56DAF4FF" w:rsidR="001B6E38" w:rsidRPr="008F6332" w:rsidRDefault="001B6E38" w:rsidP="008F6332">
            <w:pPr>
              <w:pStyle w:val="TableBodyText"/>
              <w:rPr>
                <w:szCs w:val="18"/>
              </w:rPr>
            </w:pPr>
            <w:r w:rsidRPr="008F6332">
              <w:rPr>
                <w:szCs w:val="18"/>
              </w:rPr>
              <w:t>Age at 70</w:t>
            </w:r>
            <w:r w:rsidR="0013090C" w:rsidRPr="008F6332">
              <w:rPr>
                <w:szCs w:val="18"/>
              </w:rPr>
              <w:t>°</w:t>
            </w:r>
            <w:r w:rsidRPr="008F6332">
              <w:rPr>
                <w:szCs w:val="18"/>
              </w:rPr>
              <w:t xml:space="preserve">C </w:t>
            </w:r>
            <w:r w:rsidR="00B53770" w:rsidRPr="008F6332">
              <w:rPr>
                <w:szCs w:val="18"/>
              </w:rPr>
              <w:t xml:space="preserve">± </w:t>
            </w:r>
            <w:r w:rsidRPr="008F6332">
              <w:rPr>
                <w:szCs w:val="18"/>
              </w:rPr>
              <w:t>2</w:t>
            </w:r>
            <w:r w:rsidR="00B53770" w:rsidRPr="008F6332">
              <w:rPr>
                <w:szCs w:val="18"/>
              </w:rPr>
              <w:t>°</w:t>
            </w:r>
            <w:r w:rsidRPr="008F6332">
              <w:rPr>
                <w:szCs w:val="18"/>
              </w:rPr>
              <w:t>C for 6 weeks after curing as specified in the relevant standard.</w:t>
            </w:r>
          </w:p>
        </w:tc>
      </w:tr>
      <w:tr w:rsidR="001B6E38" w:rsidRPr="000E598A" w14:paraId="490BE062" w14:textId="0DE74DD8" w:rsidTr="008F6332">
        <w:tc>
          <w:tcPr>
            <w:tcW w:w="1209" w:type="pct"/>
            <w:shd w:val="clear" w:color="auto" w:fill="D9D9D9" w:themeFill="background1" w:themeFillShade="D9"/>
          </w:tcPr>
          <w:p w14:paraId="540A4F3F" w14:textId="6BE9A54C" w:rsidR="001B6E38" w:rsidRPr="008F6332" w:rsidRDefault="001B6E38" w:rsidP="008F6332">
            <w:pPr>
              <w:pStyle w:val="TableBodyText"/>
              <w:rPr>
                <w:szCs w:val="18"/>
              </w:rPr>
            </w:pPr>
            <w:r w:rsidRPr="008F6332">
              <w:rPr>
                <w:szCs w:val="18"/>
              </w:rPr>
              <w:t>Durability (Accelerated Weathering)</w:t>
            </w:r>
          </w:p>
        </w:tc>
        <w:tc>
          <w:tcPr>
            <w:tcW w:w="805" w:type="pct"/>
            <w:shd w:val="clear" w:color="auto" w:fill="D9D9D9" w:themeFill="background1" w:themeFillShade="D9"/>
          </w:tcPr>
          <w:p w14:paraId="2A8EFEC7" w14:textId="62E42500" w:rsidR="001B6E38" w:rsidRPr="008F6332" w:rsidRDefault="001B6E38" w:rsidP="008F6332">
            <w:pPr>
              <w:pStyle w:val="TableBodyText"/>
              <w:rPr>
                <w:szCs w:val="18"/>
              </w:rPr>
            </w:pPr>
            <w:r w:rsidRPr="008F6332">
              <w:rPr>
                <w:szCs w:val="18"/>
              </w:rPr>
              <w:t>C793</w:t>
            </w:r>
          </w:p>
        </w:tc>
        <w:tc>
          <w:tcPr>
            <w:tcW w:w="1371" w:type="pct"/>
            <w:shd w:val="clear" w:color="auto" w:fill="D9D9D9" w:themeFill="background1" w:themeFillShade="D9"/>
          </w:tcPr>
          <w:p w14:paraId="4AD0D86E" w14:textId="0B373577" w:rsidR="001B6E38" w:rsidRPr="008F6332" w:rsidRDefault="001B6E38" w:rsidP="008F6332">
            <w:pPr>
              <w:pStyle w:val="TableBodyText"/>
              <w:rPr>
                <w:szCs w:val="18"/>
              </w:rPr>
            </w:pPr>
            <w:r w:rsidRPr="008F6332">
              <w:rPr>
                <w:szCs w:val="18"/>
              </w:rPr>
              <w:t>No cracks greater than those in Example 2 of Figure 1 and Figure 2 in C793</w:t>
            </w:r>
          </w:p>
        </w:tc>
        <w:tc>
          <w:tcPr>
            <w:tcW w:w="1615" w:type="pct"/>
            <w:shd w:val="clear" w:color="auto" w:fill="D9D9D9" w:themeFill="background1" w:themeFillShade="D9"/>
          </w:tcPr>
          <w:p w14:paraId="7DA20AB7" w14:textId="77777777" w:rsidR="001B6E38" w:rsidRPr="008F6332" w:rsidRDefault="001B6E38" w:rsidP="008F6332">
            <w:pPr>
              <w:pStyle w:val="TableBodyText"/>
              <w:rPr>
                <w:szCs w:val="18"/>
              </w:rPr>
            </w:pPr>
          </w:p>
        </w:tc>
      </w:tr>
      <w:tr w:rsidR="001B6E38" w:rsidRPr="000E598A" w14:paraId="618B30DA" w14:textId="36787197" w:rsidTr="008F6332">
        <w:tc>
          <w:tcPr>
            <w:tcW w:w="1209" w:type="pct"/>
            <w:shd w:val="clear" w:color="auto" w:fill="D9D9D9" w:themeFill="background1" w:themeFillShade="D9"/>
          </w:tcPr>
          <w:p w14:paraId="6A4460DB" w14:textId="182B3EF7" w:rsidR="001B6E38" w:rsidRPr="008F6332" w:rsidRDefault="001B6E38" w:rsidP="005C767D">
            <w:pPr>
              <w:pStyle w:val="TableBodyText"/>
              <w:rPr>
                <w:szCs w:val="18"/>
                <w:lang w:bidi="en-US"/>
              </w:rPr>
            </w:pPr>
            <w:r w:rsidRPr="008F6332">
              <w:rPr>
                <w:szCs w:val="18"/>
              </w:rPr>
              <w:t>Specific Gravity</w:t>
            </w:r>
          </w:p>
        </w:tc>
        <w:tc>
          <w:tcPr>
            <w:tcW w:w="805" w:type="pct"/>
            <w:shd w:val="clear" w:color="auto" w:fill="D9D9D9" w:themeFill="background1" w:themeFillShade="D9"/>
          </w:tcPr>
          <w:p w14:paraId="5C449044" w14:textId="067AE6C2" w:rsidR="001B6E38" w:rsidRPr="008F6332" w:rsidRDefault="001B6E38" w:rsidP="005C767D">
            <w:pPr>
              <w:pStyle w:val="TableBodyText"/>
              <w:rPr>
                <w:szCs w:val="18"/>
                <w:lang w:bidi="en-US"/>
              </w:rPr>
            </w:pPr>
            <w:r w:rsidRPr="008F6332">
              <w:rPr>
                <w:szCs w:val="18"/>
              </w:rPr>
              <w:t>D1475</w:t>
            </w:r>
          </w:p>
        </w:tc>
        <w:tc>
          <w:tcPr>
            <w:tcW w:w="1371" w:type="pct"/>
            <w:shd w:val="clear" w:color="auto" w:fill="D9D9D9" w:themeFill="background1" w:themeFillShade="D9"/>
          </w:tcPr>
          <w:p w14:paraId="4D5F7152" w14:textId="17225DC0" w:rsidR="001B6E38" w:rsidRPr="008F6332" w:rsidRDefault="001B6E38" w:rsidP="005C767D">
            <w:pPr>
              <w:pStyle w:val="TableBodyText"/>
              <w:rPr>
                <w:szCs w:val="18"/>
                <w:lang w:bidi="en-US"/>
              </w:rPr>
            </w:pPr>
            <w:r w:rsidRPr="008F6332">
              <w:rPr>
                <w:szCs w:val="18"/>
              </w:rPr>
              <w:t>As nominated by manufacturer</w:t>
            </w:r>
          </w:p>
        </w:tc>
        <w:tc>
          <w:tcPr>
            <w:tcW w:w="1615" w:type="pct"/>
            <w:shd w:val="clear" w:color="auto" w:fill="D9D9D9" w:themeFill="background1" w:themeFillShade="D9"/>
          </w:tcPr>
          <w:p w14:paraId="45AA800D" w14:textId="1C7340BB" w:rsidR="001B6E38" w:rsidRPr="008F6332" w:rsidRDefault="001B6E38" w:rsidP="005C767D">
            <w:pPr>
              <w:pStyle w:val="TableBodyText"/>
              <w:rPr>
                <w:szCs w:val="18"/>
              </w:rPr>
            </w:pPr>
            <w:r w:rsidRPr="008F6332">
              <w:rPr>
                <w:szCs w:val="18"/>
              </w:rPr>
              <w:t>Test multi-component sealants immediately after mixing.</w:t>
            </w:r>
          </w:p>
        </w:tc>
      </w:tr>
    </w:tbl>
    <w:p w14:paraId="1B85C878" w14:textId="212C9099" w:rsidR="002F5E7C" w:rsidRPr="000E598A" w:rsidRDefault="002F5E7C" w:rsidP="000A29DC">
      <w:pPr>
        <w:pStyle w:val="Heading2"/>
        <w:ind w:hanging="425"/>
      </w:pPr>
      <w:bookmarkStart w:id="43" w:name="_Toc116396990"/>
      <w:bookmarkStart w:id="44" w:name="_Ref40857094"/>
      <w:r w:rsidRPr="000E598A">
        <w:lastRenderedPageBreak/>
        <w:t>Sealant – Specific Performance Requirements</w:t>
      </w:r>
      <w:bookmarkEnd w:id="43"/>
    </w:p>
    <w:p w14:paraId="76685AD0" w14:textId="6068ECDF" w:rsidR="002F5E7C" w:rsidRPr="000E598A" w:rsidRDefault="002F5E7C" w:rsidP="00853962">
      <w:pPr>
        <w:pStyle w:val="Bodynumbered1"/>
        <w:ind w:left="709" w:hanging="567"/>
      </w:pPr>
      <w:bookmarkStart w:id="45" w:name="_Ref40884584"/>
      <w:r w:rsidRPr="000E598A">
        <w:t xml:space="preserve">Sealants for use under this Specification must conform to the requirements shown in </w:t>
      </w:r>
      <w:bookmarkStart w:id="46" w:name="_Hlk40884613"/>
      <w:r w:rsidRPr="000E598A">
        <w:t xml:space="preserve">Table </w:t>
      </w:r>
      <w:r w:rsidR="000A099C" w:rsidRPr="000E598A">
        <w:fldChar w:fldCharType="begin"/>
      </w:r>
      <w:r w:rsidR="000A099C" w:rsidRPr="000E598A">
        <w:instrText xml:space="preserve"> REF _Ref40884584 \r \h </w:instrText>
      </w:r>
      <w:r w:rsidR="00352AB1" w:rsidRPr="000E598A">
        <w:instrText xml:space="preserve"> \* MERGEFORMAT </w:instrText>
      </w:r>
      <w:r w:rsidR="000A099C" w:rsidRPr="000E598A">
        <w:fldChar w:fldCharType="separate"/>
      </w:r>
      <w:r w:rsidR="00851F44" w:rsidRPr="000E598A">
        <w:t>6.10</w:t>
      </w:r>
      <w:r w:rsidR="000A099C" w:rsidRPr="000E598A">
        <w:fldChar w:fldCharType="end"/>
      </w:r>
      <w:r w:rsidRPr="000E598A">
        <w:t xml:space="preserve"> </w:t>
      </w:r>
      <w:bookmarkEnd w:id="46"/>
      <w:r w:rsidRPr="000E598A">
        <w:t>for the appropriate Types.</w:t>
      </w:r>
      <w:bookmarkEnd w:id="45"/>
    </w:p>
    <w:p w14:paraId="5EF6D829" w14:textId="42EB7465" w:rsidR="00FB3071" w:rsidRPr="000E598A" w:rsidRDefault="00FB3071" w:rsidP="005C767D">
      <w:pPr>
        <w:pStyle w:val="Caption"/>
        <w:ind w:hanging="992"/>
      </w:pPr>
      <w:r w:rsidRPr="000E598A">
        <w:t xml:space="preserve">Table </w:t>
      </w:r>
      <w:r w:rsidRPr="000E598A">
        <w:fldChar w:fldCharType="begin"/>
      </w:r>
      <w:r w:rsidRPr="000E598A">
        <w:instrText xml:space="preserve"> REF _Ref40884584 \r \h  \* MERGEFORMAT </w:instrText>
      </w:r>
      <w:r w:rsidRPr="000E598A">
        <w:fldChar w:fldCharType="separate"/>
      </w:r>
      <w:r w:rsidR="00851F44" w:rsidRPr="000E598A">
        <w:t>6.10</w:t>
      </w:r>
      <w:r w:rsidRPr="000E598A">
        <w:fldChar w:fldCharType="end"/>
      </w:r>
      <w:r w:rsidRPr="000E598A">
        <w:t xml:space="preserve"> Sealant Type Specific Performance Requirements</w:t>
      </w:r>
    </w:p>
    <w:tbl>
      <w:tblPr>
        <w:tblW w:w="0" w:type="auto"/>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left w:w="57" w:type="dxa"/>
          <w:right w:w="57" w:type="dxa"/>
        </w:tblCellMar>
        <w:tblLook w:val="01E0" w:firstRow="1" w:lastRow="1" w:firstColumn="1" w:lastColumn="1" w:noHBand="0" w:noVBand="0"/>
      </w:tblPr>
      <w:tblGrid>
        <w:gridCol w:w="3402"/>
        <w:gridCol w:w="1418"/>
        <w:gridCol w:w="1301"/>
        <w:gridCol w:w="1301"/>
        <w:gridCol w:w="1302"/>
      </w:tblGrid>
      <w:tr w:rsidR="00FB3071" w:rsidRPr="000E598A" w14:paraId="2EB99276" w14:textId="77777777" w:rsidTr="00892370">
        <w:trPr>
          <w:trHeight w:val="20"/>
          <w:tblHeader/>
        </w:trPr>
        <w:tc>
          <w:tcPr>
            <w:tcW w:w="3402" w:type="dxa"/>
            <w:vMerge w:val="restart"/>
            <w:shd w:val="clear" w:color="auto" w:fill="A6A6A6" w:themeFill="background1" w:themeFillShade="A6"/>
            <w:vAlign w:val="center"/>
          </w:tcPr>
          <w:p w14:paraId="205C08EE" w14:textId="68867B63" w:rsidR="00FB3071" w:rsidRPr="0052542E" w:rsidRDefault="00112746" w:rsidP="008F6332">
            <w:pPr>
              <w:pStyle w:val="TableHeading"/>
              <w:rPr>
                <w:color w:val="auto"/>
              </w:rPr>
            </w:pPr>
            <w:r w:rsidRPr="0052542E">
              <w:rPr>
                <w:color w:val="auto"/>
              </w:rPr>
              <w:t>Property</w:t>
            </w:r>
          </w:p>
        </w:tc>
        <w:tc>
          <w:tcPr>
            <w:tcW w:w="1418" w:type="dxa"/>
            <w:vMerge w:val="restart"/>
            <w:shd w:val="clear" w:color="auto" w:fill="A6A6A6" w:themeFill="background1" w:themeFillShade="A6"/>
            <w:vAlign w:val="center"/>
          </w:tcPr>
          <w:p w14:paraId="05CF468A" w14:textId="314BE2FB" w:rsidR="00FB3071" w:rsidRPr="0052542E" w:rsidRDefault="00112746" w:rsidP="008F6332">
            <w:pPr>
              <w:pStyle w:val="TableHeading"/>
              <w:rPr>
                <w:color w:val="auto"/>
              </w:rPr>
            </w:pPr>
            <w:r w:rsidRPr="0052542E">
              <w:rPr>
                <w:color w:val="auto"/>
              </w:rPr>
              <w:t>Test method (astm)</w:t>
            </w:r>
          </w:p>
        </w:tc>
        <w:tc>
          <w:tcPr>
            <w:tcW w:w="3904" w:type="dxa"/>
            <w:gridSpan w:val="3"/>
            <w:tcBorders>
              <w:bottom w:val="single" w:sz="4" w:space="0" w:color="FFFFFF" w:themeColor="background1"/>
            </w:tcBorders>
            <w:shd w:val="clear" w:color="auto" w:fill="A6A6A6" w:themeFill="background1" w:themeFillShade="A6"/>
          </w:tcPr>
          <w:p w14:paraId="610F9AFC" w14:textId="5125543E" w:rsidR="00FB3071" w:rsidRPr="000E598A" w:rsidRDefault="00112746" w:rsidP="009E732E">
            <w:pPr>
              <w:pStyle w:val="TableHeading"/>
              <w:ind w:left="113"/>
              <w:jc w:val="center"/>
              <w:rPr>
                <w:color w:val="auto"/>
                <w:szCs w:val="20"/>
              </w:rPr>
            </w:pPr>
            <w:r w:rsidRPr="000E598A">
              <w:rPr>
                <w:color w:val="auto"/>
                <w:szCs w:val="20"/>
              </w:rPr>
              <w:t>Requirement</w:t>
            </w:r>
          </w:p>
        </w:tc>
      </w:tr>
      <w:tr w:rsidR="00FB3071" w:rsidRPr="000E598A" w14:paraId="3287E7C1" w14:textId="5446DF34" w:rsidTr="00892370">
        <w:trPr>
          <w:trHeight w:val="20"/>
          <w:tblHeader/>
        </w:trPr>
        <w:tc>
          <w:tcPr>
            <w:tcW w:w="3402" w:type="dxa"/>
            <w:vMerge/>
            <w:tcBorders>
              <w:bottom w:val="single" w:sz="4" w:space="0" w:color="FFFFFF" w:themeColor="background1"/>
            </w:tcBorders>
            <w:shd w:val="clear" w:color="auto" w:fill="A6A6A6" w:themeFill="background1" w:themeFillShade="A6"/>
          </w:tcPr>
          <w:p w14:paraId="3F8533BD" w14:textId="52EB32B0" w:rsidR="00FB3071" w:rsidRPr="000E598A" w:rsidRDefault="00FB3071" w:rsidP="009E732E">
            <w:pPr>
              <w:pStyle w:val="TableHeading"/>
              <w:ind w:left="113"/>
              <w:jc w:val="center"/>
              <w:rPr>
                <w:color w:val="auto"/>
                <w:szCs w:val="20"/>
              </w:rPr>
            </w:pPr>
          </w:p>
        </w:tc>
        <w:tc>
          <w:tcPr>
            <w:tcW w:w="1418" w:type="dxa"/>
            <w:vMerge/>
            <w:tcBorders>
              <w:bottom w:val="single" w:sz="4" w:space="0" w:color="FFFFFF" w:themeColor="background1"/>
            </w:tcBorders>
            <w:shd w:val="clear" w:color="auto" w:fill="A6A6A6" w:themeFill="background1" w:themeFillShade="A6"/>
          </w:tcPr>
          <w:p w14:paraId="741EABB4" w14:textId="13597C61" w:rsidR="00FB3071" w:rsidRPr="000E598A" w:rsidRDefault="00FB3071" w:rsidP="009E732E">
            <w:pPr>
              <w:pStyle w:val="TableHeading"/>
              <w:ind w:left="113"/>
              <w:jc w:val="center"/>
              <w:rPr>
                <w:color w:val="auto"/>
                <w:szCs w:val="20"/>
              </w:rPr>
            </w:pPr>
          </w:p>
        </w:tc>
        <w:tc>
          <w:tcPr>
            <w:tcW w:w="1301" w:type="dxa"/>
            <w:tcBorders>
              <w:bottom w:val="single" w:sz="4" w:space="0" w:color="FFFFFF" w:themeColor="background1"/>
            </w:tcBorders>
            <w:shd w:val="clear" w:color="auto" w:fill="A6A6A6" w:themeFill="background1" w:themeFillShade="A6"/>
          </w:tcPr>
          <w:p w14:paraId="57AE149F" w14:textId="2B807897" w:rsidR="00FB3071" w:rsidRPr="000E598A" w:rsidRDefault="00112746" w:rsidP="009E732E">
            <w:pPr>
              <w:pStyle w:val="TableHeading"/>
              <w:ind w:left="113"/>
              <w:jc w:val="center"/>
              <w:rPr>
                <w:color w:val="auto"/>
                <w:szCs w:val="20"/>
              </w:rPr>
            </w:pPr>
            <w:r w:rsidRPr="000E598A">
              <w:rPr>
                <w:color w:val="auto"/>
                <w:szCs w:val="20"/>
              </w:rPr>
              <w:t>Type 1</w:t>
            </w:r>
          </w:p>
        </w:tc>
        <w:tc>
          <w:tcPr>
            <w:tcW w:w="1301" w:type="dxa"/>
            <w:tcBorders>
              <w:bottom w:val="single" w:sz="4" w:space="0" w:color="FFFFFF" w:themeColor="background1"/>
            </w:tcBorders>
            <w:shd w:val="clear" w:color="auto" w:fill="A6A6A6" w:themeFill="background1" w:themeFillShade="A6"/>
          </w:tcPr>
          <w:p w14:paraId="4C59F7E5" w14:textId="411085B1" w:rsidR="00FB3071" w:rsidRPr="000E598A" w:rsidRDefault="00112746" w:rsidP="009E732E">
            <w:pPr>
              <w:pStyle w:val="TableHeading"/>
              <w:ind w:left="113"/>
              <w:jc w:val="center"/>
              <w:rPr>
                <w:color w:val="auto"/>
                <w:szCs w:val="20"/>
              </w:rPr>
            </w:pPr>
            <w:r w:rsidRPr="000E598A">
              <w:rPr>
                <w:color w:val="auto"/>
                <w:szCs w:val="20"/>
              </w:rPr>
              <w:t>Type 2</w:t>
            </w:r>
          </w:p>
        </w:tc>
        <w:tc>
          <w:tcPr>
            <w:tcW w:w="1302" w:type="dxa"/>
            <w:tcBorders>
              <w:bottom w:val="single" w:sz="4" w:space="0" w:color="FFFFFF" w:themeColor="background1"/>
            </w:tcBorders>
            <w:shd w:val="clear" w:color="auto" w:fill="A6A6A6" w:themeFill="background1" w:themeFillShade="A6"/>
          </w:tcPr>
          <w:p w14:paraId="3DEDA94E" w14:textId="55F16AEB" w:rsidR="00FB3071" w:rsidRPr="000E598A" w:rsidRDefault="00112746" w:rsidP="009E732E">
            <w:pPr>
              <w:pStyle w:val="TableHeading"/>
              <w:ind w:left="113"/>
              <w:jc w:val="center"/>
              <w:rPr>
                <w:color w:val="auto"/>
                <w:szCs w:val="20"/>
              </w:rPr>
            </w:pPr>
            <w:r w:rsidRPr="000E598A">
              <w:rPr>
                <w:color w:val="auto"/>
                <w:szCs w:val="20"/>
              </w:rPr>
              <w:t>Type 3</w:t>
            </w:r>
          </w:p>
        </w:tc>
      </w:tr>
      <w:tr w:rsidR="00282A5F" w:rsidRPr="000E598A" w14:paraId="2B376B01" w14:textId="77777777" w:rsidTr="00892370">
        <w:trPr>
          <w:trHeight w:val="20"/>
        </w:trPr>
        <w:tc>
          <w:tcPr>
            <w:tcW w:w="3402" w:type="dxa"/>
            <w:shd w:val="clear" w:color="auto" w:fill="D9D9D9" w:themeFill="background1" w:themeFillShade="D9"/>
            <w:vAlign w:val="center"/>
          </w:tcPr>
          <w:p w14:paraId="4D49CBC8" w14:textId="7F16AACF" w:rsidR="00282A5F" w:rsidRPr="000E598A" w:rsidRDefault="00282A5F" w:rsidP="008F6332">
            <w:pPr>
              <w:pStyle w:val="TableBodyText"/>
            </w:pPr>
            <w:r w:rsidRPr="000E598A">
              <w:t>Shore A Hardness</w:t>
            </w:r>
          </w:p>
        </w:tc>
        <w:tc>
          <w:tcPr>
            <w:tcW w:w="1418" w:type="dxa"/>
            <w:shd w:val="clear" w:color="auto" w:fill="D9D9D9" w:themeFill="background1" w:themeFillShade="D9"/>
            <w:vAlign w:val="center"/>
          </w:tcPr>
          <w:p w14:paraId="231BA428" w14:textId="23A3BABE" w:rsidR="00282A5F" w:rsidRPr="000E598A" w:rsidRDefault="00282A5F" w:rsidP="008F6332">
            <w:pPr>
              <w:pStyle w:val="TableBodyText"/>
            </w:pPr>
            <w:r w:rsidRPr="000E598A">
              <w:t>C661</w:t>
            </w:r>
          </w:p>
        </w:tc>
        <w:tc>
          <w:tcPr>
            <w:tcW w:w="1301" w:type="dxa"/>
            <w:shd w:val="clear" w:color="auto" w:fill="D9D9D9" w:themeFill="background1" w:themeFillShade="D9"/>
            <w:vAlign w:val="center"/>
          </w:tcPr>
          <w:p w14:paraId="7675469A" w14:textId="5B3FC218" w:rsidR="00282A5F" w:rsidRPr="000E598A" w:rsidRDefault="00282A5F" w:rsidP="008F6332">
            <w:pPr>
              <w:pStyle w:val="TableBodyText"/>
              <w:jc w:val="center"/>
            </w:pPr>
            <w:r w:rsidRPr="000E598A">
              <w:t>5 to 15</w:t>
            </w:r>
          </w:p>
        </w:tc>
        <w:tc>
          <w:tcPr>
            <w:tcW w:w="1301" w:type="dxa"/>
            <w:shd w:val="clear" w:color="auto" w:fill="D9D9D9" w:themeFill="background1" w:themeFillShade="D9"/>
            <w:vAlign w:val="center"/>
          </w:tcPr>
          <w:p w14:paraId="0C228B5E" w14:textId="3805FFF7" w:rsidR="00282A5F" w:rsidRPr="000E598A" w:rsidRDefault="00282A5F" w:rsidP="008F6332">
            <w:pPr>
              <w:pStyle w:val="TableBodyText"/>
              <w:jc w:val="center"/>
            </w:pPr>
            <w:r w:rsidRPr="000E598A">
              <w:t>10 to 30</w:t>
            </w:r>
          </w:p>
        </w:tc>
        <w:tc>
          <w:tcPr>
            <w:tcW w:w="1302" w:type="dxa"/>
            <w:shd w:val="clear" w:color="auto" w:fill="D9D9D9" w:themeFill="background1" w:themeFillShade="D9"/>
            <w:vAlign w:val="center"/>
          </w:tcPr>
          <w:p w14:paraId="24494DB9" w14:textId="59397A20" w:rsidR="00282A5F" w:rsidRPr="000E598A" w:rsidRDefault="00282A5F" w:rsidP="008F6332">
            <w:pPr>
              <w:pStyle w:val="TableBodyText"/>
              <w:jc w:val="center"/>
            </w:pPr>
            <w:r w:rsidRPr="000E598A">
              <w:t>25 to 40</w:t>
            </w:r>
          </w:p>
        </w:tc>
      </w:tr>
      <w:tr w:rsidR="00282A5F" w:rsidRPr="000E598A" w14:paraId="773AD2C5" w14:textId="77777777" w:rsidTr="00892370">
        <w:trPr>
          <w:trHeight w:val="20"/>
        </w:trPr>
        <w:tc>
          <w:tcPr>
            <w:tcW w:w="3402" w:type="dxa"/>
            <w:shd w:val="clear" w:color="auto" w:fill="D9D9D9" w:themeFill="background1" w:themeFillShade="D9"/>
            <w:vAlign w:val="center"/>
          </w:tcPr>
          <w:p w14:paraId="01367F12" w14:textId="28CE92A6" w:rsidR="00282A5F" w:rsidRPr="000E598A" w:rsidRDefault="00282A5F" w:rsidP="008F6332">
            <w:pPr>
              <w:pStyle w:val="TableBodyText"/>
            </w:pPr>
            <w:r w:rsidRPr="000E598A">
              <w:t>Minimum Movement</w:t>
            </w:r>
            <w:r w:rsidRPr="000E598A">
              <w:rPr>
                <w:spacing w:val="-3"/>
              </w:rPr>
              <w:t xml:space="preserve"> </w:t>
            </w:r>
            <w:r w:rsidRPr="000E598A">
              <w:t>Capability</w:t>
            </w:r>
            <w:r w:rsidRPr="000E598A">
              <w:rPr>
                <w:spacing w:val="-22"/>
              </w:rPr>
              <w:t xml:space="preserve"> </w:t>
            </w:r>
            <w:r w:rsidRPr="000E598A">
              <w:rPr>
                <w:vertAlign w:val="superscript"/>
              </w:rPr>
              <w:t>(1)</w:t>
            </w:r>
            <w:r w:rsidR="00892370">
              <w:rPr>
                <w:vertAlign w:val="superscript"/>
              </w:rPr>
              <w:t xml:space="preserve"> </w:t>
            </w:r>
            <w:r w:rsidRPr="000E598A">
              <w:t>(%)</w:t>
            </w:r>
          </w:p>
        </w:tc>
        <w:tc>
          <w:tcPr>
            <w:tcW w:w="1418" w:type="dxa"/>
            <w:shd w:val="clear" w:color="auto" w:fill="D9D9D9" w:themeFill="background1" w:themeFillShade="D9"/>
            <w:vAlign w:val="center"/>
          </w:tcPr>
          <w:p w14:paraId="22B57CF4" w14:textId="132CB6EA" w:rsidR="00282A5F" w:rsidRPr="000E598A" w:rsidRDefault="00282A5F" w:rsidP="008F6332">
            <w:pPr>
              <w:pStyle w:val="TableBodyText"/>
            </w:pPr>
            <w:r w:rsidRPr="000E598A">
              <w:t>C719</w:t>
            </w:r>
          </w:p>
        </w:tc>
        <w:tc>
          <w:tcPr>
            <w:tcW w:w="1301" w:type="dxa"/>
            <w:shd w:val="clear" w:color="auto" w:fill="D9D9D9" w:themeFill="background1" w:themeFillShade="D9"/>
            <w:vAlign w:val="center"/>
          </w:tcPr>
          <w:p w14:paraId="278764F3" w14:textId="3571DD04" w:rsidR="00282A5F" w:rsidRPr="000E598A" w:rsidRDefault="00282A5F" w:rsidP="008F6332">
            <w:pPr>
              <w:pStyle w:val="TableBodyText"/>
              <w:jc w:val="center"/>
            </w:pPr>
            <w:r w:rsidRPr="000E598A">
              <w:t>+100, –50</w:t>
            </w:r>
          </w:p>
        </w:tc>
        <w:tc>
          <w:tcPr>
            <w:tcW w:w="1301" w:type="dxa"/>
            <w:shd w:val="clear" w:color="auto" w:fill="D9D9D9" w:themeFill="background1" w:themeFillShade="D9"/>
            <w:vAlign w:val="center"/>
          </w:tcPr>
          <w:p w14:paraId="1038881F" w14:textId="6C38AA28" w:rsidR="00282A5F" w:rsidRPr="000E598A" w:rsidRDefault="00282A5F" w:rsidP="008F6332">
            <w:pPr>
              <w:pStyle w:val="TableBodyText"/>
              <w:jc w:val="center"/>
            </w:pPr>
            <w:r w:rsidRPr="000E598A">
              <w:t>+100, –50</w:t>
            </w:r>
          </w:p>
        </w:tc>
        <w:tc>
          <w:tcPr>
            <w:tcW w:w="1302" w:type="dxa"/>
            <w:shd w:val="clear" w:color="auto" w:fill="D9D9D9" w:themeFill="background1" w:themeFillShade="D9"/>
            <w:vAlign w:val="center"/>
          </w:tcPr>
          <w:p w14:paraId="63CAD42E" w14:textId="54E4BA37" w:rsidR="00282A5F" w:rsidRPr="000E598A" w:rsidRDefault="00282A5F" w:rsidP="008F6332">
            <w:pPr>
              <w:pStyle w:val="TableBodyText"/>
              <w:jc w:val="center"/>
            </w:pPr>
            <w:r w:rsidRPr="000E598A">
              <w:t>+25, –25</w:t>
            </w:r>
          </w:p>
        </w:tc>
      </w:tr>
      <w:tr w:rsidR="00282A5F" w:rsidRPr="000E598A" w14:paraId="4FDBFE70" w14:textId="3DFAD422" w:rsidTr="00892370">
        <w:trPr>
          <w:trHeight w:val="20"/>
        </w:trPr>
        <w:tc>
          <w:tcPr>
            <w:tcW w:w="3402" w:type="dxa"/>
            <w:shd w:val="clear" w:color="auto" w:fill="D9D9D9" w:themeFill="background1" w:themeFillShade="D9"/>
            <w:vAlign w:val="center"/>
          </w:tcPr>
          <w:p w14:paraId="77044294" w14:textId="09CB2339" w:rsidR="00282A5F" w:rsidRPr="000E598A" w:rsidRDefault="00282A5F" w:rsidP="008F6332">
            <w:pPr>
              <w:pStyle w:val="TableBodyText"/>
              <w:rPr>
                <w:lang w:bidi="en-US"/>
              </w:rPr>
            </w:pPr>
            <w:r w:rsidRPr="000E598A">
              <w:t>Tensile Modulus at</w:t>
            </w:r>
            <w:r w:rsidRPr="000E598A">
              <w:rPr>
                <w:spacing w:val="-5"/>
              </w:rPr>
              <w:t xml:space="preserve"> </w:t>
            </w:r>
            <w:r w:rsidRPr="000E598A">
              <w:t>100%</w:t>
            </w:r>
            <w:r w:rsidRPr="000E598A">
              <w:rPr>
                <w:spacing w:val="1"/>
              </w:rPr>
              <w:t xml:space="preserve"> </w:t>
            </w:r>
            <w:r w:rsidRPr="000E598A">
              <w:t>Strain</w:t>
            </w:r>
            <w:r w:rsidR="00892370">
              <w:t xml:space="preserve"> </w:t>
            </w:r>
            <w:r w:rsidRPr="000E598A">
              <w:t>(MPa)</w:t>
            </w:r>
          </w:p>
        </w:tc>
        <w:tc>
          <w:tcPr>
            <w:tcW w:w="1418" w:type="dxa"/>
            <w:shd w:val="clear" w:color="auto" w:fill="D9D9D9" w:themeFill="background1" w:themeFillShade="D9"/>
            <w:vAlign w:val="center"/>
          </w:tcPr>
          <w:p w14:paraId="797B0D4A" w14:textId="4D781B14" w:rsidR="00282A5F" w:rsidRPr="000E598A" w:rsidRDefault="00282A5F" w:rsidP="008F6332">
            <w:pPr>
              <w:pStyle w:val="TableBodyText"/>
              <w:rPr>
                <w:lang w:bidi="en-US"/>
              </w:rPr>
            </w:pPr>
            <w:r w:rsidRPr="000E598A">
              <w:t>D412</w:t>
            </w:r>
          </w:p>
        </w:tc>
        <w:tc>
          <w:tcPr>
            <w:tcW w:w="1301" w:type="dxa"/>
            <w:shd w:val="clear" w:color="auto" w:fill="D9D9D9" w:themeFill="background1" w:themeFillShade="D9"/>
            <w:vAlign w:val="center"/>
          </w:tcPr>
          <w:p w14:paraId="7428A576" w14:textId="3B497AE5" w:rsidR="00282A5F" w:rsidRPr="000E598A" w:rsidRDefault="00834296" w:rsidP="008F6332">
            <w:pPr>
              <w:pStyle w:val="TableBodyText"/>
              <w:jc w:val="center"/>
              <w:rPr>
                <w:lang w:bidi="en-US"/>
              </w:rPr>
            </w:pPr>
            <w:r w:rsidRPr="000E598A">
              <w:t>&lt;</w:t>
            </w:r>
            <w:r w:rsidR="00282A5F" w:rsidRPr="000E598A">
              <w:t xml:space="preserve"> 0.1</w:t>
            </w:r>
          </w:p>
        </w:tc>
        <w:tc>
          <w:tcPr>
            <w:tcW w:w="1301" w:type="dxa"/>
            <w:shd w:val="clear" w:color="auto" w:fill="D9D9D9" w:themeFill="background1" w:themeFillShade="D9"/>
            <w:vAlign w:val="center"/>
          </w:tcPr>
          <w:p w14:paraId="56608505" w14:textId="4AFF887A" w:rsidR="00282A5F" w:rsidRPr="000E598A" w:rsidRDefault="00834296" w:rsidP="008F6332">
            <w:pPr>
              <w:pStyle w:val="TableBodyText"/>
              <w:jc w:val="center"/>
            </w:pPr>
            <w:r w:rsidRPr="000E598A">
              <w:t>&lt;</w:t>
            </w:r>
            <w:r w:rsidR="00282A5F" w:rsidRPr="000E598A">
              <w:t xml:space="preserve"> 0.6</w:t>
            </w:r>
          </w:p>
        </w:tc>
        <w:tc>
          <w:tcPr>
            <w:tcW w:w="1302" w:type="dxa"/>
            <w:shd w:val="clear" w:color="auto" w:fill="D9D9D9" w:themeFill="background1" w:themeFillShade="D9"/>
            <w:vAlign w:val="center"/>
          </w:tcPr>
          <w:p w14:paraId="5AA8E2C8" w14:textId="5C9C5A8D" w:rsidR="00282A5F" w:rsidRPr="000E598A" w:rsidRDefault="00834296" w:rsidP="008F6332">
            <w:pPr>
              <w:pStyle w:val="TableBodyText"/>
              <w:jc w:val="center"/>
            </w:pPr>
            <w:r w:rsidRPr="000E598A">
              <w:t>&lt;</w:t>
            </w:r>
            <w:r w:rsidR="00282A5F" w:rsidRPr="000E598A">
              <w:t xml:space="preserve"> 0.6</w:t>
            </w:r>
          </w:p>
        </w:tc>
      </w:tr>
    </w:tbl>
    <w:p w14:paraId="4CFCE92E" w14:textId="77777777" w:rsidR="009F7981" w:rsidRPr="000E598A" w:rsidRDefault="00C33EF0" w:rsidP="0052542E">
      <w:pPr>
        <w:pStyle w:val="NoteHeading"/>
        <w:ind w:left="851" w:hanging="142"/>
      </w:pPr>
      <w:r w:rsidRPr="000E598A">
        <w:t>Note</w:t>
      </w:r>
      <w:r w:rsidR="00DA4731" w:rsidRPr="000E598A">
        <w:t>:</w:t>
      </w:r>
    </w:p>
    <w:p w14:paraId="7FCE3CB0" w14:textId="1D8A5504" w:rsidR="00E70DA8" w:rsidRPr="000E598A" w:rsidRDefault="009F7981" w:rsidP="008F6332">
      <w:pPr>
        <w:pStyle w:val="Notes"/>
        <w:numPr>
          <w:ilvl w:val="0"/>
          <w:numId w:val="0"/>
        </w:numPr>
        <w:tabs>
          <w:tab w:val="clear" w:pos="1276"/>
          <w:tab w:val="left" w:pos="1134"/>
        </w:tabs>
        <w:spacing w:before="0"/>
        <w:ind w:left="993" w:hanging="284"/>
      </w:pPr>
      <w:r w:rsidRPr="000E598A">
        <w:t>(1)</w:t>
      </w:r>
      <w:r w:rsidRPr="000E598A">
        <w:tab/>
      </w:r>
      <w:r w:rsidR="00EA0701" w:rsidRPr="000E598A">
        <w:t xml:space="preserve"> </w:t>
      </w:r>
      <w:r w:rsidR="00C33EF0" w:rsidRPr="000E598A">
        <w:t>Positive and negative values are the movement capability under tension and compression, respectively</w:t>
      </w:r>
    </w:p>
    <w:p w14:paraId="154EBFBC" w14:textId="33229196" w:rsidR="00872F3F" w:rsidRPr="000E598A" w:rsidRDefault="0052542E" w:rsidP="000B08A3">
      <w:pPr>
        <w:pStyle w:val="Heading1"/>
        <w:ind w:left="709" w:hanging="567"/>
      </w:pPr>
      <w:bookmarkStart w:id="47" w:name="_Ref78389064"/>
      <w:bookmarkStart w:id="48" w:name="_Toc116396991"/>
      <w:bookmarkEnd w:id="44"/>
      <w:r w:rsidRPr="000B08A3">
        <w:rPr>
          <w:caps w:val="0"/>
        </w:rPr>
        <w:t>Sealant</w:t>
      </w:r>
      <w:r w:rsidRPr="000E598A">
        <w:rPr>
          <w:caps w:val="0"/>
        </w:rPr>
        <w:t xml:space="preserve"> Testing</w:t>
      </w:r>
      <w:bookmarkEnd w:id="47"/>
      <w:bookmarkEnd w:id="48"/>
    </w:p>
    <w:p w14:paraId="4030FE72" w14:textId="2F7F6F3F" w:rsidR="005A749D" w:rsidRPr="000E598A" w:rsidRDefault="005A749D" w:rsidP="000A29DC">
      <w:pPr>
        <w:pStyle w:val="Heading2"/>
        <w:ind w:hanging="425"/>
      </w:pPr>
      <w:bookmarkStart w:id="49" w:name="_Toc116396992"/>
      <w:r w:rsidRPr="000E598A">
        <w:t>Testing Laboratories</w:t>
      </w:r>
      <w:bookmarkEnd w:id="49"/>
    </w:p>
    <w:p w14:paraId="329E24FF" w14:textId="21950DCF" w:rsidR="005A749D" w:rsidRPr="000E598A" w:rsidRDefault="00597DE0" w:rsidP="00853962">
      <w:pPr>
        <w:pStyle w:val="Bodynumbered1"/>
        <w:ind w:left="709" w:hanging="567"/>
      </w:pPr>
      <w:r w:rsidRPr="000E598A">
        <w:t xml:space="preserve">Unless approved otherwise by the </w:t>
      </w:r>
      <w:proofErr w:type="gramStart"/>
      <w:r w:rsidRPr="000E598A">
        <w:t>Principal</w:t>
      </w:r>
      <w:proofErr w:type="gramEnd"/>
      <w:r w:rsidRPr="000E598A">
        <w:t>, testing must be performed by a laboratory which is accredited by a body that is a signatory to the International Laboratory Accreditation Cooperation Mutual Recognition Arrangement (ILAC MRA). The National Association of Testing Authorities (NATA) and International Accreditation New Zealand (IANZ) are signatories to ILAC</w:t>
      </w:r>
      <w:r w:rsidR="00B578E6" w:rsidRPr="000E598A">
        <w:t> </w:t>
      </w:r>
      <w:r w:rsidRPr="000E598A">
        <w:t>MRA</w:t>
      </w:r>
      <w:r w:rsidR="005A749D" w:rsidRPr="000E598A">
        <w:t>.</w:t>
      </w:r>
    </w:p>
    <w:p w14:paraId="1557B203" w14:textId="78F56CE4" w:rsidR="00B47FEC" w:rsidRPr="000E598A" w:rsidRDefault="00B47FEC" w:rsidP="00853962">
      <w:pPr>
        <w:pStyle w:val="Bodynumbered1"/>
        <w:ind w:left="709" w:hanging="567"/>
      </w:pPr>
      <w:r w:rsidRPr="000E598A">
        <w:t xml:space="preserve">If no such facilities are available for a test, the test must be carried out in a laboratory approved by the </w:t>
      </w:r>
      <w:proofErr w:type="gramStart"/>
      <w:r w:rsidRPr="000E598A">
        <w:t>Principal</w:t>
      </w:r>
      <w:proofErr w:type="gramEnd"/>
      <w:r w:rsidRPr="000E598A">
        <w:t xml:space="preserve"> with results reported in a format acceptable to the Principal. For any such approval, details of the testing facilities</w:t>
      </w:r>
      <w:r w:rsidR="00EF4210" w:rsidRPr="000E598A">
        <w:t xml:space="preserve"> must be submitted </w:t>
      </w:r>
      <w:r w:rsidRPr="000E598A">
        <w:t xml:space="preserve">to the </w:t>
      </w:r>
      <w:proofErr w:type="gramStart"/>
      <w:r w:rsidRPr="000E598A">
        <w:t>Principal</w:t>
      </w:r>
      <w:proofErr w:type="gramEnd"/>
      <w:r w:rsidRPr="000E598A">
        <w:t>, prior to carrying out the testing.</w:t>
      </w:r>
    </w:p>
    <w:p w14:paraId="27BE7E86" w14:textId="7508E8A4" w:rsidR="008105CC" w:rsidRPr="000E598A" w:rsidRDefault="00B47FEC" w:rsidP="00853962">
      <w:pPr>
        <w:pStyle w:val="Bodynumbered1"/>
        <w:ind w:left="709" w:hanging="567"/>
      </w:pPr>
      <w:r w:rsidRPr="000E598A">
        <w:t xml:space="preserve">The Principal may request full access to audit the laboratory at any time. </w:t>
      </w:r>
      <w:r w:rsidR="00295CFE" w:rsidRPr="000E598A">
        <w:t xml:space="preserve">The </w:t>
      </w:r>
      <w:r w:rsidR="00EF4210" w:rsidRPr="000E598A">
        <w:t>Contractor</w:t>
      </w:r>
      <w:r w:rsidRPr="000E598A">
        <w:t xml:space="preserve"> must make available for inspection all test procedures, equipment calibration certificates and test results associated with both type testing and production </w:t>
      </w:r>
      <w:r w:rsidR="00316CF4" w:rsidRPr="000E598A">
        <w:t>testing.</w:t>
      </w:r>
    </w:p>
    <w:p w14:paraId="6C62AEFE" w14:textId="536A1330" w:rsidR="00BC0C63" w:rsidRPr="000E598A" w:rsidRDefault="005A749D" w:rsidP="000A29DC">
      <w:pPr>
        <w:pStyle w:val="Heading2"/>
        <w:ind w:hanging="425"/>
        <w:rPr>
          <w:szCs w:val="24"/>
        </w:rPr>
      </w:pPr>
      <w:bookmarkStart w:id="50" w:name="_Toc116396993"/>
      <w:r w:rsidRPr="000E598A">
        <w:t>Type Testing</w:t>
      </w:r>
      <w:r w:rsidR="00BC0C63" w:rsidRPr="000E598A">
        <w:t xml:space="preserve"> and</w:t>
      </w:r>
      <w:r w:rsidR="00BC0C63" w:rsidRPr="000E598A">
        <w:rPr>
          <w:szCs w:val="24"/>
        </w:rPr>
        <w:t xml:space="preserve"> Product Approval</w:t>
      </w:r>
      <w:bookmarkEnd w:id="50"/>
    </w:p>
    <w:p w14:paraId="23379A41" w14:textId="096275B5" w:rsidR="005A749D" w:rsidRPr="000E598A" w:rsidRDefault="00005BCD" w:rsidP="00853962">
      <w:pPr>
        <w:pStyle w:val="Bodynumbered1"/>
        <w:ind w:left="709" w:hanging="567"/>
      </w:pPr>
      <w:bookmarkStart w:id="51" w:name="_Ref78465606"/>
      <w:r w:rsidRPr="000E598A">
        <w:t>T</w:t>
      </w:r>
      <w:r w:rsidR="005A749D" w:rsidRPr="000E598A">
        <w:t xml:space="preserve">ype testing </w:t>
      </w:r>
      <w:r w:rsidRPr="000E598A">
        <w:t xml:space="preserve">must be carried out </w:t>
      </w:r>
      <w:r w:rsidR="005A749D" w:rsidRPr="000E598A">
        <w:t xml:space="preserve">to verify conformity of sealants with the general performance requirements specified in </w:t>
      </w:r>
      <w:r w:rsidR="00F70EAA" w:rsidRPr="000E598A">
        <w:t xml:space="preserve">Table </w:t>
      </w:r>
      <w:r w:rsidR="00CA44F0" w:rsidRPr="000E598A">
        <w:fldChar w:fldCharType="begin"/>
      </w:r>
      <w:r w:rsidR="00CA44F0" w:rsidRPr="000E598A">
        <w:instrText xml:space="preserve"> REF _Ref40884712 \r \h </w:instrText>
      </w:r>
      <w:r w:rsidR="00352AB1" w:rsidRPr="000E598A">
        <w:instrText xml:space="preserve"> \* MERGEFORMAT </w:instrText>
      </w:r>
      <w:r w:rsidR="00CA44F0" w:rsidRPr="000E598A">
        <w:fldChar w:fldCharType="separate"/>
      </w:r>
      <w:r w:rsidR="00851F44" w:rsidRPr="000E598A">
        <w:t>6.9</w:t>
      </w:r>
      <w:r w:rsidR="00CA44F0" w:rsidRPr="000E598A">
        <w:fldChar w:fldCharType="end"/>
      </w:r>
      <w:r w:rsidR="005A749D" w:rsidRPr="000E598A">
        <w:t xml:space="preserve"> and the specific requirements in </w:t>
      </w:r>
      <w:bookmarkStart w:id="52" w:name="_Hlk40884773"/>
      <w:r w:rsidR="000A099C" w:rsidRPr="000E598A">
        <w:t xml:space="preserve">Table </w:t>
      </w:r>
      <w:r w:rsidR="000A099C" w:rsidRPr="000E598A">
        <w:fldChar w:fldCharType="begin"/>
      </w:r>
      <w:r w:rsidR="000A099C" w:rsidRPr="000E598A">
        <w:instrText xml:space="preserve"> REF _Ref40884584 \r \h </w:instrText>
      </w:r>
      <w:r w:rsidR="00352AB1" w:rsidRPr="000E598A">
        <w:instrText xml:space="preserve"> \* MERGEFORMAT </w:instrText>
      </w:r>
      <w:r w:rsidR="000A099C" w:rsidRPr="000E598A">
        <w:fldChar w:fldCharType="separate"/>
      </w:r>
      <w:r w:rsidR="00851F44" w:rsidRPr="000E598A">
        <w:t>6.10</w:t>
      </w:r>
      <w:r w:rsidR="000A099C" w:rsidRPr="000E598A">
        <w:fldChar w:fldCharType="end"/>
      </w:r>
      <w:bookmarkEnd w:id="52"/>
      <w:r w:rsidR="005A749D" w:rsidRPr="000E598A">
        <w:t>.</w:t>
      </w:r>
      <w:bookmarkEnd w:id="51"/>
    </w:p>
    <w:p w14:paraId="01D7A15E" w14:textId="3B82ADA0" w:rsidR="00E4118C" w:rsidRPr="000E598A" w:rsidRDefault="00E4118C" w:rsidP="00853962">
      <w:pPr>
        <w:pStyle w:val="Bodynumbered1"/>
        <w:ind w:left="709" w:hanging="567"/>
      </w:pPr>
      <w:bookmarkStart w:id="53" w:name="_Ref40856828"/>
      <w:r w:rsidRPr="000E598A">
        <w:t xml:space="preserve">Unless Clause </w:t>
      </w:r>
      <w:r w:rsidR="00DF7C93" w:rsidRPr="000E598A">
        <w:fldChar w:fldCharType="begin"/>
      </w:r>
      <w:r w:rsidR="00DF7C93" w:rsidRPr="000E598A">
        <w:instrText xml:space="preserve"> REF _Ref80943089 \r \h </w:instrText>
      </w:r>
      <w:r w:rsidR="00352AB1" w:rsidRPr="000E598A">
        <w:instrText xml:space="preserve"> \* MERGEFORMAT </w:instrText>
      </w:r>
      <w:r w:rsidR="00DF7C93" w:rsidRPr="000E598A">
        <w:fldChar w:fldCharType="separate"/>
      </w:r>
      <w:r w:rsidR="00851F44" w:rsidRPr="000E598A">
        <w:t>4.3</w:t>
      </w:r>
      <w:r w:rsidR="00DF7C93" w:rsidRPr="000E598A">
        <w:fldChar w:fldCharType="end"/>
      </w:r>
      <w:r w:rsidRPr="000E598A">
        <w:t xml:space="preserve"> applies, the Contractor must submit the type test report </w:t>
      </w:r>
      <w:r w:rsidR="00761400" w:rsidRPr="000E598A">
        <w:t>(not more than 2 years old)</w:t>
      </w:r>
      <w:r w:rsidRPr="000E598A">
        <w:t xml:space="preserve"> to the </w:t>
      </w:r>
      <w:proofErr w:type="gramStart"/>
      <w:r w:rsidRPr="000E598A">
        <w:t>Principal</w:t>
      </w:r>
      <w:proofErr w:type="gramEnd"/>
      <w:r w:rsidRPr="000E598A">
        <w:t>.</w:t>
      </w:r>
      <w:bookmarkEnd w:id="53"/>
    </w:p>
    <w:p w14:paraId="421BECA1" w14:textId="34EBCE2C" w:rsidR="004C147B" w:rsidRPr="000E598A" w:rsidRDefault="004C147B" w:rsidP="00853962">
      <w:pPr>
        <w:pStyle w:val="Bodynumbered1"/>
        <w:ind w:left="709" w:hanging="567"/>
      </w:pPr>
      <w:r w:rsidRPr="000E598A">
        <w:t xml:space="preserve">All individual packages of sealant components and primers must be clearly identified and labelled on site, including sealant classifications specified in Clause </w:t>
      </w:r>
      <w:r w:rsidRPr="000E598A">
        <w:fldChar w:fldCharType="begin"/>
      </w:r>
      <w:r w:rsidRPr="000E598A">
        <w:instrText xml:space="preserve"> REF _Ref40881871 \r \h  \* MERGEFORMAT </w:instrText>
      </w:r>
      <w:r w:rsidRPr="000E598A">
        <w:fldChar w:fldCharType="separate"/>
      </w:r>
      <w:r w:rsidRPr="000E598A">
        <w:t>6.1</w:t>
      </w:r>
      <w:r w:rsidRPr="000E598A">
        <w:fldChar w:fldCharType="end"/>
      </w:r>
      <w:r w:rsidRPr="000E598A">
        <w:t xml:space="preserve">. A production testing report must be provided to the </w:t>
      </w:r>
      <w:proofErr w:type="gramStart"/>
      <w:r w:rsidRPr="000E598A">
        <w:t>Principal</w:t>
      </w:r>
      <w:proofErr w:type="gramEnd"/>
      <w:r w:rsidRPr="000E598A">
        <w:t xml:space="preserve"> with each batch of sealant delivered.</w:t>
      </w:r>
    </w:p>
    <w:tbl>
      <w:tblPr>
        <w:tblStyle w:val="TMTable"/>
        <w:tblW w:w="4631" w:type="pct"/>
        <w:tblInd w:w="699" w:type="dxa"/>
        <w:tblLook w:val="04A0" w:firstRow="1" w:lastRow="0" w:firstColumn="1" w:lastColumn="0" w:noHBand="0" w:noVBand="1"/>
      </w:tblPr>
      <w:tblGrid>
        <w:gridCol w:w="2076"/>
        <w:gridCol w:w="6714"/>
      </w:tblGrid>
      <w:tr w:rsidR="00D9790C" w:rsidRPr="000E598A" w14:paraId="7CFB16D1" w14:textId="77777777" w:rsidTr="00892370">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61971B31" w14:textId="77777777" w:rsidR="00D9790C" w:rsidRPr="000E598A" w:rsidRDefault="00D9790C" w:rsidP="009E732E">
            <w:pPr>
              <w:pStyle w:val="TableHeading"/>
              <w:rPr>
                <w:b/>
                <w:bCs/>
              </w:rPr>
            </w:pPr>
            <w:bookmarkStart w:id="54" w:name="_Hlk40885296"/>
            <w:r w:rsidRPr="000E598A">
              <w:rPr>
                <w:b/>
                <w:bCs/>
              </w:rPr>
              <w:t>HOLD POINT 2.</w:t>
            </w:r>
          </w:p>
        </w:tc>
      </w:tr>
      <w:tr w:rsidR="00D9790C" w:rsidRPr="000E598A" w14:paraId="6702DA90" w14:textId="77777777" w:rsidTr="00892370">
        <w:tc>
          <w:tcPr>
            <w:tcW w:w="1181" w:type="pct"/>
            <w:tcBorders>
              <w:bottom w:val="single" w:sz="4" w:space="0" w:color="FFFFFF" w:themeColor="background1"/>
            </w:tcBorders>
            <w:hideMark/>
          </w:tcPr>
          <w:p w14:paraId="47A73EF8" w14:textId="77777777" w:rsidR="00D9790C" w:rsidRPr="000E598A" w:rsidRDefault="00D9790C" w:rsidP="009E732E">
            <w:pPr>
              <w:pStyle w:val="TableBodyText"/>
              <w:rPr>
                <w:rFonts w:cstheme="minorBidi"/>
                <w:b/>
              </w:rPr>
            </w:pPr>
            <w:r w:rsidRPr="000E598A">
              <w:t>Process Held</w:t>
            </w:r>
          </w:p>
        </w:tc>
        <w:tc>
          <w:tcPr>
            <w:tcW w:w="3819" w:type="pct"/>
            <w:tcBorders>
              <w:bottom w:val="single" w:sz="4" w:space="0" w:color="FFFFFF" w:themeColor="background1"/>
            </w:tcBorders>
            <w:hideMark/>
          </w:tcPr>
          <w:p w14:paraId="7627916C" w14:textId="77777777" w:rsidR="00D9790C" w:rsidRPr="000E598A" w:rsidRDefault="00D9790C" w:rsidP="009E732E">
            <w:pPr>
              <w:pStyle w:val="TableBodyText"/>
              <w:rPr>
                <w:b/>
              </w:rPr>
            </w:pPr>
            <w:r w:rsidRPr="000E598A">
              <w:t>Delivery of sealants to site</w:t>
            </w:r>
          </w:p>
        </w:tc>
      </w:tr>
      <w:tr w:rsidR="00D9790C" w:rsidRPr="000E598A" w14:paraId="0FDC08A7" w14:textId="77777777" w:rsidTr="00892370">
        <w:tc>
          <w:tcPr>
            <w:tcW w:w="1181" w:type="pct"/>
            <w:tcBorders>
              <w:bottom w:val="single" w:sz="4" w:space="0" w:color="FFFFFF" w:themeColor="background1"/>
            </w:tcBorders>
            <w:hideMark/>
          </w:tcPr>
          <w:p w14:paraId="7387A9BD" w14:textId="77777777" w:rsidR="00D9790C" w:rsidRPr="000E598A" w:rsidRDefault="00D9790C" w:rsidP="009E732E">
            <w:pPr>
              <w:pStyle w:val="TableBodyText"/>
            </w:pPr>
            <w:r w:rsidRPr="000E598A">
              <w:t>Submission Details</w:t>
            </w:r>
          </w:p>
        </w:tc>
        <w:tc>
          <w:tcPr>
            <w:tcW w:w="3819" w:type="pct"/>
            <w:tcBorders>
              <w:bottom w:val="single" w:sz="4" w:space="0" w:color="FFFFFF" w:themeColor="background1"/>
            </w:tcBorders>
            <w:hideMark/>
          </w:tcPr>
          <w:p w14:paraId="3687B949" w14:textId="31DEB7F1" w:rsidR="00D9790C" w:rsidRPr="000E598A" w:rsidRDefault="00D9790C" w:rsidP="009E732E">
            <w:pPr>
              <w:pStyle w:val="TableBodyText"/>
            </w:pPr>
            <w:r w:rsidRPr="000E598A">
              <w:t>At least</w:t>
            </w:r>
            <w:r w:rsidR="00E57D0E" w:rsidRPr="000E598A">
              <w:t xml:space="preserve"> 5</w:t>
            </w:r>
            <w:r w:rsidRPr="000E598A">
              <w:t xml:space="preserve"> working days prior to delivery, a type test report </w:t>
            </w:r>
            <w:r w:rsidR="008647B9" w:rsidRPr="000E598A">
              <w:t xml:space="preserve">must be submitted to the </w:t>
            </w:r>
            <w:proofErr w:type="gramStart"/>
            <w:r w:rsidR="008647B9" w:rsidRPr="000E598A">
              <w:t>Principal</w:t>
            </w:r>
            <w:proofErr w:type="gramEnd"/>
            <w:r w:rsidR="002C35DB" w:rsidRPr="000E598A">
              <w:t xml:space="preserve"> </w:t>
            </w:r>
            <w:r w:rsidRPr="000E598A">
              <w:t xml:space="preserve">which is not more than two years old verifying conformity to Clause </w:t>
            </w:r>
            <w:r w:rsidR="00D4003E" w:rsidRPr="000E598A">
              <w:fldChar w:fldCharType="begin"/>
            </w:r>
            <w:r w:rsidR="00D4003E" w:rsidRPr="000E598A">
              <w:instrText xml:space="preserve"> REF _Ref78465606 \r \h </w:instrText>
            </w:r>
            <w:r w:rsidR="00352AB1" w:rsidRPr="000E598A">
              <w:instrText xml:space="preserve"> \* MERGEFORMAT </w:instrText>
            </w:r>
            <w:r w:rsidR="00D4003E" w:rsidRPr="000E598A">
              <w:fldChar w:fldCharType="separate"/>
            </w:r>
            <w:r w:rsidR="00851F44" w:rsidRPr="000E598A">
              <w:t>7.4</w:t>
            </w:r>
            <w:r w:rsidR="00D4003E" w:rsidRPr="000E598A">
              <w:fldChar w:fldCharType="end"/>
            </w:r>
            <w:r w:rsidRPr="000E598A">
              <w:t>, together with a production test report.</w:t>
            </w:r>
          </w:p>
        </w:tc>
      </w:tr>
    </w:tbl>
    <w:p w14:paraId="06161E91" w14:textId="66F2C474" w:rsidR="00D9790C" w:rsidRPr="000E598A" w:rsidRDefault="00D9790C" w:rsidP="000A29DC">
      <w:pPr>
        <w:pStyle w:val="Heading2"/>
        <w:ind w:hanging="425"/>
      </w:pPr>
      <w:bookmarkStart w:id="55" w:name="_Toc116396994"/>
      <w:bookmarkEnd w:id="54"/>
      <w:r w:rsidRPr="000E598A">
        <w:lastRenderedPageBreak/>
        <w:t>Production Testing</w:t>
      </w:r>
      <w:bookmarkEnd w:id="55"/>
    </w:p>
    <w:p w14:paraId="2FDD64E2" w14:textId="1B2A3E79" w:rsidR="00BC0C63" w:rsidRPr="000E598A" w:rsidRDefault="00BC0C63" w:rsidP="00853962">
      <w:pPr>
        <w:pStyle w:val="Bodynumbered1"/>
        <w:ind w:left="709" w:hanging="567"/>
      </w:pPr>
      <w:r w:rsidRPr="000E598A">
        <w:t xml:space="preserve">Testing of every batch must be carried out during production to verify consistency in the production </w:t>
      </w:r>
      <w:r w:rsidR="00AE3A42" w:rsidRPr="000E598A">
        <w:t>process and</w:t>
      </w:r>
      <w:r w:rsidRPr="000E598A">
        <w:t xml:space="preserve"> demonstrate conformity of each batch with the specified requirements.</w:t>
      </w:r>
    </w:p>
    <w:p w14:paraId="5B740C04" w14:textId="77777777" w:rsidR="00BC0C63" w:rsidRPr="000E598A" w:rsidRDefault="00BC0C63" w:rsidP="00853962">
      <w:pPr>
        <w:pStyle w:val="Bodynumbered1"/>
        <w:ind w:left="709" w:hanging="567"/>
      </w:pPr>
      <w:r w:rsidRPr="000E598A">
        <w:t>Production testing must comprise testing for the following properties as a minimum:</w:t>
      </w:r>
    </w:p>
    <w:p w14:paraId="0DFDCE19" w14:textId="22F7284B" w:rsidR="00BC0C63" w:rsidRPr="000E598A" w:rsidRDefault="00AE3A42" w:rsidP="0052542E">
      <w:pPr>
        <w:pStyle w:val="Bodynumbered2"/>
        <w:numPr>
          <w:ilvl w:val="0"/>
          <w:numId w:val="24"/>
        </w:numPr>
        <w:ind w:left="993" w:hanging="284"/>
      </w:pPr>
      <w:r w:rsidRPr="000E598A">
        <w:t>extrudability.</w:t>
      </w:r>
    </w:p>
    <w:p w14:paraId="5CD843FC" w14:textId="46E2CDEE" w:rsidR="00BC0C63" w:rsidRPr="000E598A" w:rsidRDefault="00BC0C63" w:rsidP="0052542E">
      <w:pPr>
        <w:pStyle w:val="Bodynumbered2"/>
        <w:numPr>
          <w:ilvl w:val="0"/>
          <w:numId w:val="24"/>
        </w:numPr>
        <w:ind w:left="993" w:hanging="284"/>
      </w:pPr>
      <w:r w:rsidRPr="000E598A">
        <w:t xml:space="preserve">tack-free </w:t>
      </w:r>
      <w:r w:rsidR="00AE3A42" w:rsidRPr="000E598A">
        <w:t>time.</w:t>
      </w:r>
    </w:p>
    <w:p w14:paraId="6FB50F82" w14:textId="395AE010" w:rsidR="00BC0C63" w:rsidRPr="000E598A" w:rsidRDefault="00BC0C63" w:rsidP="0052542E">
      <w:pPr>
        <w:pStyle w:val="Bodynumbered2"/>
        <w:numPr>
          <w:ilvl w:val="0"/>
          <w:numId w:val="24"/>
        </w:numPr>
        <w:ind w:left="993" w:hanging="284"/>
      </w:pPr>
      <w:r w:rsidRPr="000E598A">
        <w:t>adhesion-in-</w:t>
      </w:r>
      <w:r w:rsidR="00AE3A42" w:rsidRPr="000E598A">
        <w:t>peel.</w:t>
      </w:r>
    </w:p>
    <w:p w14:paraId="1020DCD3" w14:textId="7164EB1D" w:rsidR="00BC0C63" w:rsidRPr="000E598A" w:rsidRDefault="00BC0C63" w:rsidP="0052542E">
      <w:pPr>
        <w:pStyle w:val="Bodynumbered2"/>
        <w:numPr>
          <w:ilvl w:val="0"/>
          <w:numId w:val="24"/>
        </w:numPr>
        <w:ind w:left="993" w:hanging="284"/>
      </w:pPr>
      <w:r w:rsidRPr="000E598A">
        <w:t xml:space="preserve">Shore A </w:t>
      </w:r>
      <w:r w:rsidR="00AE3A42" w:rsidRPr="000E598A">
        <w:t>hardness.</w:t>
      </w:r>
    </w:p>
    <w:p w14:paraId="57C44206" w14:textId="77777777" w:rsidR="00BC0C63" w:rsidRPr="000E598A" w:rsidRDefault="00BC0C63" w:rsidP="0052542E">
      <w:pPr>
        <w:pStyle w:val="Bodynumbered2"/>
        <w:numPr>
          <w:ilvl w:val="0"/>
          <w:numId w:val="24"/>
        </w:numPr>
        <w:ind w:left="993" w:hanging="284"/>
      </w:pPr>
      <w:r w:rsidRPr="000E598A">
        <w:t>specific gravity.</w:t>
      </w:r>
    </w:p>
    <w:p w14:paraId="1F25C2F0" w14:textId="6948978D" w:rsidR="00BC0C63" w:rsidRPr="000E598A" w:rsidRDefault="00BC0C63" w:rsidP="00853962">
      <w:pPr>
        <w:pStyle w:val="Bodynumbered1"/>
        <w:ind w:left="709" w:hanging="567"/>
      </w:pPr>
      <w:r w:rsidRPr="000E598A">
        <w:t xml:space="preserve">All properties listed above must comply with Table </w:t>
      </w:r>
      <w:r w:rsidRPr="000E598A">
        <w:fldChar w:fldCharType="begin"/>
      </w:r>
      <w:r w:rsidRPr="000E598A">
        <w:instrText xml:space="preserve"> REF _Ref40884712 \r \h </w:instrText>
      </w:r>
      <w:r w:rsidR="00352AB1" w:rsidRPr="000E598A">
        <w:instrText xml:space="preserve"> \* MERGEFORMAT </w:instrText>
      </w:r>
      <w:r w:rsidRPr="000E598A">
        <w:fldChar w:fldCharType="separate"/>
      </w:r>
      <w:r w:rsidR="00851F44" w:rsidRPr="000E598A">
        <w:t>6.9</w:t>
      </w:r>
      <w:r w:rsidRPr="000E598A">
        <w:fldChar w:fldCharType="end"/>
      </w:r>
      <w:r w:rsidRPr="000E598A">
        <w:t xml:space="preserve">, except for Shore A hardness which must comply with Table </w:t>
      </w:r>
      <w:r w:rsidRPr="000E598A">
        <w:fldChar w:fldCharType="begin"/>
      </w:r>
      <w:r w:rsidRPr="000E598A">
        <w:instrText xml:space="preserve"> REF _Ref40884584 \r \h </w:instrText>
      </w:r>
      <w:r w:rsidR="00352AB1" w:rsidRPr="000E598A">
        <w:instrText xml:space="preserve"> \* MERGEFORMAT </w:instrText>
      </w:r>
      <w:r w:rsidRPr="000E598A">
        <w:fldChar w:fldCharType="separate"/>
      </w:r>
      <w:r w:rsidR="00851F44" w:rsidRPr="000E598A">
        <w:t>6.10</w:t>
      </w:r>
      <w:r w:rsidRPr="000E598A">
        <w:fldChar w:fldCharType="end"/>
      </w:r>
      <w:r w:rsidRPr="000E598A">
        <w:t>.</w:t>
      </w:r>
    </w:p>
    <w:p w14:paraId="4B046A9E" w14:textId="248C36BD" w:rsidR="00AE43B9" w:rsidRPr="000E598A" w:rsidRDefault="00FC5CD5" w:rsidP="000B08A3">
      <w:pPr>
        <w:pStyle w:val="Heading1"/>
        <w:ind w:left="709" w:hanging="567"/>
      </w:pPr>
      <w:bookmarkStart w:id="56" w:name="_Ref61937160"/>
      <w:bookmarkStart w:id="57" w:name="_Toc116396995"/>
      <w:bookmarkStart w:id="58" w:name="_Ref15469889"/>
      <w:bookmarkStart w:id="59" w:name="_Hlk9598492"/>
      <w:r w:rsidRPr="000B08A3">
        <w:rPr>
          <w:caps w:val="0"/>
        </w:rPr>
        <w:t>Inst</w:t>
      </w:r>
      <w:r w:rsidR="00C566ED" w:rsidRPr="000B08A3">
        <w:rPr>
          <w:caps w:val="0"/>
        </w:rPr>
        <w:t>allation</w:t>
      </w:r>
      <w:bookmarkEnd w:id="56"/>
      <w:bookmarkEnd w:id="57"/>
    </w:p>
    <w:p w14:paraId="0CF9549D" w14:textId="77777777" w:rsidR="00FD232E" w:rsidRPr="000E598A" w:rsidRDefault="00FD232E" w:rsidP="000A29DC">
      <w:pPr>
        <w:pStyle w:val="Heading2"/>
        <w:ind w:hanging="425"/>
      </w:pPr>
      <w:bookmarkStart w:id="60" w:name="_Toc116396996"/>
      <w:bookmarkStart w:id="61" w:name="_Ref40863585"/>
      <w:r w:rsidRPr="000E598A">
        <w:t>General</w:t>
      </w:r>
      <w:bookmarkEnd w:id="60"/>
    </w:p>
    <w:p w14:paraId="1154E538" w14:textId="5B71AA58" w:rsidR="006C41C2" w:rsidRPr="000E598A" w:rsidRDefault="005C62A4" w:rsidP="00853962">
      <w:pPr>
        <w:pStyle w:val="Bodynumbered1"/>
        <w:ind w:left="709" w:hanging="567"/>
      </w:pPr>
      <w:bookmarkStart w:id="62" w:name="_Ref80942333"/>
      <w:r w:rsidRPr="000E598A">
        <w:t xml:space="preserve">The </w:t>
      </w:r>
      <w:r w:rsidR="00851F44" w:rsidRPr="000E598A">
        <w:t>Quality Plan</w:t>
      </w:r>
      <w:r w:rsidR="009A41D5" w:rsidRPr="000E598A">
        <w:t xml:space="preserve"> must include </w:t>
      </w:r>
      <w:r w:rsidR="006C41C2" w:rsidRPr="000E598A">
        <w:t>a procedure for installation of the sealant</w:t>
      </w:r>
      <w:r w:rsidR="00646F56" w:rsidRPr="000E598A">
        <w:t xml:space="preserve"> / joint</w:t>
      </w:r>
      <w:r w:rsidR="006C41C2" w:rsidRPr="000E598A">
        <w:t>.</w:t>
      </w:r>
      <w:bookmarkEnd w:id="62"/>
    </w:p>
    <w:p w14:paraId="15060221" w14:textId="6352AAEE" w:rsidR="00506577" w:rsidRPr="000E598A" w:rsidRDefault="00506577" w:rsidP="00853962">
      <w:pPr>
        <w:pStyle w:val="Bodynumbered1"/>
        <w:ind w:left="709" w:hanging="567"/>
      </w:pPr>
      <w:bookmarkStart w:id="63" w:name="_Ref40886675"/>
      <w:r w:rsidRPr="000E598A">
        <w:t>Sealant components must have at least six months of shelf life remaining from the date of delivery under the storage conditions specified by the manufacturer.</w:t>
      </w:r>
      <w:bookmarkEnd w:id="63"/>
    </w:p>
    <w:tbl>
      <w:tblPr>
        <w:tblStyle w:val="TMTable"/>
        <w:tblW w:w="4631" w:type="pct"/>
        <w:tblInd w:w="699" w:type="dxa"/>
        <w:tblLook w:val="04A0" w:firstRow="1" w:lastRow="0" w:firstColumn="1" w:lastColumn="0" w:noHBand="0" w:noVBand="1"/>
      </w:tblPr>
      <w:tblGrid>
        <w:gridCol w:w="1559"/>
        <w:gridCol w:w="7231"/>
      </w:tblGrid>
      <w:tr w:rsidR="00E57D0E" w:rsidRPr="000E598A" w14:paraId="2AAFB9ED" w14:textId="77777777" w:rsidTr="00892370">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1DE664A4" w14:textId="0C3E6B3F" w:rsidR="00E57D0E" w:rsidRPr="000E598A" w:rsidRDefault="00FD6BA3" w:rsidP="009E732E">
            <w:pPr>
              <w:pStyle w:val="TableHeading"/>
              <w:rPr>
                <w:b/>
                <w:bCs/>
              </w:rPr>
            </w:pPr>
            <w:r w:rsidRPr="000E598A">
              <w:rPr>
                <w:b/>
                <w:bCs/>
              </w:rPr>
              <w:t>WITNESS</w:t>
            </w:r>
            <w:r w:rsidR="00E57D0E" w:rsidRPr="000E598A">
              <w:rPr>
                <w:b/>
                <w:bCs/>
              </w:rPr>
              <w:t xml:space="preserve"> POINT </w:t>
            </w:r>
            <w:r w:rsidRPr="000E598A">
              <w:rPr>
                <w:b/>
                <w:bCs/>
              </w:rPr>
              <w:t>1</w:t>
            </w:r>
            <w:r w:rsidR="00E57D0E" w:rsidRPr="000E598A">
              <w:rPr>
                <w:b/>
                <w:bCs/>
              </w:rPr>
              <w:t>.</w:t>
            </w:r>
          </w:p>
        </w:tc>
      </w:tr>
      <w:tr w:rsidR="00F30B2A" w:rsidRPr="000E598A" w14:paraId="2019466A" w14:textId="77777777" w:rsidTr="00892370">
        <w:tc>
          <w:tcPr>
            <w:tcW w:w="887" w:type="pct"/>
            <w:tcBorders>
              <w:bottom w:val="single" w:sz="4" w:space="0" w:color="FFFFFF" w:themeColor="background1"/>
            </w:tcBorders>
            <w:hideMark/>
          </w:tcPr>
          <w:p w14:paraId="327C847A" w14:textId="2D7E7021" w:rsidR="00F30B2A" w:rsidRPr="000E598A" w:rsidRDefault="00F30B2A" w:rsidP="00F30B2A">
            <w:pPr>
              <w:pStyle w:val="TableBodyText"/>
              <w:rPr>
                <w:rFonts w:cstheme="minorBidi"/>
                <w:b/>
              </w:rPr>
            </w:pPr>
            <w:r w:rsidRPr="000E598A">
              <w:rPr>
                <w:sz w:val="20"/>
              </w:rPr>
              <w:t xml:space="preserve">Process </w:t>
            </w:r>
          </w:p>
        </w:tc>
        <w:tc>
          <w:tcPr>
            <w:tcW w:w="4113" w:type="pct"/>
            <w:tcBorders>
              <w:bottom w:val="single" w:sz="4" w:space="0" w:color="FFFFFF" w:themeColor="background1"/>
            </w:tcBorders>
            <w:hideMark/>
          </w:tcPr>
          <w:p w14:paraId="6DF30BD1" w14:textId="77777777" w:rsidR="00F30B2A" w:rsidRPr="000E598A" w:rsidRDefault="00F30B2A" w:rsidP="00F30B2A">
            <w:pPr>
              <w:pStyle w:val="TableBodyText"/>
              <w:rPr>
                <w:b/>
              </w:rPr>
            </w:pPr>
            <w:r w:rsidRPr="000E598A">
              <w:t>Installation of sealant</w:t>
            </w:r>
          </w:p>
        </w:tc>
      </w:tr>
      <w:tr w:rsidR="00F30B2A" w:rsidRPr="000E598A" w14:paraId="509FCC40" w14:textId="77777777" w:rsidTr="00892370">
        <w:tc>
          <w:tcPr>
            <w:tcW w:w="887" w:type="pct"/>
            <w:tcBorders>
              <w:bottom w:val="single" w:sz="4" w:space="0" w:color="FFFFFF" w:themeColor="background1"/>
            </w:tcBorders>
            <w:hideMark/>
          </w:tcPr>
          <w:p w14:paraId="04AF2328" w14:textId="32686BF8" w:rsidR="00F30B2A" w:rsidRPr="000E598A" w:rsidRDefault="00F30B2A" w:rsidP="00F30B2A">
            <w:pPr>
              <w:pStyle w:val="TableBodyText"/>
            </w:pPr>
            <w:r w:rsidRPr="000E598A">
              <w:rPr>
                <w:sz w:val="20"/>
              </w:rPr>
              <w:t>Notification</w:t>
            </w:r>
          </w:p>
        </w:tc>
        <w:tc>
          <w:tcPr>
            <w:tcW w:w="4113" w:type="pct"/>
            <w:tcBorders>
              <w:bottom w:val="single" w:sz="4" w:space="0" w:color="FFFFFF" w:themeColor="background1"/>
            </w:tcBorders>
            <w:hideMark/>
          </w:tcPr>
          <w:p w14:paraId="4DE4766B" w14:textId="0031E970" w:rsidR="00F30B2A" w:rsidRPr="000E598A" w:rsidRDefault="000C2E6D" w:rsidP="00F30B2A">
            <w:pPr>
              <w:pStyle w:val="TableBodyText"/>
            </w:pPr>
            <w:r w:rsidRPr="000E598A">
              <w:t>Notification must be provided at least 2 working days prior to the commencement of sealant joint installation</w:t>
            </w:r>
          </w:p>
        </w:tc>
      </w:tr>
    </w:tbl>
    <w:p w14:paraId="21DEDA5C" w14:textId="3A9BFCCB" w:rsidR="008349A7" w:rsidRPr="000E598A" w:rsidRDefault="00045219" w:rsidP="00853962">
      <w:pPr>
        <w:pStyle w:val="Bodynumbered1"/>
        <w:ind w:left="709" w:hanging="567"/>
      </w:pPr>
      <w:r w:rsidRPr="000E598A">
        <w:t>T</w:t>
      </w:r>
      <w:r w:rsidR="00D428C5" w:rsidRPr="000E598A">
        <w:t>he sealant</w:t>
      </w:r>
      <w:r w:rsidRPr="000E598A">
        <w:t xml:space="preserve"> must be installed in accordance with the </w:t>
      </w:r>
      <w:r w:rsidR="00D428C5" w:rsidRPr="000E598A">
        <w:t>manufacturer’s instructions and</w:t>
      </w:r>
      <w:r w:rsidR="008349A7" w:rsidRPr="000E598A">
        <w:t xml:space="preserve"> the Drawings. The details in </w:t>
      </w:r>
      <w:r w:rsidR="00262D73" w:rsidRPr="000E598A">
        <w:t xml:space="preserve">Standard </w:t>
      </w:r>
      <w:r w:rsidR="008349A7" w:rsidRPr="000E598A">
        <w:t>Drawing No. B0600 apply, unless specified otherwise</w:t>
      </w:r>
      <w:r w:rsidR="00262D73" w:rsidRPr="000E598A">
        <w:t xml:space="preserve"> on the Drawings</w:t>
      </w:r>
      <w:r w:rsidR="008349A7" w:rsidRPr="000E598A">
        <w:t>.</w:t>
      </w:r>
    </w:p>
    <w:p w14:paraId="1C17C9A8" w14:textId="6262D7F6" w:rsidR="002410C6" w:rsidRPr="000E598A" w:rsidRDefault="00CC1587" w:rsidP="00853962">
      <w:pPr>
        <w:pStyle w:val="Bodynumbered1"/>
        <w:ind w:left="709" w:hanging="567"/>
      </w:pPr>
      <w:bookmarkStart w:id="64" w:name="_Ref40886693"/>
      <w:r w:rsidRPr="000E598A">
        <w:t xml:space="preserve">In joint gaps exposed to traffic, the </w:t>
      </w:r>
      <w:r w:rsidR="00D428C5" w:rsidRPr="000E598A">
        <w:t xml:space="preserve">top of </w:t>
      </w:r>
      <w:r w:rsidR="00941133" w:rsidRPr="000E598A">
        <w:t xml:space="preserve">the </w:t>
      </w:r>
      <w:r w:rsidR="00D428C5" w:rsidRPr="000E598A">
        <w:t>sealant at maximum compression must be</w:t>
      </w:r>
      <w:bookmarkEnd w:id="64"/>
      <w:r w:rsidR="002410C6" w:rsidRPr="000E598A">
        <w:t>:</w:t>
      </w:r>
    </w:p>
    <w:p w14:paraId="579FF82A" w14:textId="3EB0DCDD" w:rsidR="002410C6" w:rsidRPr="000E598A" w:rsidRDefault="002410C6" w:rsidP="00F91E4F">
      <w:pPr>
        <w:pStyle w:val="Bodynumbered2"/>
        <w:numPr>
          <w:ilvl w:val="0"/>
          <w:numId w:val="28"/>
        </w:numPr>
        <w:ind w:left="1134" w:hanging="425"/>
      </w:pPr>
      <w:r w:rsidRPr="000E598A">
        <w:t xml:space="preserve">2mm lower than the road surface </w:t>
      </w:r>
      <w:r w:rsidR="00CC1587" w:rsidRPr="000E598A">
        <w:t xml:space="preserve">where </w:t>
      </w:r>
      <w:r w:rsidRPr="000E598A">
        <w:t xml:space="preserve">Type 1 sealant </w:t>
      </w:r>
      <w:r w:rsidR="00CC1587" w:rsidRPr="000E598A">
        <w:t>j</w:t>
      </w:r>
      <w:r w:rsidRPr="000E598A">
        <w:t>oint</w:t>
      </w:r>
      <w:r w:rsidR="00CC1587" w:rsidRPr="000E598A">
        <w:t xml:space="preserve"> is used</w:t>
      </w:r>
      <w:r w:rsidRPr="000E598A">
        <w:t xml:space="preserve">, and </w:t>
      </w:r>
    </w:p>
    <w:p w14:paraId="59D355FF" w14:textId="09973DB0" w:rsidR="00D73616" w:rsidRPr="000E598A" w:rsidRDefault="006458BA" w:rsidP="00F91E4F">
      <w:pPr>
        <w:pStyle w:val="Bodynumbered2"/>
        <w:numPr>
          <w:ilvl w:val="0"/>
          <w:numId w:val="28"/>
        </w:numPr>
        <w:ind w:left="1134" w:hanging="425"/>
      </w:pPr>
      <w:r w:rsidRPr="000E598A">
        <w:t xml:space="preserve">between </w:t>
      </w:r>
      <w:r w:rsidR="002410C6" w:rsidRPr="000E598A">
        <w:t xml:space="preserve">5mm to 10mm </w:t>
      </w:r>
      <w:r w:rsidRPr="000E598A">
        <w:t>lower than the road surface</w:t>
      </w:r>
      <w:r w:rsidR="002410C6" w:rsidRPr="000E598A">
        <w:t xml:space="preserve"> </w:t>
      </w:r>
      <w:r w:rsidR="00CC1587" w:rsidRPr="000E598A">
        <w:t xml:space="preserve">where </w:t>
      </w:r>
      <w:r w:rsidR="002410C6" w:rsidRPr="000E598A">
        <w:t>Type 2 and Type 3 sealant joint</w:t>
      </w:r>
      <w:r w:rsidR="00CC1587" w:rsidRPr="000E598A">
        <w:t xml:space="preserve"> is used</w:t>
      </w:r>
      <w:r w:rsidR="002410C6" w:rsidRPr="000E598A">
        <w:t>.</w:t>
      </w:r>
    </w:p>
    <w:p w14:paraId="7034E15A" w14:textId="7F5B8387" w:rsidR="00D428C5" w:rsidRPr="000E598A" w:rsidRDefault="00D428C5" w:rsidP="000A29DC">
      <w:pPr>
        <w:pStyle w:val="Heading2"/>
        <w:ind w:hanging="425"/>
      </w:pPr>
      <w:bookmarkStart w:id="65" w:name="_Toc116396997"/>
      <w:r w:rsidRPr="000E598A">
        <w:t>Joint Gap</w:t>
      </w:r>
      <w:bookmarkEnd w:id="65"/>
    </w:p>
    <w:p w14:paraId="37B627B1" w14:textId="09872E03" w:rsidR="00D428C5" w:rsidRPr="000E598A" w:rsidRDefault="00D428C5" w:rsidP="00853962">
      <w:pPr>
        <w:pStyle w:val="Bodynumbered1"/>
        <w:ind w:left="709" w:hanging="567"/>
      </w:pPr>
      <w:r w:rsidRPr="000E598A">
        <w:t xml:space="preserve">In new bridge works, the joint gap at the time of sealant installation (at the nominated temperature on the Drawings) must be 15 mm in concrete bridge decks underneath asphalt and 25 mm in concrete bridge decks without asphalt overlay, unless otherwise specified on the </w:t>
      </w:r>
      <w:r w:rsidR="00983CE6" w:rsidRPr="000E598A">
        <w:t>D</w:t>
      </w:r>
      <w:r w:rsidRPr="000E598A">
        <w:t>rawings</w:t>
      </w:r>
      <w:r w:rsidR="00B66CB2" w:rsidRPr="000E598A">
        <w:t xml:space="preserve"> and approved by the Principal</w:t>
      </w:r>
      <w:r w:rsidRPr="000E598A">
        <w:t>.</w:t>
      </w:r>
    </w:p>
    <w:p w14:paraId="6648AFAB" w14:textId="461053C8" w:rsidR="008A7BDE" w:rsidRPr="000E598A" w:rsidRDefault="008A7BDE" w:rsidP="00853962">
      <w:pPr>
        <w:pStyle w:val="Bodynumbered1"/>
        <w:ind w:left="709" w:hanging="567"/>
      </w:pPr>
      <w:r w:rsidRPr="000E598A">
        <w:t xml:space="preserve">The actual gap and temperature must be measured at the time of </w:t>
      </w:r>
      <w:r w:rsidR="00396FE3" w:rsidRPr="000E598A">
        <w:t xml:space="preserve">sealant installation </w:t>
      </w:r>
      <w:r w:rsidRPr="000E598A">
        <w:t xml:space="preserve">and the actual joint gap width at the assumed temperature shown on the Drawings </w:t>
      </w:r>
      <w:r w:rsidR="003C01EC" w:rsidRPr="000E598A">
        <w:t>must be deduced</w:t>
      </w:r>
      <w:r w:rsidRPr="000E598A">
        <w:t>.</w:t>
      </w:r>
    </w:p>
    <w:p w14:paraId="0D881E92" w14:textId="5806D3F5" w:rsidR="008A7BDE" w:rsidRPr="000E598A" w:rsidRDefault="008A7BDE" w:rsidP="00853962">
      <w:pPr>
        <w:pStyle w:val="Bodynumbered1"/>
        <w:ind w:left="709" w:hanging="567"/>
      </w:pPr>
      <w:r w:rsidRPr="000E598A">
        <w:t>Where the joint gap width at the time of sealant installation does not accord with that assumed in the design, the Contractor must submit either of the following to the Principal:</w:t>
      </w:r>
    </w:p>
    <w:p w14:paraId="3A098CA6" w14:textId="77777777" w:rsidR="008A7BDE" w:rsidRPr="000E598A" w:rsidRDefault="008A7BDE" w:rsidP="00F91E4F">
      <w:pPr>
        <w:pStyle w:val="Bodynumbered2"/>
        <w:numPr>
          <w:ilvl w:val="0"/>
          <w:numId w:val="27"/>
        </w:numPr>
        <w:ind w:left="1134" w:hanging="425"/>
      </w:pPr>
      <w:r w:rsidRPr="000E598A">
        <w:t>evidence that the sealant is suitable for the actual gap width; or</w:t>
      </w:r>
    </w:p>
    <w:p w14:paraId="1B658C55" w14:textId="77777777" w:rsidR="008A7BDE" w:rsidRPr="000E598A" w:rsidRDefault="008A7BDE" w:rsidP="00F91E4F">
      <w:pPr>
        <w:pStyle w:val="Bodynumbered2"/>
        <w:numPr>
          <w:ilvl w:val="0"/>
          <w:numId w:val="27"/>
        </w:numPr>
        <w:ind w:left="1134" w:hanging="425"/>
      </w:pPr>
      <w:r w:rsidRPr="000E598A">
        <w:t>a proposal to use an alternative sealant which is suitable for the actual gap width.</w:t>
      </w:r>
    </w:p>
    <w:p w14:paraId="33752A2D" w14:textId="37A1AF01" w:rsidR="00D428C5" w:rsidRPr="000E598A" w:rsidRDefault="00D428C5" w:rsidP="000A29DC">
      <w:pPr>
        <w:pStyle w:val="Heading2"/>
        <w:ind w:hanging="425"/>
      </w:pPr>
      <w:bookmarkStart w:id="66" w:name="_Toc116396998"/>
      <w:r w:rsidRPr="000E598A">
        <w:lastRenderedPageBreak/>
        <w:t>Substrate Strength</w:t>
      </w:r>
      <w:bookmarkEnd w:id="66"/>
    </w:p>
    <w:p w14:paraId="2A381275" w14:textId="1A645954" w:rsidR="00D428C5" w:rsidRPr="000E598A" w:rsidRDefault="008A7BDE" w:rsidP="00853962">
      <w:pPr>
        <w:pStyle w:val="Bodynumbered1"/>
        <w:ind w:left="709" w:hanging="567"/>
      </w:pPr>
      <w:r w:rsidRPr="000E598A">
        <w:t>T</w:t>
      </w:r>
      <w:r w:rsidR="00D428C5" w:rsidRPr="000E598A">
        <w:t>he compressive strength of the concrete forming the joint gap at the time of sealant installation must be more than 30 MPa for sealant Types 2 and 3, to avoid concrete breaking out as the sealant cures.</w:t>
      </w:r>
      <w:r w:rsidR="00EB2148" w:rsidRPr="000E598A">
        <w:t xml:space="preserve"> </w:t>
      </w:r>
      <w:r w:rsidR="00D428C5" w:rsidRPr="000E598A">
        <w:t xml:space="preserve">The </w:t>
      </w:r>
      <w:proofErr w:type="gramStart"/>
      <w:r w:rsidR="00D428C5" w:rsidRPr="000E598A">
        <w:t>Principal</w:t>
      </w:r>
      <w:proofErr w:type="gramEnd"/>
      <w:r w:rsidR="00D428C5" w:rsidRPr="000E598A">
        <w:t xml:space="preserve"> may approve installation of these sealants at concrete compressive strengths ranging from 20 to 30 MPa if the sealant modulus is low and has been proven not to damage the concrete in similar situations.</w:t>
      </w:r>
    </w:p>
    <w:p w14:paraId="6F19F37E" w14:textId="0AD8B0C6" w:rsidR="00D428C5" w:rsidRPr="000E598A" w:rsidRDefault="00D428C5" w:rsidP="000A29DC">
      <w:pPr>
        <w:pStyle w:val="Heading2"/>
        <w:ind w:hanging="425"/>
      </w:pPr>
      <w:bookmarkStart w:id="67" w:name="_Toc116396999"/>
      <w:r w:rsidRPr="000E598A">
        <w:t>Preparatory Work</w:t>
      </w:r>
      <w:bookmarkEnd w:id="67"/>
    </w:p>
    <w:p w14:paraId="519F2E72" w14:textId="77777777" w:rsidR="00D428C5" w:rsidRPr="000E598A" w:rsidRDefault="00D428C5" w:rsidP="00853962">
      <w:pPr>
        <w:pStyle w:val="Bodynumbered1"/>
        <w:ind w:left="709" w:hanging="567"/>
      </w:pPr>
      <w:r w:rsidRPr="000E598A">
        <w:t>Prior to sealant installation:</w:t>
      </w:r>
    </w:p>
    <w:p w14:paraId="62C5A70D" w14:textId="37C113E4" w:rsidR="00D428C5" w:rsidRPr="000E598A" w:rsidRDefault="00D428C5" w:rsidP="00F91E4F">
      <w:pPr>
        <w:pStyle w:val="Bodynumbered2"/>
        <w:numPr>
          <w:ilvl w:val="0"/>
          <w:numId w:val="25"/>
        </w:numPr>
        <w:ind w:left="1134" w:hanging="425"/>
      </w:pPr>
      <w:r w:rsidRPr="000E598A">
        <w:t>any joint fillers</w:t>
      </w:r>
      <w:r w:rsidR="00B50F3F" w:rsidRPr="000E598A">
        <w:t>, coatings</w:t>
      </w:r>
      <w:r w:rsidR="000D33FC" w:rsidRPr="000E598A">
        <w:t>, dirt</w:t>
      </w:r>
      <w:r w:rsidR="00D703C9" w:rsidRPr="000E598A">
        <w:t xml:space="preserve">, grit, loose </w:t>
      </w:r>
      <w:proofErr w:type="gramStart"/>
      <w:r w:rsidR="00D703C9" w:rsidRPr="000E598A">
        <w:t>particles</w:t>
      </w:r>
      <w:proofErr w:type="gramEnd"/>
      <w:r w:rsidRPr="000E598A">
        <w:t xml:space="preserve"> or </w:t>
      </w:r>
      <w:r w:rsidR="00D703C9" w:rsidRPr="000E598A">
        <w:t>materials</w:t>
      </w:r>
      <w:r w:rsidRPr="000E598A">
        <w:t xml:space="preserve"> incompatible with the sealant </w:t>
      </w:r>
      <w:r w:rsidR="000F2880" w:rsidRPr="000E598A">
        <w:t xml:space="preserve">must be </w:t>
      </w:r>
      <w:r w:rsidR="00AE3A42" w:rsidRPr="000E598A">
        <w:t>removed.</w:t>
      </w:r>
      <w:r w:rsidR="00645FE1" w:rsidRPr="000E598A">
        <w:t xml:space="preserve"> </w:t>
      </w:r>
    </w:p>
    <w:p w14:paraId="3CDEC2BD" w14:textId="210FEF30" w:rsidR="00D428C5" w:rsidRPr="000E598A" w:rsidRDefault="00D428C5" w:rsidP="00F91E4F">
      <w:pPr>
        <w:pStyle w:val="Bodynumbered2"/>
        <w:numPr>
          <w:ilvl w:val="0"/>
          <w:numId w:val="25"/>
        </w:numPr>
        <w:ind w:left="1134" w:hanging="425"/>
      </w:pPr>
      <w:r w:rsidRPr="000E598A">
        <w:t xml:space="preserve">the joint gap </w:t>
      </w:r>
      <w:r w:rsidR="000F2880" w:rsidRPr="000E598A">
        <w:t xml:space="preserve">must be </w:t>
      </w:r>
      <w:r w:rsidR="00DC2255" w:rsidRPr="000E598A">
        <w:t xml:space="preserve">thoroughly </w:t>
      </w:r>
      <w:r w:rsidR="00FA7F5E" w:rsidRPr="000E598A">
        <w:t>clean</w:t>
      </w:r>
      <w:r w:rsidR="00DC2255" w:rsidRPr="000E598A">
        <w:t xml:space="preserve">ed and </w:t>
      </w:r>
      <w:r w:rsidR="00C35B95" w:rsidRPr="000E598A">
        <w:t>dried</w:t>
      </w:r>
      <w:r w:rsidR="001650A0" w:rsidRPr="000E598A">
        <w:t>; and</w:t>
      </w:r>
    </w:p>
    <w:p w14:paraId="71DDBF28" w14:textId="0CB912F3" w:rsidR="001650A0" w:rsidRPr="000E598A" w:rsidRDefault="00EC7700" w:rsidP="00F91E4F">
      <w:pPr>
        <w:pStyle w:val="Bodynumbered2"/>
        <w:numPr>
          <w:ilvl w:val="0"/>
          <w:numId w:val="25"/>
        </w:numPr>
        <w:ind w:left="1134" w:hanging="425"/>
      </w:pPr>
      <w:r w:rsidRPr="000E598A">
        <w:t xml:space="preserve">where specified, </w:t>
      </w:r>
      <w:r w:rsidR="007D4AD9" w:rsidRPr="000E598A">
        <w:t>the specified</w:t>
      </w:r>
      <w:r w:rsidRPr="000E598A">
        <w:t xml:space="preserve"> </w:t>
      </w:r>
      <w:r w:rsidR="007D1692" w:rsidRPr="000E598A">
        <w:t>primer</w:t>
      </w:r>
      <w:r w:rsidRPr="000E598A">
        <w:t xml:space="preserve"> must be applied in conformity to the manufacturer's instructions to improve bo</w:t>
      </w:r>
      <w:r w:rsidR="00B611B5" w:rsidRPr="000E598A">
        <w:t>n</w:t>
      </w:r>
      <w:r w:rsidRPr="000E598A">
        <w:t>ding to the substrate</w:t>
      </w:r>
      <w:r w:rsidR="007D1692" w:rsidRPr="000E598A">
        <w:t>.</w:t>
      </w:r>
    </w:p>
    <w:p w14:paraId="1075F3F0" w14:textId="510A9B8F" w:rsidR="00D428C5" w:rsidRPr="000E598A" w:rsidRDefault="00D428C5" w:rsidP="000A29DC">
      <w:pPr>
        <w:pStyle w:val="Heading2"/>
        <w:ind w:hanging="425"/>
      </w:pPr>
      <w:bookmarkStart w:id="68" w:name="_Toc116397000"/>
      <w:r w:rsidRPr="000E598A">
        <w:t>Method of Application</w:t>
      </w:r>
      <w:bookmarkEnd w:id="68"/>
    </w:p>
    <w:p w14:paraId="680095E1" w14:textId="77777777" w:rsidR="00741BDE" w:rsidRPr="000E598A" w:rsidRDefault="00741BDE" w:rsidP="00853962">
      <w:pPr>
        <w:pStyle w:val="Bodynumbered1"/>
        <w:ind w:left="709" w:hanging="567"/>
      </w:pPr>
      <w:r w:rsidRPr="000E598A">
        <w:t xml:space="preserve">Multi-component sealants must be mixed or extruded using suitable power driven or mechanical mixers in conformity to the manufacturer’s instructions, unless otherwise approved by the </w:t>
      </w:r>
      <w:proofErr w:type="gramStart"/>
      <w:r w:rsidRPr="000E598A">
        <w:t>Principal</w:t>
      </w:r>
      <w:proofErr w:type="gramEnd"/>
      <w:r w:rsidRPr="000E598A">
        <w:t>. The sealant components must not be mixed manually.</w:t>
      </w:r>
    </w:p>
    <w:p w14:paraId="7982C455" w14:textId="77777777" w:rsidR="00741BDE" w:rsidRPr="000E598A" w:rsidRDefault="00741BDE" w:rsidP="00853962">
      <w:pPr>
        <w:pStyle w:val="Bodynumbered1"/>
        <w:ind w:left="709" w:hanging="567"/>
      </w:pPr>
      <w:r w:rsidRPr="000E598A">
        <w:t>The sealant must be uniformly mixed in accordance with the manufacturer’s instructions to obtain a consistency suitable for installation.</w:t>
      </w:r>
    </w:p>
    <w:p w14:paraId="28B2EACA" w14:textId="77777777" w:rsidR="00741BDE" w:rsidRPr="000E598A" w:rsidRDefault="00741BDE" w:rsidP="00853962">
      <w:pPr>
        <w:pStyle w:val="Bodynumbered1"/>
        <w:ind w:left="709" w:hanging="567"/>
      </w:pPr>
      <w:r w:rsidRPr="000E598A">
        <w:t>All sealants must be applied using applicators or guns suitable for the purpose.</w:t>
      </w:r>
    </w:p>
    <w:p w14:paraId="38F1CDC2" w14:textId="05267336" w:rsidR="00BE7AAB" w:rsidRPr="000E598A" w:rsidRDefault="00486BC5" w:rsidP="00853962">
      <w:pPr>
        <w:pStyle w:val="Bodynumbered1"/>
        <w:ind w:left="709" w:hanging="567"/>
      </w:pPr>
      <w:r w:rsidRPr="000E598A">
        <w:t>S</w:t>
      </w:r>
      <w:r w:rsidR="00D428C5" w:rsidRPr="000E598A">
        <w:t xml:space="preserve">ealants in concrete joints overlaid by asphalt or bituminous surfacing </w:t>
      </w:r>
      <w:r w:rsidRPr="000E598A">
        <w:t>must be isolated from the overlay</w:t>
      </w:r>
      <w:r w:rsidR="000715A0" w:rsidRPr="000E598A">
        <w:t xml:space="preserve"> </w:t>
      </w:r>
      <w:r w:rsidR="00D428C5" w:rsidRPr="000E598A">
        <w:t xml:space="preserve">using </w:t>
      </w:r>
      <w:r w:rsidR="00EB2246" w:rsidRPr="000E598A">
        <w:t xml:space="preserve">a </w:t>
      </w:r>
      <w:r w:rsidR="00D428C5" w:rsidRPr="000E598A">
        <w:t>suitable HDPE bond</w:t>
      </w:r>
      <w:r w:rsidR="009E732E">
        <w:t xml:space="preserve"> </w:t>
      </w:r>
      <w:r w:rsidR="00D428C5" w:rsidRPr="000E598A">
        <w:t>breaker tape overlaid with a preformed membrane to form an asphalt bridging layer</w:t>
      </w:r>
      <w:r w:rsidR="00EB2246" w:rsidRPr="000E598A">
        <w:t xml:space="preserve">. The </w:t>
      </w:r>
      <w:r w:rsidR="008329B6" w:rsidRPr="000E598A">
        <w:t xml:space="preserve">preformed membrane </w:t>
      </w:r>
      <w:r w:rsidR="00BE7AAB" w:rsidRPr="000E598A">
        <w:t>must:</w:t>
      </w:r>
    </w:p>
    <w:p w14:paraId="2C9C26ED" w14:textId="5CEB390D" w:rsidR="00BE7AAB" w:rsidRPr="000E598A" w:rsidRDefault="007B518B" w:rsidP="00522B80">
      <w:pPr>
        <w:pStyle w:val="Bodynumbered2"/>
        <w:numPr>
          <w:ilvl w:val="0"/>
          <w:numId w:val="26"/>
        </w:numPr>
        <w:ind w:left="993" w:hanging="284"/>
      </w:pPr>
      <w:r w:rsidRPr="000E598A">
        <w:t>comprise of moisture and water-resistant rubberised asphalt with puncture and heat-resistant polypropylene reinforcing mesh</w:t>
      </w:r>
      <w:r w:rsidR="00E4095D" w:rsidRPr="000E598A">
        <w:t>,</w:t>
      </w:r>
      <w:r w:rsidR="00301BFA" w:rsidRPr="000E598A">
        <w:t xml:space="preserve"> such as Bituthene 5000 or Emer-Proof </w:t>
      </w:r>
      <w:r w:rsidR="00EC1AB7" w:rsidRPr="000E598A">
        <w:t>HD.</w:t>
      </w:r>
      <w:r w:rsidRPr="000E598A">
        <w:t xml:space="preserve"> </w:t>
      </w:r>
    </w:p>
    <w:p w14:paraId="22A1F37E" w14:textId="0F80D4C3" w:rsidR="00E4095D" w:rsidRPr="000E598A" w:rsidRDefault="00794BEE" w:rsidP="00522B80">
      <w:pPr>
        <w:pStyle w:val="Bodynumbered2"/>
        <w:numPr>
          <w:ilvl w:val="0"/>
          <w:numId w:val="26"/>
        </w:numPr>
        <w:ind w:left="993" w:hanging="284"/>
      </w:pPr>
      <w:r w:rsidRPr="000E598A">
        <w:t xml:space="preserve">have a </w:t>
      </w:r>
      <w:r w:rsidR="00160EC0" w:rsidRPr="000E598A">
        <w:t>minimum thickness of 1</w:t>
      </w:r>
      <w:r w:rsidR="00D241F6" w:rsidRPr="000E598A">
        <w:t xml:space="preserve">.5 mm and </w:t>
      </w:r>
      <w:r w:rsidR="00F75EEC" w:rsidRPr="000E598A">
        <w:t xml:space="preserve">a minimum mesh tensile strength of </w:t>
      </w:r>
      <w:r w:rsidR="006C7AFD" w:rsidRPr="000E598A">
        <w:t>10 N/mm</w:t>
      </w:r>
      <w:r w:rsidR="006C7AFD" w:rsidRPr="000E598A">
        <w:rPr>
          <w:vertAlign w:val="superscript"/>
        </w:rPr>
        <w:t>2</w:t>
      </w:r>
      <w:r w:rsidR="006C7AFD" w:rsidRPr="000E598A">
        <w:t xml:space="preserve"> when tested in accordance with ASTM </w:t>
      </w:r>
      <w:r w:rsidR="00904E3B" w:rsidRPr="000E598A">
        <w:t>D882:</w:t>
      </w:r>
      <w:r w:rsidR="00E4095D" w:rsidRPr="000E598A">
        <w:t xml:space="preserve"> and</w:t>
      </w:r>
    </w:p>
    <w:p w14:paraId="1D8731BE" w14:textId="3C482D28" w:rsidR="00D428C5" w:rsidRPr="000E598A" w:rsidRDefault="008B4A15" w:rsidP="00522B80">
      <w:pPr>
        <w:pStyle w:val="Bodynumbered2"/>
        <w:numPr>
          <w:ilvl w:val="0"/>
          <w:numId w:val="26"/>
        </w:numPr>
        <w:ind w:left="993" w:hanging="284"/>
      </w:pPr>
      <w:r w:rsidRPr="000E598A">
        <w:t xml:space="preserve"> </w:t>
      </w:r>
      <w:r w:rsidR="00E4095D" w:rsidRPr="000E598A">
        <w:t xml:space="preserve">be adequately bonded to the substrate at each side of the joint gap </w:t>
      </w:r>
    </w:p>
    <w:p w14:paraId="24EC3E48" w14:textId="29EDE8C6" w:rsidR="00D428C5" w:rsidRPr="000E598A" w:rsidRDefault="00D428C5" w:rsidP="00853962">
      <w:pPr>
        <w:pStyle w:val="Bodynumbered1"/>
        <w:ind w:left="709" w:hanging="567"/>
      </w:pPr>
      <w:r w:rsidRPr="000E598A">
        <w:t>Where heating and pressing the membrane is recommended by the manufacturer to obtain the bonding, the reinforcement embedded in the membrane</w:t>
      </w:r>
      <w:r w:rsidR="00EF0215" w:rsidRPr="000E598A">
        <w:t xml:space="preserve"> </w:t>
      </w:r>
      <w:r w:rsidR="0079764D" w:rsidRPr="000E598A">
        <w:t>must not be damaged</w:t>
      </w:r>
      <w:r w:rsidR="00AB691F" w:rsidRPr="000E598A">
        <w:t xml:space="preserve"> </w:t>
      </w:r>
      <w:r w:rsidR="00EF0215" w:rsidRPr="000E598A">
        <w:t xml:space="preserve">by the </w:t>
      </w:r>
      <w:r w:rsidR="0079764D" w:rsidRPr="000E598A">
        <w:t>procedure.</w:t>
      </w:r>
    </w:p>
    <w:p w14:paraId="161E2906" w14:textId="61AF24E8" w:rsidR="00D428C5" w:rsidRPr="000E598A" w:rsidRDefault="00334619" w:rsidP="00853962">
      <w:pPr>
        <w:pStyle w:val="Bodynumbered1"/>
        <w:ind w:left="709" w:hanging="567"/>
      </w:pPr>
      <w:r w:rsidRPr="000E598A">
        <w:t>S</w:t>
      </w:r>
      <w:r w:rsidR="00D428C5" w:rsidRPr="000E598A">
        <w:t xml:space="preserve">ealants in asphalt joints </w:t>
      </w:r>
      <w:r w:rsidR="009762D9" w:rsidRPr="000E598A">
        <w:t xml:space="preserve">must not be applied </w:t>
      </w:r>
      <w:r w:rsidRPr="000E598A">
        <w:t xml:space="preserve">before </w:t>
      </w:r>
      <w:r w:rsidR="00D428C5" w:rsidRPr="000E598A">
        <w:t xml:space="preserve">the asphalt has cooled to less than 40°C. </w:t>
      </w:r>
      <w:r w:rsidR="00BD4B0D" w:rsidRPr="000E598A">
        <w:t>T</w:t>
      </w:r>
      <w:r w:rsidR="00D428C5" w:rsidRPr="000E598A">
        <w:t xml:space="preserve">he </w:t>
      </w:r>
      <w:r w:rsidR="00D44E27" w:rsidRPr="000E598A">
        <w:t>cell</w:t>
      </w:r>
      <w:r w:rsidR="00771896" w:rsidRPr="000E598A">
        <w:t xml:space="preserve">ular polystyrene sheet and a </w:t>
      </w:r>
      <w:r w:rsidR="00D428C5" w:rsidRPr="000E598A">
        <w:t xml:space="preserve">backing rod </w:t>
      </w:r>
      <w:r w:rsidR="00BD4B0D" w:rsidRPr="000E598A">
        <w:t xml:space="preserve">must be placed </w:t>
      </w:r>
      <w:r w:rsidR="00D428C5" w:rsidRPr="000E598A">
        <w:t>at the bottom of the asphalt joint gap before applying the sealant to prevent the sealant adhering to the bottom of the gap.</w:t>
      </w:r>
    </w:p>
    <w:p w14:paraId="230F4116" w14:textId="4F0A09F4" w:rsidR="00D428C5" w:rsidRPr="000E598A" w:rsidRDefault="00D428C5" w:rsidP="000A29DC">
      <w:pPr>
        <w:pStyle w:val="Heading2"/>
        <w:ind w:hanging="425"/>
      </w:pPr>
      <w:bookmarkStart w:id="69" w:name="_Toc116397001"/>
      <w:r w:rsidRPr="000E598A">
        <w:t>Curing</w:t>
      </w:r>
      <w:bookmarkEnd w:id="69"/>
    </w:p>
    <w:p w14:paraId="1B40B44C" w14:textId="7DDFCB07" w:rsidR="00D428C5" w:rsidRPr="000E598A" w:rsidRDefault="00D428C5" w:rsidP="00853962">
      <w:pPr>
        <w:pStyle w:val="Bodynumbered1"/>
        <w:ind w:left="709" w:hanging="567"/>
      </w:pPr>
      <w:r w:rsidRPr="000E598A">
        <w:t>Single component sealants used in concrete joints underneath asphalt must be fully cured prior to placing the asphalt overlay.</w:t>
      </w:r>
      <w:r w:rsidR="00F81F29" w:rsidRPr="000E598A">
        <w:t xml:space="preserve"> Where a non-sag sealant is used, </w:t>
      </w:r>
      <w:r w:rsidR="00597D91" w:rsidRPr="000E598A">
        <w:t xml:space="preserve">it must be finished </w:t>
      </w:r>
      <w:r w:rsidR="00F81F29" w:rsidRPr="000E598A">
        <w:t>with a depressor or other suitable tool.</w:t>
      </w:r>
    </w:p>
    <w:p w14:paraId="00138854" w14:textId="573DC0DE" w:rsidR="00D428C5" w:rsidRPr="000E598A" w:rsidRDefault="00D428C5" w:rsidP="00853962">
      <w:pPr>
        <w:pStyle w:val="Bodynumbered1"/>
        <w:ind w:left="709" w:hanging="567"/>
      </w:pPr>
      <w:r w:rsidRPr="000E598A">
        <w:t xml:space="preserve">For joint rehabilitation projects, for operational reasons, the </w:t>
      </w:r>
      <w:proofErr w:type="gramStart"/>
      <w:r w:rsidRPr="000E598A">
        <w:t>Principal</w:t>
      </w:r>
      <w:proofErr w:type="gramEnd"/>
      <w:r w:rsidRPr="000E598A">
        <w:t xml:space="preserve"> may approve the placement of the asphalt bridging layer and asphalt overlay just after the sealant has become tack free, or at a later time, if it is proven to be satisfactory in similar situations.</w:t>
      </w:r>
    </w:p>
    <w:p w14:paraId="4924CEB4" w14:textId="77777777" w:rsidR="009C1A2D" w:rsidRPr="000E598A" w:rsidRDefault="009C1A2D" w:rsidP="000A29DC">
      <w:pPr>
        <w:pStyle w:val="Heading2"/>
        <w:ind w:hanging="425"/>
      </w:pPr>
      <w:bookmarkStart w:id="70" w:name="_Ref41379458"/>
      <w:bookmarkStart w:id="71" w:name="_Toc116397002"/>
      <w:r w:rsidRPr="000A29DC">
        <w:lastRenderedPageBreak/>
        <w:t>Warranty</w:t>
      </w:r>
      <w:bookmarkEnd w:id="70"/>
      <w:bookmarkEnd w:id="71"/>
    </w:p>
    <w:p w14:paraId="7A9834C2" w14:textId="5416BBA5" w:rsidR="0080753E" w:rsidRPr="000E598A" w:rsidRDefault="0080753E" w:rsidP="00853962">
      <w:pPr>
        <w:pStyle w:val="Bodynumbered1"/>
        <w:ind w:left="709" w:hanging="567"/>
      </w:pPr>
      <w:bookmarkStart w:id="72" w:name="_Ref80942358"/>
      <w:bookmarkStart w:id="73" w:name="_Ref40863568"/>
      <w:r w:rsidRPr="000E598A">
        <w:t xml:space="preserve">The </w:t>
      </w:r>
      <w:r w:rsidR="00905439" w:rsidRPr="000E598A">
        <w:t>s</w:t>
      </w:r>
      <w:r w:rsidR="003640E5" w:rsidRPr="000E598A">
        <w:t>ealant</w:t>
      </w:r>
      <w:r w:rsidRPr="000E598A">
        <w:t xml:space="preserve"> joint must be supplied with a manufacturer’s warranty in the name of the </w:t>
      </w:r>
      <w:proofErr w:type="gramStart"/>
      <w:r w:rsidRPr="000E598A">
        <w:t>Principal</w:t>
      </w:r>
      <w:proofErr w:type="gramEnd"/>
      <w:r w:rsidRPr="000E598A">
        <w:t>. The warranty must:</w:t>
      </w:r>
      <w:bookmarkEnd w:id="72"/>
    </w:p>
    <w:p w14:paraId="3C2CFBD9" w14:textId="5A409070" w:rsidR="0080753E" w:rsidRPr="000E598A" w:rsidRDefault="0080753E" w:rsidP="0057681F">
      <w:pPr>
        <w:pStyle w:val="Bodynumbered2"/>
        <w:numPr>
          <w:ilvl w:val="0"/>
          <w:numId w:val="49"/>
        </w:numPr>
        <w:ind w:left="1134" w:hanging="425"/>
      </w:pPr>
      <w:r w:rsidRPr="000E598A">
        <w:t xml:space="preserve">cover defective workmanship, </w:t>
      </w:r>
      <w:proofErr w:type="gramStart"/>
      <w:r w:rsidRPr="000E598A">
        <w:t>material</w:t>
      </w:r>
      <w:proofErr w:type="gramEnd"/>
      <w:r w:rsidRPr="000E598A">
        <w:t xml:space="preserve"> and serviceability (which includes watertightness of the joint</w:t>
      </w:r>
      <w:r w:rsidR="00E1033D" w:rsidRPr="000E598A">
        <w:t>).</w:t>
      </w:r>
    </w:p>
    <w:p w14:paraId="24C699F6" w14:textId="3121F1FF" w:rsidR="0080753E" w:rsidRPr="000E598A" w:rsidRDefault="0080753E" w:rsidP="0057681F">
      <w:pPr>
        <w:pStyle w:val="Bodynumbered2"/>
        <w:numPr>
          <w:ilvl w:val="0"/>
          <w:numId w:val="49"/>
        </w:numPr>
        <w:ind w:left="1134" w:hanging="425"/>
      </w:pPr>
      <w:r w:rsidRPr="000E598A">
        <w:t xml:space="preserve">fully cover the replacement / rectification of defective </w:t>
      </w:r>
      <w:r w:rsidR="00A532B2" w:rsidRPr="000E598A">
        <w:t>sealant</w:t>
      </w:r>
      <w:r w:rsidRPr="000E598A">
        <w:t>; and</w:t>
      </w:r>
    </w:p>
    <w:p w14:paraId="720D3BF2" w14:textId="77777777" w:rsidR="0080753E" w:rsidRPr="000E598A" w:rsidRDefault="0080753E" w:rsidP="0057681F">
      <w:pPr>
        <w:pStyle w:val="Bodynumbered2"/>
        <w:numPr>
          <w:ilvl w:val="0"/>
          <w:numId w:val="49"/>
        </w:numPr>
        <w:ind w:left="1134" w:hanging="425"/>
      </w:pPr>
      <w:r w:rsidRPr="000E598A">
        <w:t xml:space="preserve">apply for a minimum period of 5 years (in Australia) or 10 years (in New Zealand) from the date of installation. </w:t>
      </w:r>
    </w:p>
    <w:p w14:paraId="7FBC97F5" w14:textId="4B007A28" w:rsidR="00A07FEF" w:rsidRPr="000E598A" w:rsidRDefault="00A07FEF" w:rsidP="007E2FD3">
      <w:pPr>
        <w:pStyle w:val="AnnexureHeading"/>
        <w:ind w:left="1843" w:hanging="1843"/>
      </w:pPr>
      <w:bookmarkStart w:id="74" w:name="_Toc26182495"/>
      <w:bookmarkStart w:id="75" w:name="_Toc116397003"/>
      <w:bookmarkEnd w:id="28"/>
      <w:bookmarkEnd w:id="29"/>
      <w:bookmarkEnd w:id="30"/>
      <w:bookmarkEnd w:id="58"/>
      <w:bookmarkEnd w:id="59"/>
      <w:bookmarkEnd w:id="61"/>
      <w:bookmarkEnd w:id="73"/>
      <w:r w:rsidRPr="000E598A">
        <w:lastRenderedPageBreak/>
        <w:t>Annexure A:</w:t>
      </w:r>
      <w:r w:rsidRPr="000E598A">
        <w:tab/>
        <w:t>Summary of Hold Points, Witness Points and Records</w:t>
      </w:r>
      <w:bookmarkEnd w:id="74"/>
      <w:bookmarkEnd w:id="75"/>
    </w:p>
    <w:p w14:paraId="6C5B1B76" w14:textId="4B7DE732" w:rsidR="00B40300" w:rsidRPr="000E598A" w:rsidRDefault="00714554" w:rsidP="00522B80">
      <w:pPr>
        <w:pStyle w:val="BodyText"/>
      </w:pPr>
      <w:r w:rsidRPr="000E598A">
        <w:t>The following is a summary of the Witness Points / Hold Points that apply to this Specification and the Records that the Contractor must submit to the Principal to demonstrate compliance with this Specification.</w:t>
      </w:r>
    </w:p>
    <w:p w14:paraId="381B452D" w14:textId="77777777" w:rsidR="00714554" w:rsidRPr="000E598A" w:rsidRDefault="00714554" w:rsidP="00714554"/>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630"/>
        <w:gridCol w:w="2675"/>
        <w:gridCol w:w="2527"/>
        <w:gridCol w:w="2668"/>
      </w:tblGrid>
      <w:tr w:rsidR="00A07FEF" w:rsidRPr="000E598A" w14:paraId="7D299462" w14:textId="77777777" w:rsidTr="00522B80">
        <w:trPr>
          <w:cnfStyle w:val="100000000000" w:firstRow="1" w:lastRow="0" w:firstColumn="0" w:lastColumn="0" w:oddVBand="0" w:evenVBand="0" w:oddHBand="0" w:evenHBand="0" w:firstRowFirstColumn="0" w:firstRowLastColumn="0" w:lastRowFirstColumn="0" w:lastRowLastColumn="0"/>
        </w:trPr>
        <w:tc>
          <w:tcPr>
            <w:tcW w:w="858" w:type="pct"/>
            <w:tcBorders>
              <w:top w:val="single" w:sz="4" w:space="0" w:color="FFFFFF" w:themeColor="background1"/>
            </w:tcBorders>
            <w:shd w:val="clear" w:color="auto" w:fill="004259"/>
          </w:tcPr>
          <w:p w14:paraId="5E88DB46" w14:textId="17147B11" w:rsidR="00A07FEF" w:rsidRPr="000E598A" w:rsidRDefault="002073A4" w:rsidP="00A07FEF">
            <w:pPr>
              <w:pStyle w:val="TableHeading"/>
              <w:rPr>
                <w:rFonts w:eastAsia="SimSun"/>
                <w:b/>
                <w:bCs/>
              </w:rPr>
            </w:pPr>
            <w:r w:rsidRPr="000E598A">
              <w:rPr>
                <w:rFonts w:eastAsia="SimSun"/>
                <w:b/>
                <w:bCs/>
              </w:rPr>
              <w:t>Clause</w:t>
            </w:r>
          </w:p>
        </w:tc>
        <w:tc>
          <w:tcPr>
            <w:tcW w:w="1408" w:type="pct"/>
            <w:tcBorders>
              <w:top w:val="single" w:sz="4" w:space="0" w:color="FFFFFF" w:themeColor="background1"/>
            </w:tcBorders>
            <w:shd w:val="clear" w:color="auto" w:fill="004259"/>
          </w:tcPr>
          <w:p w14:paraId="4350ECB6" w14:textId="39A7A368" w:rsidR="00A07FEF" w:rsidRPr="000E598A" w:rsidRDefault="002073A4" w:rsidP="00A07FEF">
            <w:pPr>
              <w:pStyle w:val="TableHeading"/>
              <w:rPr>
                <w:rFonts w:eastAsia="SimSun"/>
                <w:b/>
                <w:bCs/>
              </w:rPr>
            </w:pPr>
            <w:r w:rsidRPr="000E598A">
              <w:rPr>
                <w:rFonts w:eastAsia="SimSun"/>
                <w:b/>
                <w:bCs/>
              </w:rPr>
              <w:t>Hold point</w:t>
            </w:r>
          </w:p>
        </w:tc>
        <w:tc>
          <w:tcPr>
            <w:tcW w:w="1330" w:type="pct"/>
            <w:tcBorders>
              <w:top w:val="single" w:sz="4" w:space="0" w:color="FFFFFF" w:themeColor="background1"/>
            </w:tcBorders>
            <w:shd w:val="clear" w:color="auto" w:fill="004259"/>
          </w:tcPr>
          <w:p w14:paraId="1295EB9F" w14:textId="4E06602E" w:rsidR="00A07FEF" w:rsidRPr="000E598A" w:rsidRDefault="002073A4" w:rsidP="00A07FEF">
            <w:pPr>
              <w:pStyle w:val="TableHeading"/>
              <w:rPr>
                <w:rFonts w:eastAsia="SimSun"/>
                <w:b/>
                <w:bCs/>
              </w:rPr>
            </w:pPr>
            <w:r w:rsidRPr="000E598A">
              <w:rPr>
                <w:rFonts w:eastAsia="SimSun"/>
                <w:b/>
                <w:bCs/>
              </w:rPr>
              <w:t>Witness point</w:t>
            </w:r>
          </w:p>
        </w:tc>
        <w:tc>
          <w:tcPr>
            <w:tcW w:w="1405" w:type="pct"/>
            <w:tcBorders>
              <w:top w:val="single" w:sz="4" w:space="0" w:color="FFFFFF" w:themeColor="background1"/>
            </w:tcBorders>
            <w:shd w:val="clear" w:color="auto" w:fill="004259"/>
          </w:tcPr>
          <w:p w14:paraId="1C7CDCA6" w14:textId="78494E8C" w:rsidR="00A07FEF" w:rsidRPr="000E598A" w:rsidRDefault="002073A4" w:rsidP="00A07FEF">
            <w:pPr>
              <w:pStyle w:val="TableHeading"/>
              <w:rPr>
                <w:rFonts w:eastAsia="SimSun"/>
                <w:b/>
                <w:bCs/>
              </w:rPr>
            </w:pPr>
            <w:r w:rsidRPr="000E598A">
              <w:rPr>
                <w:rFonts w:eastAsia="SimSun"/>
                <w:b/>
                <w:bCs/>
              </w:rPr>
              <w:t>Record</w:t>
            </w:r>
          </w:p>
        </w:tc>
      </w:tr>
      <w:tr w:rsidR="00A07FEF" w:rsidRPr="000E598A" w14:paraId="21B450B6" w14:textId="77777777" w:rsidTr="00522B80">
        <w:tc>
          <w:tcPr>
            <w:tcW w:w="858" w:type="pct"/>
            <w:shd w:val="clear" w:color="auto" w:fill="D9D9D9" w:themeFill="background1" w:themeFillShade="D9"/>
          </w:tcPr>
          <w:p w14:paraId="3F2E69C4" w14:textId="3ED4AA43" w:rsidR="00A07FEF" w:rsidRPr="000E598A" w:rsidRDefault="00553E5D" w:rsidP="00522B80">
            <w:pPr>
              <w:pStyle w:val="TableBodyText"/>
            </w:pPr>
            <w:r w:rsidRPr="000E598A">
              <w:fldChar w:fldCharType="begin"/>
            </w:r>
            <w:r w:rsidRPr="000E598A">
              <w:instrText xml:space="preserve"> REF _Ref80963872 \r \h </w:instrText>
            </w:r>
            <w:r w:rsidR="000E598A">
              <w:instrText xml:space="preserve"> \* MERGEFORMAT </w:instrText>
            </w:r>
            <w:r w:rsidRPr="000E598A">
              <w:fldChar w:fldCharType="separate"/>
            </w:r>
            <w:r w:rsidR="00851F44" w:rsidRPr="000E598A">
              <w:t>4</w:t>
            </w:r>
            <w:r w:rsidRPr="000E598A">
              <w:fldChar w:fldCharType="end"/>
            </w:r>
          </w:p>
        </w:tc>
        <w:tc>
          <w:tcPr>
            <w:tcW w:w="1408" w:type="pct"/>
            <w:shd w:val="clear" w:color="auto" w:fill="D9D9D9" w:themeFill="background1" w:themeFillShade="D9"/>
          </w:tcPr>
          <w:p w14:paraId="729C48E9" w14:textId="2927B896" w:rsidR="00A07FEF" w:rsidRPr="000E598A" w:rsidRDefault="00435ED0" w:rsidP="00522B80">
            <w:pPr>
              <w:pStyle w:val="TableBodyText"/>
            </w:pPr>
            <w:r w:rsidRPr="000E598A">
              <w:t xml:space="preserve">Delivery and </w:t>
            </w:r>
            <w:r w:rsidR="00BF398E" w:rsidRPr="000E598A">
              <w:t xml:space="preserve">Installation of the </w:t>
            </w:r>
            <w:r w:rsidRPr="000E598A">
              <w:t>sealant</w:t>
            </w:r>
            <w:r w:rsidR="00A07FEF" w:rsidRPr="000E598A">
              <w:t>.</w:t>
            </w:r>
          </w:p>
        </w:tc>
        <w:tc>
          <w:tcPr>
            <w:tcW w:w="1330" w:type="pct"/>
            <w:shd w:val="clear" w:color="auto" w:fill="D9D9D9" w:themeFill="background1" w:themeFillShade="D9"/>
          </w:tcPr>
          <w:p w14:paraId="70A60223" w14:textId="77777777" w:rsidR="00A07FEF" w:rsidRPr="000E598A" w:rsidRDefault="00A07FEF" w:rsidP="00522B80">
            <w:pPr>
              <w:pStyle w:val="TableBodyText"/>
            </w:pPr>
          </w:p>
        </w:tc>
        <w:tc>
          <w:tcPr>
            <w:tcW w:w="1405" w:type="pct"/>
            <w:shd w:val="clear" w:color="auto" w:fill="D9D9D9" w:themeFill="background1" w:themeFillShade="D9"/>
          </w:tcPr>
          <w:p w14:paraId="2BACDD58" w14:textId="7DD79EE3" w:rsidR="00A07FEF" w:rsidRPr="000E598A" w:rsidRDefault="00D12EA9" w:rsidP="00522B80">
            <w:pPr>
              <w:pStyle w:val="TableBodyText"/>
            </w:pPr>
            <w:r w:rsidRPr="000E598A">
              <w:t>Quality Plan</w:t>
            </w:r>
            <w:r w:rsidR="00694DCC" w:rsidRPr="000E598A">
              <w:t xml:space="preserve"> and other documentation listed.</w:t>
            </w:r>
          </w:p>
        </w:tc>
      </w:tr>
      <w:tr w:rsidR="00F26CF8" w:rsidRPr="000E598A" w14:paraId="6A9381EB" w14:textId="77777777" w:rsidTr="00522B80">
        <w:tc>
          <w:tcPr>
            <w:tcW w:w="858" w:type="pct"/>
            <w:shd w:val="clear" w:color="auto" w:fill="D9D9D9" w:themeFill="background1" w:themeFillShade="D9"/>
          </w:tcPr>
          <w:p w14:paraId="78D1558A" w14:textId="5D231475" w:rsidR="00F26CF8" w:rsidRPr="000E598A" w:rsidRDefault="00D03055" w:rsidP="00522B80">
            <w:pPr>
              <w:pStyle w:val="TableBodyText"/>
            </w:pPr>
            <w:r w:rsidRPr="000E598A">
              <w:fldChar w:fldCharType="begin"/>
            </w:r>
            <w:r w:rsidRPr="000E598A">
              <w:instrText xml:space="preserve"> REF _Ref80945517 \r \h </w:instrText>
            </w:r>
            <w:r w:rsidR="008B7F15" w:rsidRPr="000E598A">
              <w:instrText xml:space="preserve"> \* MERGEFORMAT </w:instrText>
            </w:r>
            <w:r w:rsidRPr="000E598A">
              <w:fldChar w:fldCharType="separate"/>
            </w:r>
            <w:r w:rsidR="00851F44" w:rsidRPr="000E598A">
              <w:t>5.2</w:t>
            </w:r>
            <w:r w:rsidRPr="000E598A">
              <w:fldChar w:fldCharType="end"/>
            </w:r>
          </w:p>
        </w:tc>
        <w:tc>
          <w:tcPr>
            <w:tcW w:w="1408" w:type="pct"/>
            <w:shd w:val="clear" w:color="auto" w:fill="D9D9D9" w:themeFill="background1" w:themeFillShade="D9"/>
          </w:tcPr>
          <w:p w14:paraId="11CB7557" w14:textId="77777777" w:rsidR="00F26CF8" w:rsidRPr="000E598A" w:rsidRDefault="00F26CF8" w:rsidP="00522B80">
            <w:pPr>
              <w:pStyle w:val="TableBodyText"/>
            </w:pPr>
          </w:p>
        </w:tc>
        <w:tc>
          <w:tcPr>
            <w:tcW w:w="1330" w:type="pct"/>
            <w:shd w:val="clear" w:color="auto" w:fill="D9D9D9" w:themeFill="background1" w:themeFillShade="D9"/>
          </w:tcPr>
          <w:p w14:paraId="456134CA" w14:textId="77777777" w:rsidR="00F26CF8" w:rsidRPr="000E598A" w:rsidRDefault="00F26CF8" w:rsidP="00522B80">
            <w:pPr>
              <w:pStyle w:val="TableBodyText"/>
            </w:pPr>
          </w:p>
        </w:tc>
        <w:tc>
          <w:tcPr>
            <w:tcW w:w="1405" w:type="pct"/>
            <w:shd w:val="clear" w:color="auto" w:fill="D9D9D9" w:themeFill="background1" w:themeFillShade="D9"/>
          </w:tcPr>
          <w:p w14:paraId="3D330D56" w14:textId="617F3809" w:rsidR="00F26CF8" w:rsidRPr="000E598A" w:rsidRDefault="00F26CF8" w:rsidP="00522B80">
            <w:pPr>
              <w:pStyle w:val="TableBodyText"/>
            </w:pPr>
            <w:r w:rsidRPr="000E598A">
              <w:t xml:space="preserve">Strain </w:t>
            </w:r>
            <w:r w:rsidR="00D03055" w:rsidRPr="000E598A">
              <w:t>calculations</w:t>
            </w:r>
          </w:p>
        </w:tc>
      </w:tr>
      <w:tr w:rsidR="005E62DC" w:rsidRPr="000E598A" w14:paraId="3FE152D7" w14:textId="77777777" w:rsidTr="00522B80">
        <w:tc>
          <w:tcPr>
            <w:tcW w:w="858" w:type="pct"/>
            <w:shd w:val="clear" w:color="auto" w:fill="D9D9D9" w:themeFill="background1" w:themeFillShade="D9"/>
          </w:tcPr>
          <w:p w14:paraId="52D6C8A7" w14:textId="7F94B443" w:rsidR="005E62DC" w:rsidRPr="000E598A" w:rsidRDefault="00870B23" w:rsidP="00522B80">
            <w:pPr>
              <w:pStyle w:val="TableBodyText"/>
            </w:pPr>
            <w:r w:rsidRPr="000E598A">
              <w:fldChar w:fldCharType="begin"/>
            </w:r>
            <w:r w:rsidRPr="000E598A">
              <w:instrText xml:space="preserve"> REF _Ref40856828 \r \h </w:instrText>
            </w:r>
            <w:r w:rsidR="000E598A">
              <w:instrText xml:space="preserve"> \* MERGEFORMAT </w:instrText>
            </w:r>
            <w:r w:rsidRPr="000E598A">
              <w:fldChar w:fldCharType="separate"/>
            </w:r>
            <w:r w:rsidR="00851F44" w:rsidRPr="000E598A">
              <w:t>7.5</w:t>
            </w:r>
            <w:r w:rsidRPr="000E598A">
              <w:fldChar w:fldCharType="end"/>
            </w:r>
          </w:p>
        </w:tc>
        <w:tc>
          <w:tcPr>
            <w:tcW w:w="1408" w:type="pct"/>
            <w:shd w:val="clear" w:color="auto" w:fill="D9D9D9" w:themeFill="background1" w:themeFillShade="D9"/>
          </w:tcPr>
          <w:p w14:paraId="14DC83DE" w14:textId="4D7BFE3F" w:rsidR="005E62DC" w:rsidRPr="000E598A" w:rsidRDefault="00EF2C5C" w:rsidP="00522B80">
            <w:pPr>
              <w:pStyle w:val="TableBodyText"/>
            </w:pPr>
            <w:r w:rsidRPr="000E598A">
              <w:t>Delivery of sealant</w:t>
            </w:r>
          </w:p>
        </w:tc>
        <w:tc>
          <w:tcPr>
            <w:tcW w:w="1330" w:type="pct"/>
            <w:shd w:val="clear" w:color="auto" w:fill="D9D9D9" w:themeFill="background1" w:themeFillShade="D9"/>
          </w:tcPr>
          <w:p w14:paraId="6ABB8861" w14:textId="77777777" w:rsidR="005E62DC" w:rsidRPr="000E598A" w:rsidRDefault="005E62DC" w:rsidP="00522B80">
            <w:pPr>
              <w:pStyle w:val="TableBodyText"/>
            </w:pPr>
          </w:p>
        </w:tc>
        <w:tc>
          <w:tcPr>
            <w:tcW w:w="1405" w:type="pct"/>
            <w:shd w:val="clear" w:color="auto" w:fill="D9D9D9" w:themeFill="background1" w:themeFillShade="D9"/>
          </w:tcPr>
          <w:p w14:paraId="376BDBF0" w14:textId="3076041F" w:rsidR="005E62DC" w:rsidRPr="000E598A" w:rsidRDefault="0087705F" w:rsidP="00522B80">
            <w:pPr>
              <w:pStyle w:val="TableBodyText"/>
            </w:pPr>
            <w:r w:rsidRPr="000E598A">
              <w:t>Type test and product test reports</w:t>
            </w:r>
          </w:p>
        </w:tc>
      </w:tr>
      <w:tr w:rsidR="00A07FEF" w:rsidRPr="000E598A" w14:paraId="6A9F5155" w14:textId="77777777" w:rsidTr="00522B80">
        <w:tc>
          <w:tcPr>
            <w:tcW w:w="858" w:type="pct"/>
            <w:shd w:val="clear" w:color="auto" w:fill="D9D9D9" w:themeFill="background1" w:themeFillShade="D9"/>
          </w:tcPr>
          <w:p w14:paraId="1D89247F" w14:textId="06D46C13" w:rsidR="00A07FEF" w:rsidRPr="000E598A" w:rsidRDefault="00870B23" w:rsidP="00522B80">
            <w:pPr>
              <w:pStyle w:val="TableBodyText"/>
            </w:pPr>
            <w:r w:rsidRPr="000E598A">
              <w:fldChar w:fldCharType="begin"/>
            </w:r>
            <w:r w:rsidRPr="000E598A">
              <w:instrText xml:space="preserve"> REF _Ref40886675 \r \h </w:instrText>
            </w:r>
            <w:r w:rsidR="000E598A">
              <w:instrText xml:space="preserve"> \* MERGEFORMAT </w:instrText>
            </w:r>
            <w:r w:rsidRPr="000E598A">
              <w:fldChar w:fldCharType="separate"/>
            </w:r>
            <w:r w:rsidR="00851F44" w:rsidRPr="000E598A">
              <w:t>8.3</w:t>
            </w:r>
            <w:r w:rsidRPr="000E598A">
              <w:fldChar w:fldCharType="end"/>
            </w:r>
          </w:p>
        </w:tc>
        <w:tc>
          <w:tcPr>
            <w:tcW w:w="1408" w:type="pct"/>
            <w:shd w:val="clear" w:color="auto" w:fill="D9D9D9" w:themeFill="background1" w:themeFillShade="D9"/>
          </w:tcPr>
          <w:p w14:paraId="3149CF77" w14:textId="2D2E2C6E" w:rsidR="00A07FEF" w:rsidRPr="000E598A" w:rsidRDefault="00A07FEF" w:rsidP="00522B80">
            <w:pPr>
              <w:pStyle w:val="TableBodyText"/>
            </w:pPr>
          </w:p>
        </w:tc>
        <w:tc>
          <w:tcPr>
            <w:tcW w:w="1330" w:type="pct"/>
            <w:shd w:val="clear" w:color="auto" w:fill="D9D9D9" w:themeFill="background1" w:themeFillShade="D9"/>
          </w:tcPr>
          <w:p w14:paraId="77A8CBF6" w14:textId="5EE284DC" w:rsidR="00A07FEF" w:rsidRPr="000E598A" w:rsidRDefault="00215664" w:rsidP="00522B80">
            <w:pPr>
              <w:pStyle w:val="TableBodyText"/>
            </w:pPr>
            <w:r w:rsidRPr="000E598A">
              <w:t>1. Installation of sealant</w:t>
            </w:r>
          </w:p>
        </w:tc>
        <w:tc>
          <w:tcPr>
            <w:tcW w:w="1405" w:type="pct"/>
            <w:shd w:val="clear" w:color="auto" w:fill="D9D9D9" w:themeFill="background1" w:themeFillShade="D9"/>
          </w:tcPr>
          <w:p w14:paraId="21A5A45D" w14:textId="30485883" w:rsidR="00A07FEF" w:rsidRPr="000E598A" w:rsidRDefault="00A07FEF" w:rsidP="00522B80">
            <w:pPr>
              <w:pStyle w:val="TableBodyText"/>
            </w:pPr>
          </w:p>
        </w:tc>
      </w:tr>
      <w:tr w:rsidR="003F3AB4" w:rsidRPr="000E598A" w14:paraId="1275675C" w14:textId="77777777" w:rsidTr="00522B80">
        <w:tc>
          <w:tcPr>
            <w:tcW w:w="858" w:type="pct"/>
            <w:shd w:val="clear" w:color="auto" w:fill="D9D9D9" w:themeFill="background1" w:themeFillShade="D9"/>
          </w:tcPr>
          <w:p w14:paraId="7AB7A7C4" w14:textId="1E42C097" w:rsidR="003F3AB4" w:rsidRPr="000E598A" w:rsidRDefault="00870B23" w:rsidP="00522B80">
            <w:pPr>
              <w:pStyle w:val="TableBodyText"/>
            </w:pPr>
            <w:r w:rsidRPr="000E598A">
              <w:fldChar w:fldCharType="begin"/>
            </w:r>
            <w:r w:rsidRPr="000E598A">
              <w:instrText xml:space="preserve"> REF _Ref80942358 \r \h </w:instrText>
            </w:r>
            <w:r w:rsidR="000E598A">
              <w:instrText xml:space="preserve"> \* MERGEFORMAT </w:instrText>
            </w:r>
            <w:r w:rsidRPr="000E598A">
              <w:fldChar w:fldCharType="separate"/>
            </w:r>
            <w:r w:rsidR="00851F44" w:rsidRPr="000E598A">
              <w:t>9.1</w:t>
            </w:r>
            <w:r w:rsidRPr="000E598A">
              <w:fldChar w:fldCharType="end"/>
            </w:r>
          </w:p>
        </w:tc>
        <w:tc>
          <w:tcPr>
            <w:tcW w:w="1408" w:type="pct"/>
            <w:shd w:val="clear" w:color="auto" w:fill="D9D9D9" w:themeFill="background1" w:themeFillShade="D9"/>
          </w:tcPr>
          <w:p w14:paraId="72AC11D2" w14:textId="77777777" w:rsidR="003F3AB4" w:rsidRPr="000E598A" w:rsidRDefault="003F3AB4" w:rsidP="00522B80">
            <w:pPr>
              <w:pStyle w:val="TableBodyText"/>
            </w:pPr>
          </w:p>
        </w:tc>
        <w:tc>
          <w:tcPr>
            <w:tcW w:w="1330" w:type="pct"/>
            <w:shd w:val="clear" w:color="auto" w:fill="D9D9D9" w:themeFill="background1" w:themeFillShade="D9"/>
          </w:tcPr>
          <w:p w14:paraId="4E349CCD" w14:textId="77777777" w:rsidR="003F3AB4" w:rsidRPr="000E598A" w:rsidRDefault="003F3AB4" w:rsidP="00522B80">
            <w:pPr>
              <w:pStyle w:val="TableBodyText"/>
            </w:pPr>
          </w:p>
        </w:tc>
        <w:tc>
          <w:tcPr>
            <w:tcW w:w="1405" w:type="pct"/>
            <w:shd w:val="clear" w:color="auto" w:fill="D9D9D9" w:themeFill="background1" w:themeFillShade="D9"/>
          </w:tcPr>
          <w:p w14:paraId="53703385" w14:textId="3D318E37" w:rsidR="003F3AB4" w:rsidRPr="000E598A" w:rsidRDefault="003F3AB4" w:rsidP="00522B80">
            <w:pPr>
              <w:pStyle w:val="TableBodyText"/>
            </w:pPr>
            <w:r w:rsidRPr="000E598A">
              <w:t>Warranty</w:t>
            </w:r>
          </w:p>
        </w:tc>
      </w:tr>
    </w:tbl>
    <w:p w14:paraId="41C6066C" w14:textId="1960D7FC" w:rsidR="001F7A67" w:rsidRPr="000E598A" w:rsidRDefault="00FB77E5" w:rsidP="00ED1FC3">
      <w:r w:rsidRPr="000E598A">
        <w:rPr>
          <w:noProof/>
          <w:lang w:val="en-AU" w:eastAsia="en-AU"/>
        </w:rPr>
        <mc:AlternateContent>
          <mc:Choice Requires="wps">
            <w:drawing>
              <wp:anchor distT="0" distB="0" distL="114300" distR="114300" simplePos="0" relativeHeight="251658240" behindDoc="0" locked="0" layoutInCell="1" allowOverlap="1" wp14:anchorId="59FA14DE" wp14:editId="0AB4D06F">
                <wp:simplePos x="0" y="0"/>
                <wp:positionH relativeFrom="column">
                  <wp:posOffset>1610537</wp:posOffset>
                </wp:positionH>
                <wp:positionV relativeFrom="paragraph">
                  <wp:posOffset>525987</wp:posOffset>
                </wp:positionV>
                <wp:extent cx="701749" cy="212651"/>
                <wp:effectExtent l="0" t="0" r="3175" b="0"/>
                <wp:wrapNone/>
                <wp:docPr id="9" name="Rectangle 9"/>
                <wp:cNvGraphicFramePr/>
                <a:graphic xmlns:a="http://schemas.openxmlformats.org/drawingml/2006/main">
                  <a:graphicData uri="http://schemas.microsoft.com/office/word/2010/wordprocessingShape">
                    <wps:wsp>
                      <wps:cNvSpPr/>
                      <wps:spPr>
                        <a:xfrm>
                          <a:off x="0" y="0"/>
                          <a:ext cx="701749" cy="21265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A76A0" id="Rectangle 9" o:spid="_x0000_s1026" style="position:absolute;margin-left:126.8pt;margin-top:41.4pt;width:55.25pt;height:1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H4eAIAAF0FAAAOAAAAZHJzL2Uyb0RvYy54bWysVE1v2zAMvQ/YfxB0X20HabsGdYqgRYcB&#10;RVesHXpWZCk2IIsapcTJfv0o+SNtV+wwzAdZEslH8onk5dW+NWyn0DdgS16c5JwpK6Fq7KbkP55u&#10;P33mzAdhK2HAqpIflOdXy48fLju3UDOowVQKGYFYv+hcyesQ3CLLvKxVK/wJOGVJqAFbEeiIm6xC&#10;0RF6a7JZnp9lHWDlEKTynm5veiFfJnytlQzftPYqMFNyii2kFdO6jmu2vBSLDQpXN3IIQ/xDFK1o&#10;LDmdoG5EEGyLzR9QbSMRPOhwIqHNQOtGqpQDZVPkb7J5rIVTKRcix7uJJv//YOX97tE9INHQOb/w&#10;tI1Z7DW28U/xsX0i6zCRpfaBSbo8z4vz+QVnkkSzYnZ2WkQys6OxQx++KGhZ3JQc6S0SRWJ350Ov&#10;OqpEXx5MU902xqRDfH91bZDtBL3cejOCv9IyNupaiFY9YLzJjpmkXTgYFfWM/a40ayqKfZYCSUV2&#10;dCKkVDYUvagWlep9n+b0DalNFinRBBiRNfmfsAeA1wmM2H2Ug340ValGJ+P8b4H1xpNF8gw2TMZt&#10;YwHfAzCU1eC51x9J6qmJLK2hOjwgQ+g7xDt529Cz3QkfHgRSS1DzUJuHb7RoA13JYdhxVgP+eu8+&#10;6lOlkpSzjlqs5P7nVqDizHy1VMMXxXweezId5qfnMzrgS8n6pcRu22ugWihooDiZtlE/mHGrEdpn&#10;mgar6JVEwkryXXIZcDxch771aZ5ItVolNepDJ8KdfXQygkdWY1k+7Z8FuqF2AxX9PYztKBZvSrjX&#10;jZYWVtsAukn1feR14Jt6OBXOMG/ikHh5TlrHqbj8DQAA//8DAFBLAwQUAAYACAAAACEAyduJrt8A&#10;AAAKAQAADwAAAGRycy9kb3ducmV2LnhtbEyPy07DMBBF90j8gzVI7KjzIGkV4lQIQQXsKIS1Gw9J&#10;RDwOsdOGv2dYwXI0R/eeW24XO4gjTr53pCBeRSCQGmd6ahW8vT5cbUD4oMnowREq+EYP2+r8rNSF&#10;cSd6weM+tIJDyBdaQRfCWEjpmw6t9is3IvHvw01WBz6nVppJnzjcDjKJolxa3RM3dHrEuw6bz/1s&#10;FczZ+ul+ef/apXVUr5/rIXsMu1Gpy4vl9gZEwCX8wfCrz+pQsdPBzWS8GBQkWZozqmCT8AQG0vw6&#10;BnFgMs5TkFUp/0+ofgAAAP//AwBQSwECLQAUAAYACAAAACEAtoM4kv4AAADhAQAAEwAAAAAAAAAA&#10;AAAAAAAAAAAAW0NvbnRlbnRfVHlwZXNdLnhtbFBLAQItABQABgAIAAAAIQA4/SH/1gAAAJQBAAAL&#10;AAAAAAAAAAAAAAAAAC8BAABfcmVscy8ucmVsc1BLAQItABQABgAIAAAAIQCEcTH4eAIAAF0FAAAO&#10;AAAAAAAAAAAAAAAAAC4CAABkcnMvZTJvRG9jLnhtbFBLAQItABQABgAIAAAAIQDJ24mu3wAAAAoB&#10;AAAPAAAAAAAAAAAAAAAAANIEAABkcnMvZG93bnJldi54bWxQSwUGAAAAAAQABADzAAAA3gUAAAAA&#10;" fillcolor="white [3212]" stroked="f" strokeweight="2pt"/>
            </w:pict>
          </mc:Fallback>
        </mc:AlternateContent>
      </w:r>
      <w:r w:rsidR="00AB691F" w:rsidRPr="000E598A">
        <w:br w:type="page"/>
      </w:r>
    </w:p>
    <w:p w14:paraId="669F0CBD" w14:textId="02C16253" w:rsidR="00AF1D72" w:rsidRPr="000E598A" w:rsidRDefault="00276618" w:rsidP="00653881">
      <w:pPr>
        <w:pStyle w:val="Heading1nonumber"/>
      </w:pPr>
      <w:r w:rsidRPr="000E598A">
        <w:rPr>
          <w:caps w:val="0"/>
        </w:rPr>
        <w:lastRenderedPageBreak/>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0E598A"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276618" w:rsidRDefault="00AF1D72" w:rsidP="00276618">
            <w:pPr>
              <w:pStyle w:val="TableHeading"/>
              <w:rPr>
                <w:b/>
                <w:bCs/>
                <w:color w:val="auto"/>
              </w:rPr>
            </w:pPr>
            <w:r w:rsidRPr="00276618">
              <w:rPr>
                <w:b/>
                <w:bCs/>
                <w:color w:val="auto"/>
              </w:rPr>
              <w:t>Amendment no.</w:t>
            </w:r>
          </w:p>
        </w:tc>
        <w:tc>
          <w:tcPr>
            <w:tcW w:w="2709" w:type="pct"/>
          </w:tcPr>
          <w:p w14:paraId="09845ABA" w14:textId="77777777" w:rsidR="00AF1D72" w:rsidRPr="00276618" w:rsidRDefault="00AF1D72" w:rsidP="00276618">
            <w:pPr>
              <w:pStyle w:val="TableHeading"/>
              <w:rPr>
                <w:b/>
                <w:bCs/>
                <w:color w:val="auto"/>
              </w:rPr>
            </w:pPr>
            <w:r w:rsidRPr="00276618">
              <w:rPr>
                <w:b/>
                <w:bCs/>
                <w:color w:val="auto"/>
              </w:rPr>
              <w:t>Clauses amended</w:t>
            </w:r>
          </w:p>
        </w:tc>
        <w:tc>
          <w:tcPr>
            <w:tcW w:w="677" w:type="pct"/>
          </w:tcPr>
          <w:p w14:paraId="35993E27" w14:textId="77777777" w:rsidR="00AF1D72" w:rsidRPr="00276618" w:rsidRDefault="00AF1D72" w:rsidP="00276618">
            <w:pPr>
              <w:pStyle w:val="TableHeading"/>
              <w:rPr>
                <w:b/>
                <w:bCs/>
                <w:color w:val="auto"/>
              </w:rPr>
            </w:pPr>
            <w:r w:rsidRPr="00276618">
              <w:rPr>
                <w:b/>
                <w:bCs/>
                <w:color w:val="auto"/>
              </w:rPr>
              <w:t>Action</w:t>
            </w:r>
          </w:p>
        </w:tc>
        <w:tc>
          <w:tcPr>
            <w:tcW w:w="866" w:type="pct"/>
          </w:tcPr>
          <w:p w14:paraId="52F23AEE" w14:textId="77777777" w:rsidR="00AF1D72" w:rsidRPr="00276618" w:rsidRDefault="00AF1D72" w:rsidP="00276618">
            <w:pPr>
              <w:pStyle w:val="TableHeading"/>
              <w:rPr>
                <w:b/>
                <w:bCs/>
                <w:color w:val="auto"/>
              </w:rPr>
            </w:pPr>
            <w:r w:rsidRPr="00276618">
              <w:rPr>
                <w:b/>
                <w:bCs/>
                <w:color w:val="auto"/>
              </w:rPr>
              <w:t>Date</w:t>
            </w:r>
          </w:p>
        </w:tc>
      </w:tr>
      <w:tr w:rsidR="00AF1D72" w:rsidRPr="000E598A" w14:paraId="04352636" w14:textId="77777777" w:rsidTr="00B23DC4">
        <w:tc>
          <w:tcPr>
            <w:tcW w:w="748" w:type="pct"/>
          </w:tcPr>
          <w:p w14:paraId="6994222E" w14:textId="483314A6" w:rsidR="00AF1D72" w:rsidRPr="000E598A" w:rsidRDefault="00C668F6" w:rsidP="00276618">
            <w:pPr>
              <w:pStyle w:val="TableBodyText"/>
            </w:pPr>
            <w:r w:rsidRPr="000E598A">
              <w:t>-</w:t>
            </w:r>
          </w:p>
        </w:tc>
        <w:tc>
          <w:tcPr>
            <w:tcW w:w="2709" w:type="pct"/>
          </w:tcPr>
          <w:p w14:paraId="72F01B8B" w14:textId="26E15D64" w:rsidR="00AF1D72" w:rsidRPr="000E598A" w:rsidRDefault="00B23DC4" w:rsidP="00276618">
            <w:pPr>
              <w:pStyle w:val="TableBodyText"/>
            </w:pPr>
            <w:r w:rsidRPr="000E598A">
              <w:t>New specification</w:t>
            </w:r>
          </w:p>
        </w:tc>
        <w:tc>
          <w:tcPr>
            <w:tcW w:w="677" w:type="pct"/>
          </w:tcPr>
          <w:p w14:paraId="005DA5BA" w14:textId="4C62EA11" w:rsidR="00AF1D72" w:rsidRPr="000E598A" w:rsidRDefault="00C668F6" w:rsidP="00276618">
            <w:pPr>
              <w:pStyle w:val="TableBodyText"/>
            </w:pPr>
            <w:r w:rsidRPr="000E598A">
              <w:t>New</w:t>
            </w:r>
          </w:p>
        </w:tc>
        <w:tc>
          <w:tcPr>
            <w:tcW w:w="866" w:type="pct"/>
          </w:tcPr>
          <w:p w14:paraId="23AB785C" w14:textId="76F1F13B" w:rsidR="00AF1D72" w:rsidRPr="000E598A" w:rsidRDefault="00F84C6C" w:rsidP="00276618">
            <w:pPr>
              <w:pStyle w:val="TableBodyText"/>
            </w:pPr>
            <w:r>
              <w:t>December 2022</w:t>
            </w:r>
          </w:p>
        </w:tc>
      </w:tr>
      <w:tr w:rsidR="00AF1D72" w:rsidRPr="000E598A" w14:paraId="2517FC0B" w14:textId="77777777" w:rsidTr="00B23DC4">
        <w:tc>
          <w:tcPr>
            <w:tcW w:w="748" w:type="pct"/>
          </w:tcPr>
          <w:p w14:paraId="06079DBE" w14:textId="77777777" w:rsidR="00AF1D72" w:rsidRPr="000E598A" w:rsidRDefault="00AF1D72" w:rsidP="00276618">
            <w:pPr>
              <w:pStyle w:val="TableBodyText"/>
            </w:pPr>
          </w:p>
        </w:tc>
        <w:tc>
          <w:tcPr>
            <w:tcW w:w="2709" w:type="pct"/>
          </w:tcPr>
          <w:p w14:paraId="6D3B375F" w14:textId="77777777" w:rsidR="00AF1D72" w:rsidRPr="000E598A" w:rsidRDefault="00AF1D72" w:rsidP="00276618">
            <w:pPr>
              <w:pStyle w:val="TableBodyText"/>
            </w:pPr>
          </w:p>
        </w:tc>
        <w:tc>
          <w:tcPr>
            <w:tcW w:w="677" w:type="pct"/>
          </w:tcPr>
          <w:p w14:paraId="13C81DF1" w14:textId="77777777" w:rsidR="00AF1D72" w:rsidRPr="000E598A" w:rsidRDefault="00AF1D72" w:rsidP="00276618">
            <w:pPr>
              <w:pStyle w:val="TableBodyText"/>
            </w:pPr>
          </w:p>
        </w:tc>
        <w:tc>
          <w:tcPr>
            <w:tcW w:w="866" w:type="pct"/>
          </w:tcPr>
          <w:p w14:paraId="7F3165B6" w14:textId="77777777" w:rsidR="00AF1D72" w:rsidRPr="000E598A" w:rsidRDefault="00AF1D72" w:rsidP="00276618">
            <w:pPr>
              <w:pStyle w:val="TableBodyText"/>
            </w:pPr>
          </w:p>
        </w:tc>
      </w:tr>
    </w:tbl>
    <w:p w14:paraId="5AA22917" w14:textId="77777777" w:rsidR="00AF1D72" w:rsidRPr="000E598A" w:rsidRDefault="00AF1D72" w:rsidP="00492F96">
      <w:pPr>
        <w:pStyle w:val="Paragraph"/>
        <w:numPr>
          <w:ilvl w:val="0"/>
          <w:numId w:val="10"/>
        </w:numPr>
      </w:pPr>
    </w:p>
    <w:tbl>
      <w:tblPr>
        <w:tblW w:w="0" w:type="auto"/>
        <w:tblLook w:val="01E0" w:firstRow="1" w:lastRow="1" w:firstColumn="1" w:lastColumn="1" w:noHBand="0" w:noVBand="0"/>
      </w:tblPr>
      <w:tblGrid>
        <w:gridCol w:w="1185"/>
        <w:gridCol w:w="8325"/>
      </w:tblGrid>
      <w:tr w:rsidR="00AF1D72" w:rsidRPr="000E598A" w14:paraId="34B36AD5" w14:textId="77777777" w:rsidTr="00AF1D72">
        <w:trPr>
          <w:trHeight w:val="427"/>
        </w:trPr>
        <w:tc>
          <w:tcPr>
            <w:tcW w:w="1101" w:type="dxa"/>
            <w:shd w:val="clear" w:color="auto" w:fill="auto"/>
          </w:tcPr>
          <w:p w14:paraId="1A0F4A13" w14:textId="77777777" w:rsidR="00AF1D72" w:rsidRPr="000E598A" w:rsidRDefault="00AF1D72" w:rsidP="001B7F72">
            <w:pPr>
              <w:pStyle w:val="TableBodyText"/>
              <w:rPr>
                <w:b/>
                <w:bCs w:val="0"/>
                <w:sz w:val="16"/>
              </w:rPr>
            </w:pPr>
            <w:r w:rsidRPr="000E598A">
              <w:rPr>
                <w:b/>
                <w:bCs w:val="0"/>
              </w:rPr>
              <w:t>Key</w:t>
            </w:r>
          </w:p>
        </w:tc>
        <w:tc>
          <w:tcPr>
            <w:tcW w:w="8680" w:type="dxa"/>
            <w:shd w:val="clear" w:color="auto" w:fill="auto"/>
          </w:tcPr>
          <w:p w14:paraId="579971E6" w14:textId="77777777" w:rsidR="00AF1D72" w:rsidRPr="000E598A" w:rsidRDefault="00AF1D72" w:rsidP="001B7F72">
            <w:pPr>
              <w:pStyle w:val="TableBodyText"/>
            </w:pPr>
          </w:p>
        </w:tc>
      </w:tr>
      <w:tr w:rsidR="00AF1D72" w:rsidRPr="000E598A" w14:paraId="2C27FD3C" w14:textId="77777777" w:rsidTr="00AF1D72">
        <w:tc>
          <w:tcPr>
            <w:tcW w:w="1101" w:type="dxa"/>
            <w:shd w:val="clear" w:color="auto" w:fill="auto"/>
          </w:tcPr>
          <w:p w14:paraId="621644E5" w14:textId="77777777" w:rsidR="00AF1D72" w:rsidRPr="000E598A" w:rsidRDefault="00AF1D72" w:rsidP="001B7F72">
            <w:pPr>
              <w:pStyle w:val="TableBodyText"/>
            </w:pPr>
            <w:r w:rsidRPr="000E598A">
              <w:t>Format</w:t>
            </w:r>
          </w:p>
        </w:tc>
        <w:tc>
          <w:tcPr>
            <w:tcW w:w="8680" w:type="dxa"/>
            <w:shd w:val="clear" w:color="auto" w:fill="auto"/>
          </w:tcPr>
          <w:p w14:paraId="0B5DE507" w14:textId="77777777" w:rsidR="00AF1D72" w:rsidRPr="000E598A" w:rsidRDefault="00AF1D72" w:rsidP="001B7F72">
            <w:pPr>
              <w:pStyle w:val="TableBodyText"/>
            </w:pPr>
            <w:r w:rsidRPr="000E598A">
              <w:t>Change in format</w:t>
            </w:r>
          </w:p>
        </w:tc>
      </w:tr>
      <w:tr w:rsidR="00AF1D72" w:rsidRPr="000E598A" w14:paraId="63F6E9BF" w14:textId="77777777" w:rsidTr="00AF1D72">
        <w:tc>
          <w:tcPr>
            <w:tcW w:w="1101" w:type="dxa"/>
            <w:shd w:val="clear" w:color="auto" w:fill="auto"/>
          </w:tcPr>
          <w:p w14:paraId="152AA969" w14:textId="77777777" w:rsidR="00AF1D72" w:rsidRPr="000E598A" w:rsidRDefault="00AF1D72" w:rsidP="001B7F72">
            <w:pPr>
              <w:pStyle w:val="TableBodyText"/>
            </w:pPr>
            <w:r w:rsidRPr="000E598A">
              <w:t>Substitution</w:t>
            </w:r>
          </w:p>
        </w:tc>
        <w:tc>
          <w:tcPr>
            <w:tcW w:w="8680" w:type="dxa"/>
            <w:shd w:val="clear" w:color="auto" w:fill="auto"/>
          </w:tcPr>
          <w:p w14:paraId="20B1E6FB" w14:textId="77777777" w:rsidR="00AF1D72" w:rsidRPr="000E598A" w:rsidRDefault="00AF1D72" w:rsidP="001B7F72">
            <w:pPr>
              <w:pStyle w:val="TableBodyText"/>
            </w:pPr>
            <w:r w:rsidRPr="000E598A">
              <w:t>Old clause removed and replaced with new clause</w:t>
            </w:r>
          </w:p>
        </w:tc>
      </w:tr>
      <w:tr w:rsidR="00AF1D72" w:rsidRPr="000E598A" w14:paraId="015CFAEA" w14:textId="77777777" w:rsidTr="00AF1D72">
        <w:tc>
          <w:tcPr>
            <w:tcW w:w="1101" w:type="dxa"/>
            <w:shd w:val="clear" w:color="auto" w:fill="auto"/>
          </w:tcPr>
          <w:p w14:paraId="127237EE" w14:textId="77777777" w:rsidR="00AF1D72" w:rsidRPr="000E598A" w:rsidRDefault="00AF1D72" w:rsidP="001B7F72">
            <w:pPr>
              <w:pStyle w:val="TableBodyText"/>
            </w:pPr>
            <w:r w:rsidRPr="000E598A">
              <w:t>New</w:t>
            </w:r>
          </w:p>
        </w:tc>
        <w:tc>
          <w:tcPr>
            <w:tcW w:w="8680" w:type="dxa"/>
            <w:shd w:val="clear" w:color="auto" w:fill="auto"/>
          </w:tcPr>
          <w:p w14:paraId="42D85C62" w14:textId="77777777" w:rsidR="00AF1D72" w:rsidRPr="000E598A" w:rsidRDefault="00AF1D72" w:rsidP="001B7F72">
            <w:pPr>
              <w:pStyle w:val="TableBodyText"/>
            </w:pPr>
            <w:r w:rsidRPr="000E598A">
              <w:t>Insertion of new clause</w:t>
            </w:r>
          </w:p>
        </w:tc>
      </w:tr>
      <w:tr w:rsidR="00AF1D72" w14:paraId="05A43914" w14:textId="77777777" w:rsidTr="00AF1D72">
        <w:tc>
          <w:tcPr>
            <w:tcW w:w="1101" w:type="dxa"/>
            <w:shd w:val="clear" w:color="auto" w:fill="auto"/>
          </w:tcPr>
          <w:p w14:paraId="67129848" w14:textId="77777777" w:rsidR="00AF1D72" w:rsidRPr="000E598A" w:rsidRDefault="00AF1D72" w:rsidP="001B7F72">
            <w:pPr>
              <w:pStyle w:val="TableBodyText"/>
            </w:pPr>
            <w:r w:rsidRPr="000E598A">
              <w:t>Removed</w:t>
            </w:r>
          </w:p>
        </w:tc>
        <w:tc>
          <w:tcPr>
            <w:tcW w:w="8680" w:type="dxa"/>
            <w:shd w:val="clear" w:color="auto" w:fill="auto"/>
          </w:tcPr>
          <w:p w14:paraId="4F68E19E" w14:textId="77777777" w:rsidR="00AF1D72" w:rsidRPr="00E6543E" w:rsidRDefault="00AF1D72" w:rsidP="001B7F72">
            <w:pPr>
              <w:pStyle w:val="TableBodyText"/>
            </w:pPr>
            <w:r w:rsidRPr="000E598A">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4"/>
      <w:footerReference w:type="even" r:id="rId15"/>
      <w:footerReference w:type="default" r:id="rId16"/>
      <w:headerReference w:type="first" r:id="rId17"/>
      <w:footerReference w:type="first" r:id="rId18"/>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537DF" w14:textId="77777777" w:rsidR="0074789B" w:rsidRDefault="0074789B">
      <w:r>
        <w:separator/>
      </w:r>
    </w:p>
  </w:endnote>
  <w:endnote w:type="continuationSeparator" w:id="0">
    <w:p w14:paraId="40285460" w14:textId="77777777" w:rsidR="0074789B" w:rsidRDefault="0074789B">
      <w:r>
        <w:continuationSeparator/>
      </w:r>
    </w:p>
  </w:endnote>
  <w:endnote w:type="continuationNotice" w:id="1">
    <w:p w14:paraId="4E589889" w14:textId="77777777" w:rsidR="0074789B" w:rsidRDefault="00747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F41A63" w:rsidRDefault="00F41A63" w:rsidP="001E7290">
    <w:pPr>
      <w:pStyle w:val="Style6"/>
    </w:pPr>
    <w:r>
      <w:rPr>
        <w:noProof/>
        <w:lang w:val="en-AU" w:eastAsia="en-AU"/>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71726"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lang w:val="en-AU" w:eastAsia="en-AU"/>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F41A63" w:rsidRDefault="00F41A63">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F41A63" w:rsidRDefault="00F41A63">
                    <w:pPr>
                      <w:spacing w:before="10"/>
                      <w:ind w:left="20"/>
                    </w:pPr>
                    <w:r>
                      <w:t>60</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F41A63" w:rsidRDefault="00F41A63">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F41A63" w:rsidRDefault="00F41A63">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F41A63" w:rsidRDefault="00F41A63">
    <w:pPr>
      <w:pStyle w:val="Footer"/>
    </w:pPr>
  </w:p>
  <w:p w14:paraId="6C2B5812" w14:textId="39D71A6E" w:rsidR="00F41A63" w:rsidRPr="005252CA" w:rsidRDefault="00F41A63" w:rsidP="005252CA">
    <w:pPr>
      <w:widowControl/>
      <w:pBdr>
        <w:top w:val="dotted" w:sz="4" w:space="1" w:color="auto"/>
      </w:pBdr>
      <w:tabs>
        <w:tab w:val="center" w:pos="4513"/>
        <w:tab w:val="right" w:pos="9026"/>
      </w:tabs>
      <w:autoSpaceDE/>
      <w:autoSpaceDN/>
      <w:jc w:val="right"/>
      <w:rPr>
        <w:rFonts w:eastAsia="SimSun"/>
        <w:bCs/>
        <w:noProof/>
        <w:color w:val="6F7C87"/>
        <w:lang w:eastAsia="ja-JP"/>
      </w:rPr>
    </w:pPr>
    <w:r>
      <w:rPr>
        <w:rFonts w:eastAsia="SimSun"/>
        <w:b/>
        <w:sz w:val="16"/>
        <w:szCs w:val="16"/>
        <w:lang w:eastAsia="ja-JP"/>
      </w:rPr>
      <w:br/>
    </w:r>
    <w:r w:rsidRPr="005252CA">
      <w:rPr>
        <w:rFonts w:eastAsia="SimSun"/>
        <w:bCs/>
        <w:sz w:val="16"/>
        <w:szCs w:val="16"/>
        <w:lang w:eastAsia="ja-JP"/>
      </w:rPr>
      <w:t>Edition</w:t>
    </w:r>
    <w:bookmarkStart w:id="76" w:name="_Hlk61855656"/>
    <w:r w:rsidR="00A10F8D">
      <w:rPr>
        <w:rFonts w:eastAsia="SimSun"/>
        <w:bCs/>
        <w:sz w:val="16"/>
        <w:szCs w:val="16"/>
        <w:lang w:eastAsia="ja-JP"/>
      </w:rPr>
      <w:t xml:space="preserve"> 1.0 </w:t>
    </w:r>
    <w:r w:rsidR="00F84C6C">
      <w:rPr>
        <w:rFonts w:eastAsia="SimSun"/>
        <w:bCs/>
        <w:sz w:val="16"/>
        <w:szCs w:val="16"/>
        <w:lang w:eastAsia="ja-JP"/>
      </w:rPr>
      <w:t>December</w:t>
    </w:r>
    <w:r w:rsidR="004063F1">
      <w:rPr>
        <w:rFonts w:eastAsia="SimSun"/>
        <w:bCs/>
        <w:sz w:val="16"/>
        <w:szCs w:val="16"/>
        <w:lang w:eastAsia="ja-JP"/>
      </w:rPr>
      <w:t xml:space="preserve"> 202</w:t>
    </w:r>
    <w:r w:rsidR="001E0BFB">
      <w:rPr>
        <w:rFonts w:eastAsia="SimSun"/>
        <w:bCs/>
        <w:sz w:val="16"/>
        <w:szCs w:val="16"/>
        <w:lang w:eastAsia="ja-JP"/>
      </w:rPr>
      <w:t>2</w:t>
    </w:r>
    <w:bookmarkEnd w:id="76"/>
    <w:r w:rsidRPr="005252CA">
      <w:rPr>
        <w:rFonts w:eastAsia="SimSun"/>
        <w:bCs/>
        <w:sz w:val="16"/>
        <w:szCs w:val="16"/>
        <w:lang w:eastAsia="ja-JP"/>
      </w:rPr>
      <w:t xml:space="preserve"> | page </w:t>
    </w:r>
    <w:r w:rsidRPr="005252CA">
      <w:rPr>
        <w:rFonts w:eastAsia="SimSun"/>
        <w:bCs/>
        <w:sz w:val="16"/>
        <w:szCs w:val="16"/>
        <w:lang w:eastAsia="ja-JP"/>
      </w:rPr>
      <w:fldChar w:fldCharType="begin"/>
    </w:r>
    <w:r w:rsidRPr="005252CA">
      <w:rPr>
        <w:rFonts w:eastAsia="SimSun"/>
        <w:bCs/>
        <w:sz w:val="16"/>
        <w:szCs w:val="16"/>
        <w:lang w:eastAsia="ja-JP"/>
      </w:rPr>
      <w:instrText xml:space="preserve"> PAGE   \* MERGEFORMAT </w:instrText>
    </w:r>
    <w:r w:rsidRPr="005252CA">
      <w:rPr>
        <w:rFonts w:eastAsia="SimSun"/>
        <w:bCs/>
        <w:sz w:val="16"/>
        <w:szCs w:val="16"/>
        <w:lang w:eastAsia="ja-JP"/>
      </w:rPr>
      <w:fldChar w:fldCharType="separate"/>
    </w:r>
    <w:r w:rsidR="00262D73">
      <w:rPr>
        <w:rFonts w:eastAsia="SimSun"/>
        <w:bCs/>
        <w:noProof/>
        <w:sz w:val="16"/>
        <w:szCs w:val="16"/>
        <w:lang w:eastAsia="ja-JP"/>
      </w:rPr>
      <w:t>8</w:t>
    </w:r>
    <w:r w:rsidRPr="005252CA">
      <w:rPr>
        <w:rFonts w:eastAsia="SimSun"/>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F41A63" w:rsidRDefault="00F41A63">
    <w:pPr>
      <w:pStyle w:val="Footer"/>
    </w:pPr>
  </w:p>
  <w:p w14:paraId="53E5821A" w14:textId="19F5DD2B" w:rsidR="00F41A63" w:rsidRPr="004A7CAA" w:rsidRDefault="00F41A63" w:rsidP="003F7623">
    <w:pPr>
      <w:widowControl/>
      <w:pBdr>
        <w:top w:val="dotted" w:sz="4" w:space="1" w:color="auto"/>
      </w:pBdr>
      <w:tabs>
        <w:tab w:val="center" w:pos="4513"/>
        <w:tab w:val="right" w:pos="9026"/>
      </w:tabs>
      <w:autoSpaceDE/>
      <w:autoSpaceDN/>
      <w:jc w:val="right"/>
      <w:rPr>
        <w:rFonts w:eastAsia="SimSun"/>
        <w:noProof/>
        <w:color w:val="6F7C87"/>
        <w:lang w:eastAsia="ja-JP"/>
      </w:rPr>
    </w:pPr>
    <w:r>
      <w:rPr>
        <w:rFonts w:eastAsia="SimSun"/>
        <w:color w:val="6F7C87"/>
        <w:sz w:val="16"/>
        <w:szCs w:val="16"/>
        <w:lang w:eastAsia="ja-JP"/>
      </w:rPr>
      <w:tab/>
    </w:r>
    <w:r>
      <w:rPr>
        <w:rFonts w:eastAsia="SimSun"/>
        <w:color w:val="6F7C87"/>
        <w:sz w:val="16"/>
        <w:szCs w:val="16"/>
        <w:lang w:eastAsia="ja-JP"/>
      </w:rPr>
      <w:tab/>
    </w:r>
    <w:r>
      <w:rPr>
        <w:rFonts w:eastAsia="SimSun"/>
        <w:color w:val="6F7C87"/>
        <w:sz w:val="16"/>
        <w:szCs w:val="16"/>
        <w:lang w:eastAsia="ja-JP"/>
      </w:rPr>
      <w:br/>
    </w:r>
    <w:r w:rsidRPr="005252CA">
      <w:rPr>
        <w:rFonts w:eastAsia="SimSun"/>
        <w:bCs/>
        <w:sz w:val="16"/>
        <w:szCs w:val="16"/>
        <w:lang w:eastAsia="ja-JP"/>
      </w:rPr>
      <w:t xml:space="preserve">Edition </w:t>
    </w:r>
    <w:r w:rsidR="00E1033D">
      <w:rPr>
        <w:rFonts w:eastAsia="SimSun"/>
        <w:bCs/>
        <w:sz w:val="16"/>
        <w:szCs w:val="16"/>
        <w:lang w:eastAsia="ja-JP"/>
      </w:rPr>
      <w:t xml:space="preserve">1.0 October </w:t>
    </w:r>
    <w:r w:rsidR="004063F1" w:rsidRPr="004063F1">
      <w:rPr>
        <w:rFonts w:eastAsia="SimSun"/>
        <w:bCs/>
        <w:sz w:val="16"/>
        <w:szCs w:val="16"/>
        <w:lang w:eastAsia="ja-JP"/>
      </w:rPr>
      <w:t>202</w:t>
    </w:r>
    <w:r w:rsidR="001E0BFB">
      <w:rPr>
        <w:rFonts w:eastAsia="SimSun"/>
        <w:bCs/>
        <w:sz w:val="16"/>
        <w:szCs w:val="16"/>
        <w:lang w:eastAsia="ja-JP"/>
      </w:rPr>
      <w:t>2</w:t>
    </w:r>
    <w:r w:rsidRPr="003F7623">
      <w:rPr>
        <w:rFonts w:eastAsia="SimSun"/>
        <w:sz w:val="16"/>
        <w:szCs w:val="16"/>
        <w:lang w:eastAsia="ja-JP"/>
      </w:rPr>
      <w:t xml:space="preserve"> | page </w:t>
    </w:r>
    <w:r w:rsidRPr="003F7623">
      <w:rPr>
        <w:rFonts w:eastAsia="SimSun"/>
        <w:sz w:val="16"/>
        <w:szCs w:val="16"/>
        <w:lang w:eastAsia="ja-JP"/>
      </w:rPr>
      <w:fldChar w:fldCharType="begin"/>
    </w:r>
    <w:r w:rsidRPr="003F7623">
      <w:rPr>
        <w:rFonts w:eastAsia="SimSun"/>
        <w:sz w:val="16"/>
        <w:szCs w:val="16"/>
        <w:lang w:eastAsia="ja-JP"/>
      </w:rPr>
      <w:instrText xml:space="preserve"> PAGE   \* MERGEFORMAT </w:instrText>
    </w:r>
    <w:r w:rsidRPr="003F7623">
      <w:rPr>
        <w:rFonts w:eastAsia="SimSun"/>
        <w:sz w:val="16"/>
        <w:szCs w:val="16"/>
        <w:lang w:eastAsia="ja-JP"/>
      </w:rPr>
      <w:fldChar w:fldCharType="separate"/>
    </w:r>
    <w:r w:rsidR="00262D73">
      <w:rPr>
        <w:rFonts w:eastAsia="SimSun"/>
        <w:noProof/>
        <w:sz w:val="16"/>
        <w:szCs w:val="16"/>
        <w:lang w:eastAsia="ja-JP"/>
      </w:rPr>
      <w:t>1</w:t>
    </w:r>
    <w:r w:rsidRPr="003F7623">
      <w:rPr>
        <w:rFonts w:eastAsia="SimSun"/>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D6EC" w14:textId="77777777" w:rsidR="0074789B" w:rsidRDefault="0074789B">
      <w:r>
        <w:separator/>
      </w:r>
    </w:p>
  </w:footnote>
  <w:footnote w:type="continuationSeparator" w:id="0">
    <w:p w14:paraId="11A79EE1" w14:textId="77777777" w:rsidR="0074789B" w:rsidRDefault="0074789B">
      <w:r>
        <w:continuationSeparator/>
      </w:r>
    </w:p>
  </w:footnote>
  <w:footnote w:type="continuationNotice" w:id="1">
    <w:p w14:paraId="5DDE3399" w14:textId="77777777" w:rsidR="0074789B" w:rsidRDefault="00747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4903036A" w:rsidR="00F41A63" w:rsidRPr="003F7623" w:rsidRDefault="00F41A63" w:rsidP="00D90960">
    <w:pPr>
      <w:widowControl/>
      <w:pBdr>
        <w:bottom w:val="dotted" w:sz="4" w:space="1" w:color="auto"/>
      </w:pBdr>
      <w:tabs>
        <w:tab w:val="center" w:pos="4513"/>
        <w:tab w:val="right" w:pos="9026"/>
      </w:tabs>
      <w:autoSpaceDE/>
      <w:autoSpaceDN/>
      <w:jc w:val="right"/>
      <w:rPr>
        <w:rFonts w:eastAsia="SimSun"/>
        <w:b/>
        <w:sz w:val="16"/>
        <w:szCs w:val="16"/>
        <w:lang w:eastAsia="ja-JP"/>
      </w:rPr>
    </w:pPr>
    <w:r w:rsidRPr="003F7623">
      <w:rPr>
        <w:rFonts w:eastAsia="SimSun"/>
        <w:b/>
        <w:sz w:val="16"/>
        <w:szCs w:val="16"/>
        <w:lang w:eastAsia="ja-JP"/>
      </w:rPr>
      <w:t xml:space="preserve">ATS </w:t>
    </w:r>
    <w:r>
      <w:rPr>
        <w:rFonts w:eastAsia="SimSun"/>
        <w:b/>
        <w:sz w:val="16"/>
        <w:szCs w:val="16"/>
        <w:lang w:eastAsia="ja-JP"/>
      </w:rPr>
      <w:t>56</w:t>
    </w:r>
    <w:r w:rsidR="00D90960">
      <w:rPr>
        <w:rFonts w:eastAsia="SimSun"/>
        <w:b/>
        <w:sz w:val="16"/>
        <w:szCs w:val="16"/>
        <w:lang w:eastAsia="ja-JP"/>
      </w:rPr>
      <w:t>2</w:t>
    </w:r>
    <w:r>
      <w:rPr>
        <w:rFonts w:eastAsia="SimSun"/>
        <w:b/>
        <w:sz w:val="16"/>
        <w:szCs w:val="16"/>
        <w:lang w:eastAsia="ja-JP"/>
      </w:rPr>
      <w:t>0</w:t>
    </w:r>
    <w:r w:rsidRPr="00AF56AB">
      <w:t xml:space="preserve"> </w:t>
    </w:r>
    <w:r w:rsidR="00D90960" w:rsidRPr="00D90960">
      <w:rPr>
        <w:rFonts w:eastAsia="SimSun"/>
        <w:b/>
        <w:sz w:val="16"/>
        <w:szCs w:val="16"/>
        <w:lang w:eastAsia="ja-JP"/>
      </w:rPr>
      <w:t>Cold Applied Sealant Joints</w:t>
    </w:r>
    <w:r w:rsidRPr="003F7623">
      <w:rPr>
        <w:rFonts w:eastAsia="SimSun"/>
        <w:b/>
        <w:sz w:val="16"/>
        <w:szCs w:val="16"/>
        <w:lang w:eastAsia="ja-JP"/>
      </w:rPr>
      <w:t xml:space="preserve"> </w:t>
    </w:r>
  </w:p>
  <w:p w14:paraId="35BA0088" w14:textId="7748489B" w:rsidR="00F41A63" w:rsidRPr="00AE427D" w:rsidRDefault="00F41A63" w:rsidP="00AE427D">
    <w:pPr>
      <w:pStyle w:val="Header"/>
      <w:jc w:val="right"/>
      <w:rPr>
        <w:sz w:val="18"/>
        <w:szCs w:val="18"/>
      </w:rPr>
    </w:pPr>
  </w:p>
  <w:p w14:paraId="2B1651BB" w14:textId="77777777" w:rsidR="00F41A63" w:rsidRPr="00AE427D" w:rsidRDefault="00F41A63" w:rsidP="00AE427D">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F41A63" w:rsidRDefault="00F41A63">
    <w:pPr>
      <w:pStyle w:val="Header"/>
    </w:pPr>
  </w:p>
  <w:p w14:paraId="53F80914" w14:textId="77777777" w:rsidR="00F41A63" w:rsidRDefault="00F41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FE43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C414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2824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3692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9CC2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074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36D6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7642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802F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B436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3F3C56B8"/>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0" w15:restartNumberingAfterBreak="0">
    <w:nsid w:val="3561176C"/>
    <w:multiLevelType w:val="hybridMultilevel"/>
    <w:tmpl w:val="15CA627C"/>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F380286"/>
    <w:multiLevelType w:val="multilevel"/>
    <w:tmpl w:val="329286BC"/>
    <w:lvl w:ilvl="0">
      <w:start w:val="1"/>
      <w:numFmt w:val="bullet"/>
      <w:lvlText w:val=""/>
      <w:lvlJc w:val="left"/>
      <w:pPr>
        <w:ind w:left="340" w:hanging="340"/>
      </w:pPr>
      <w:rPr>
        <w:rFonts w:ascii="Symbol" w:hAnsi="Symbol" w:hint="default"/>
        <w:b w:val="0"/>
        <w:i w:val="0"/>
        <w:color w:val="6F7C87"/>
        <w:sz w:val="18"/>
      </w:rPr>
    </w:lvl>
    <w:lvl w:ilvl="1">
      <w:start w:val="1"/>
      <w:numFmt w:val="bullet"/>
      <w:pStyle w:val="TableBullet1"/>
      <w:lvlText w:val=""/>
      <w:lvlJc w:val="left"/>
      <w:pPr>
        <w:ind w:left="700" w:hanging="360"/>
      </w:pPr>
      <w:rPr>
        <w:rFonts w:ascii="Symbol" w:hAnsi="Symbol" w:hint="default"/>
      </w:rPr>
    </w:lvl>
    <w:lvl w:ilvl="2">
      <w:start w:val="1"/>
      <w:numFmt w:val="bullet"/>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E455653"/>
    <w:multiLevelType w:val="multilevel"/>
    <w:tmpl w:val="51743704"/>
    <w:lvl w:ilvl="0">
      <w:start w:val="1"/>
      <w:numFmt w:val="decimal"/>
      <w:pStyle w:val="Heading1"/>
      <w:lvlText w:val="%1."/>
      <w:lvlJc w:val="left"/>
      <w:pPr>
        <w:ind w:left="1283"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6" w15:restartNumberingAfterBreak="0">
    <w:nsid w:val="6E9D41C8"/>
    <w:multiLevelType w:val="hybridMultilevel"/>
    <w:tmpl w:val="C7B030B4"/>
    <w:lvl w:ilvl="0" w:tplc="9C109340">
      <w:numFmt w:val="bullet"/>
      <w:lvlText w:val="•"/>
      <w:lvlJc w:val="left"/>
      <w:pPr>
        <w:ind w:left="746" w:hanging="690"/>
      </w:pPr>
      <w:rPr>
        <w:rFonts w:ascii="Arial" w:eastAsiaTheme="minorEastAsia" w:hAnsi="Arial" w:cs="Aria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7" w15:restartNumberingAfterBreak="0">
    <w:nsid w:val="70025376"/>
    <w:multiLevelType w:val="hybridMultilevel"/>
    <w:tmpl w:val="FBE8B152"/>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9"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0"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1"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2" w15:restartNumberingAfterBreak="0">
    <w:nsid w:val="7AD101E3"/>
    <w:multiLevelType w:val="hybridMultilevel"/>
    <w:tmpl w:val="08D2CADE"/>
    <w:lvl w:ilvl="0" w:tplc="8F0A1E2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611011329">
    <w:abstractNumId w:val="31"/>
  </w:num>
  <w:num w:numId="2" w16cid:durableId="1422143568">
    <w:abstractNumId w:val="22"/>
  </w:num>
  <w:num w:numId="3" w16cid:durableId="910432850">
    <w:abstractNumId w:val="28"/>
  </w:num>
  <w:num w:numId="4" w16cid:durableId="1126193908">
    <w:abstractNumId w:val="18"/>
  </w:num>
  <w:num w:numId="5" w16cid:durableId="523205503">
    <w:abstractNumId w:val="11"/>
  </w:num>
  <w:num w:numId="6" w16cid:durableId="447284051">
    <w:abstractNumId w:val="27"/>
  </w:num>
  <w:num w:numId="7" w16cid:durableId="1055852003">
    <w:abstractNumId w:val="19"/>
  </w:num>
  <w:num w:numId="8" w16cid:durableId="1376853014">
    <w:abstractNumId w:val="25"/>
  </w:num>
  <w:num w:numId="9" w16cid:durableId="282617261">
    <w:abstractNumId w:val="15"/>
  </w:num>
  <w:num w:numId="10" w16cid:durableId="1877769109">
    <w:abstractNumId w:val="12"/>
  </w:num>
  <w:num w:numId="11" w16cid:durableId="1986202550">
    <w:abstractNumId w:val="24"/>
  </w:num>
  <w:num w:numId="12" w16cid:durableId="772045755">
    <w:abstractNumId w:val="30"/>
  </w:num>
  <w:num w:numId="13" w16cid:durableId="1453206515">
    <w:abstractNumId w:val="29"/>
  </w:num>
  <w:num w:numId="14" w16cid:durableId="1093470812">
    <w:abstractNumId w:val="17"/>
  </w:num>
  <w:num w:numId="15" w16cid:durableId="11877776">
    <w:abstractNumId w:val="10"/>
  </w:num>
  <w:num w:numId="16" w16cid:durableId="659189303">
    <w:abstractNumId w:val="13"/>
  </w:num>
  <w:num w:numId="17" w16cid:durableId="926231704">
    <w:abstractNumId w:val="16"/>
  </w:num>
  <w:num w:numId="18" w16cid:durableId="1070466447">
    <w:abstractNumId w:val="20"/>
  </w:num>
  <w:num w:numId="19" w16cid:durableId="1271207812">
    <w:abstractNumId w:val="32"/>
  </w:num>
  <w:num w:numId="20" w16cid:durableId="974142539">
    <w:abstractNumId w:val="23"/>
  </w:num>
  <w:num w:numId="21" w16cid:durableId="1016271666">
    <w:abstractNumId w:val="14"/>
  </w:num>
  <w:num w:numId="22" w16cid:durableId="13045657">
    <w:abstractNumId w:val="32"/>
    <w:lvlOverride w:ilvl="0">
      <w:startOverride w:val="1"/>
    </w:lvlOverride>
  </w:num>
  <w:num w:numId="23" w16cid:durableId="1491212603">
    <w:abstractNumId w:val="26"/>
  </w:num>
  <w:num w:numId="24" w16cid:durableId="709034080">
    <w:abstractNumId w:val="32"/>
    <w:lvlOverride w:ilvl="0">
      <w:startOverride w:val="1"/>
    </w:lvlOverride>
  </w:num>
  <w:num w:numId="25" w16cid:durableId="365571657">
    <w:abstractNumId w:val="32"/>
    <w:lvlOverride w:ilvl="0">
      <w:startOverride w:val="1"/>
    </w:lvlOverride>
  </w:num>
  <w:num w:numId="26" w16cid:durableId="1914507795">
    <w:abstractNumId w:val="32"/>
    <w:lvlOverride w:ilvl="0">
      <w:startOverride w:val="1"/>
    </w:lvlOverride>
  </w:num>
  <w:num w:numId="27" w16cid:durableId="924460151">
    <w:abstractNumId w:val="32"/>
    <w:lvlOverride w:ilvl="0">
      <w:startOverride w:val="1"/>
    </w:lvlOverride>
  </w:num>
  <w:num w:numId="28" w16cid:durableId="1700742081">
    <w:abstractNumId w:val="32"/>
    <w:lvlOverride w:ilvl="0">
      <w:startOverride w:val="1"/>
    </w:lvlOverride>
  </w:num>
  <w:num w:numId="29" w16cid:durableId="955720670">
    <w:abstractNumId w:val="8"/>
  </w:num>
  <w:num w:numId="30" w16cid:durableId="840895142">
    <w:abstractNumId w:val="3"/>
  </w:num>
  <w:num w:numId="31" w16cid:durableId="1528252632">
    <w:abstractNumId w:val="2"/>
  </w:num>
  <w:num w:numId="32" w16cid:durableId="902833903">
    <w:abstractNumId w:val="1"/>
  </w:num>
  <w:num w:numId="33" w16cid:durableId="934553494">
    <w:abstractNumId w:val="0"/>
  </w:num>
  <w:num w:numId="34" w16cid:durableId="839080199">
    <w:abstractNumId w:val="9"/>
  </w:num>
  <w:num w:numId="35" w16cid:durableId="2071076174">
    <w:abstractNumId w:val="7"/>
  </w:num>
  <w:num w:numId="36" w16cid:durableId="2068797371">
    <w:abstractNumId w:val="6"/>
  </w:num>
  <w:num w:numId="37" w16cid:durableId="560596387">
    <w:abstractNumId w:val="5"/>
  </w:num>
  <w:num w:numId="38" w16cid:durableId="2137596154">
    <w:abstractNumId w:val="4"/>
  </w:num>
  <w:num w:numId="39" w16cid:durableId="1192840150">
    <w:abstractNumId w:val="24"/>
  </w:num>
  <w:num w:numId="40" w16cid:durableId="690449135">
    <w:abstractNumId w:val="24"/>
  </w:num>
  <w:num w:numId="41" w16cid:durableId="712198387">
    <w:abstractNumId w:val="24"/>
  </w:num>
  <w:num w:numId="42" w16cid:durableId="1307200331">
    <w:abstractNumId w:val="24"/>
  </w:num>
  <w:num w:numId="43" w16cid:durableId="1524130095">
    <w:abstractNumId w:val="24"/>
  </w:num>
  <w:num w:numId="44" w16cid:durableId="1124302257">
    <w:abstractNumId w:val="24"/>
  </w:num>
  <w:num w:numId="45" w16cid:durableId="158427988">
    <w:abstractNumId w:val="24"/>
  </w:num>
  <w:num w:numId="46" w16cid:durableId="1220091320">
    <w:abstractNumId w:val="24"/>
  </w:num>
  <w:num w:numId="47" w16cid:durableId="1820267140">
    <w:abstractNumId w:val="27"/>
  </w:num>
  <w:num w:numId="48" w16cid:durableId="511603225">
    <w:abstractNumId w:val="20"/>
  </w:num>
  <w:num w:numId="49" w16cid:durableId="810440535">
    <w:abstractNumId w:val="32"/>
    <w:lvlOverride w:ilvl="0">
      <w:startOverride w:val="1"/>
    </w:lvlOverride>
  </w:num>
  <w:num w:numId="50" w16cid:durableId="2125074165">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40CC"/>
    <w:rsid w:val="00005BCD"/>
    <w:rsid w:val="00006D2F"/>
    <w:rsid w:val="000074BA"/>
    <w:rsid w:val="00010315"/>
    <w:rsid w:val="00011356"/>
    <w:rsid w:val="000115DE"/>
    <w:rsid w:val="00012880"/>
    <w:rsid w:val="00012D24"/>
    <w:rsid w:val="0001371F"/>
    <w:rsid w:val="00013D8D"/>
    <w:rsid w:val="0001456B"/>
    <w:rsid w:val="00014AF7"/>
    <w:rsid w:val="00016A52"/>
    <w:rsid w:val="00016FB7"/>
    <w:rsid w:val="000171F3"/>
    <w:rsid w:val="00017D92"/>
    <w:rsid w:val="00017E80"/>
    <w:rsid w:val="0002028A"/>
    <w:rsid w:val="00020BB3"/>
    <w:rsid w:val="00020E9C"/>
    <w:rsid w:val="00021D17"/>
    <w:rsid w:val="00025D9A"/>
    <w:rsid w:val="000305ED"/>
    <w:rsid w:val="0003386D"/>
    <w:rsid w:val="00035E0B"/>
    <w:rsid w:val="000369D6"/>
    <w:rsid w:val="00037DFF"/>
    <w:rsid w:val="00042467"/>
    <w:rsid w:val="0004467E"/>
    <w:rsid w:val="000450BA"/>
    <w:rsid w:val="00045219"/>
    <w:rsid w:val="000454EF"/>
    <w:rsid w:val="00045CDF"/>
    <w:rsid w:val="00050542"/>
    <w:rsid w:val="00055E8B"/>
    <w:rsid w:val="000561B6"/>
    <w:rsid w:val="00057CE9"/>
    <w:rsid w:val="0006148E"/>
    <w:rsid w:val="00062399"/>
    <w:rsid w:val="00063827"/>
    <w:rsid w:val="00064F5A"/>
    <w:rsid w:val="00066FF7"/>
    <w:rsid w:val="000715A0"/>
    <w:rsid w:val="00073A3D"/>
    <w:rsid w:val="00075012"/>
    <w:rsid w:val="000750A5"/>
    <w:rsid w:val="00077815"/>
    <w:rsid w:val="00080AB7"/>
    <w:rsid w:val="00082B1B"/>
    <w:rsid w:val="00083DD0"/>
    <w:rsid w:val="00085392"/>
    <w:rsid w:val="00086673"/>
    <w:rsid w:val="00086821"/>
    <w:rsid w:val="000900DB"/>
    <w:rsid w:val="00090BB5"/>
    <w:rsid w:val="000934BE"/>
    <w:rsid w:val="000940DD"/>
    <w:rsid w:val="00095B6D"/>
    <w:rsid w:val="00096645"/>
    <w:rsid w:val="000977AA"/>
    <w:rsid w:val="000A099C"/>
    <w:rsid w:val="000A24A5"/>
    <w:rsid w:val="000A25CB"/>
    <w:rsid w:val="000A29DC"/>
    <w:rsid w:val="000A4160"/>
    <w:rsid w:val="000A4BE4"/>
    <w:rsid w:val="000A51A0"/>
    <w:rsid w:val="000A5626"/>
    <w:rsid w:val="000A6357"/>
    <w:rsid w:val="000A68F5"/>
    <w:rsid w:val="000A71E9"/>
    <w:rsid w:val="000A7CAC"/>
    <w:rsid w:val="000B08A3"/>
    <w:rsid w:val="000B262B"/>
    <w:rsid w:val="000B2831"/>
    <w:rsid w:val="000B3CF1"/>
    <w:rsid w:val="000B5520"/>
    <w:rsid w:val="000B6D80"/>
    <w:rsid w:val="000C089A"/>
    <w:rsid w:val="000C1C06"/>
    <w:rsid w:val="000C2E6D"/>
    <w:rsid w:val="000C4EFD"/>
    <w:rsid w:val="000C6430"/>
    <w:rsid w:val="000C7EE9"/>
    <w:rsid w:val="000D19B2"/>
    <w:rsid w:val="000D1A92"/>
    <w:rsid w:val="000D2501"/>
    <w:rsid w:val="000D33FC"/>
    <w:rsid w:val="000D3532"/>
    <w:rsid w:val="000D4DB1"/>
    <w:rsid w:val="000D76D6"/>
    <w:rsid w:val="000D79CC"/>
    <w:rsid w:val="000E508E"/>
    <w:rsid w:val="000E598A"/>
    <w:rsid w:val="000E5A01"/>
    <w:rsid w:val="000E5A77"/>
    <w:rsid w:val="000E5E53"/>
    <w:rsid w:val="000E66B7"/>
    <w:rsid w:val="000E6E2F"/>
    <w:rsid w:val="000F0761"/>
    <w:rsid w:val="000F09D1"/>
    <w:rsid w:val="000F1752"/>
    <w:rsid w:val="000F1AB8"/>
    <w:rsid w:val="000F2880"/>
    <w:rsid w:val="000F47B1"/>
    <w:rsid w:val="000F600D"/>
    <w:rsid w:val="000F633D"/>
    <w:rsid w:val="000F76C4"/>
    <w:rsid w:val="00103991"/>
    <w:rsid w:val="001041C2"/>
    <w:rsid w:val="0010568B"/>
    <w:rsid w:val="001058EC"/>
    <w:rsid w:val="00105D3B"/>
    <w:rsid w:val="00106602"/>
    <w:rsid w:val="00106951"/>
    <w:rsid w:val="00107CDA"/>
    <w:rsid w:val="001119AB"/>
    <w:rsid w:val="00112746"/>
    <w:rsid w:val="00113937"/>
    <w:rsid w:val="00114076"/>
    <w:rsid w:val="0011467B"/>
    <w:rsid w:val="0011479C"/>
    <w:rsid w:val="00114D7E"/>
    <w:rsid w:val="00116F61"/>
    <w:rsid w:val="0011774C"/>
    <w:rsid w:val="00120C77"/>
    <w:rsid w:val="001216A8"/>
    <w:rsid w:val="00121877"/>
    <w:rsid w:val="00121FED"/>
    <w:rsid w:val="0012515A"/>
    <w:rsid w:val="00125972"/>
    <w:rsid w:val="00126E9F"/>
    <w:rsid w:val="0013090C"/>
    <w:rsid w:val="001340FF"/>
    <w:rsid w:val="001344CC"/>
    <w:rsid w:val="00135128"/>
    <w:rsid w:val="00136BB5"/>
    <w:rsid w:val="00140C1C"/>
    <w:rsid w:val="0014109A"/>
    <w:rsid w:val="00144616"/>
    <w:rsid w:val="00145118"/>
    <w:rsid w:val="0014592C"/>
    <w:rsid w:val="001474AB"/>
    <w:rsid w:val="00147797"/>
    <w:rsid w:val="00151296"/>
    <w:rsid w:val="00151CD8"/>
    <w:rsid w:val="00151D07"/>
    <w:rsid w:val="00153A52"/>
    <w:rsid w:val="00155A1F"/>
    <w:rsid w:val="001574B4"/>
    <w:rsid w:val="00160EC0"/>
    <w:rsid w:val="00163BA1"/>
    <w:rsid w:val="00163F41"/>
    <w:rsid w:val="0016403A"/>
    <w:rsid w:val="001650A0"/>
    <w:rsid w:val="001650F3"/>
    <w:rsid w:val="00165B58"/>
    <w:rsid w:val="001672BE"/>
    <w:rsid w:val="00167824"/>
    <w:rsid w:val="00167AE1"/>
    <w:rsid w:val="00170376"/>
    <w:rsid w:val="00173340"/>
    <w:rsid w:val="00173923"/>
    <w:rsid w:val="00174BC5"/>
    <w:rsid w:val="0017539F"/>
    <w:rsid w:val="00176137"/>
    <w:rsid w:val="00176189"/>
    <w:rsid w:val="00176407"/>
    <w:rsid w:val="00176931"/>
    <w:rsid w:val="0017727E"/>
    <w:rsid w:val="0018067B"/>
    <w:rsid w:val="001813FB"/>
    <w:rsid w:val="00182166"/>
    <w:rsid w:val="00182ADF"/>
    <w:rsid w:val="001852C3"/>
    <w:rsid w:val="001872B3"/>
    <w:rsid w:val="00191F45"/>
    <w:rsid w:val="00193DE3"/>
    <w:rsid w:val="00193ECF"/>
    <w:rsid w:val="00194C59"/>
    <w:rsid w:val="00195DE2"/>
    <w:rsid w:val="001970AC"/>
    <w:rsid w:val="001A0C0F"/>
    <w:rsid w:val="001A2692"/>
    <w:rsid w:val="001A2BE5"/>
    <w:rsid w:val="001A3BE4"/>
    <w:rsid w:val="001A3C09"/>
    <w:rsid w:val="001A3C37"/>
    <w:rsid w:val="001A422A"/>
    <w:rsid w:val="001A5DF5"/>
    <w:rsid w:val="001A76CF"/>
    <w:rsid w:val="001B0059"/>
    <w:rsid w:val="001B0E77"/>
    <w:rsid w:val="001B1016"/>
    <w:rsid w:val="001B3CF4"/>
    <w:rsid w:val="001B45FD"/>
    <w:rsid w:val="001B4CAB"/>
    <w:rsid w:val="001B6E38"/>
    <w:rsid w:val="001B7F72"/>
    <w:rsid w:val="001C2754"/>
    <w:rsid w:val="001C3AF9"/>
    <w:rsid w:val="001C5350"/>
    <w:rsid w:val="001C63FA"/>
    <w:rsid w:val="001C7517"/>
    <w:rsid w:val="001C7621"/>
    <w:rsid w:val="001C7BED"/>
    <w:rsid w:val="001D0B84"/>
    <w:rsid w:val="001D0BB6"/>
    <w:rsid w:val="001D1E97"/>
    <w:rsid w:val="001D595A"/>
    <w:rsid w:val="001D6805"/>
    <w:rsid w:val="001D6C0F"/>
    <w:rsid w:val="001E04E6"/>
    <w:rsid w:val="001E0BFB"/>
    <w:rsid w:val="001E16C3"/>
    <w:rsid w:val="001E1AC7"/>
    <w:rsid w:val="001E1DDF"/>
    <w:rsid w:val="001E23CE"/>
    <w:rsid w:val="001E2E73"/>
    <w:rsid w:val="001E6261"/>
    <w:rsid w:val="001E6C58"/>
    <w:rsid w:val="001E7290"/>
    <w:rsid w:val="001E78C1"/>
    <w:rsid w:val="001E7DF3"/>
    <w:rsid w:val="001F1124"/>
    <w:rsid w:val="001F256F"/>
    <w:rsid w:val="001F2867"/>
    <w:rsid w:val="001F5290"/>
    <w:rsid w:val="001F7A67"/>
    <w:rsid w:val="002002B2"/>
    <w:rsid w:val="00200D00"/>
    <w:rsid w:val="00202253"/>
    <w:rsid w:val="002034F5"/>
    <w:rsid w:val="00204DCA"/>
    <w:rsid w:val="00205A11"/>
    <w:rsid w:val="0020725E"/>
    <w:rsid w:val="002073A4"/>
    <w:rsid w:val="00211052"/>
    <w:rsid w:val="002118F2"/>
    <w:rsid w:val="00215664"/>
    <w:rsid w:val="00216113"/>
    <w:rsid w:val="00220A40"/>
    <w:rsid w:val="0022185E"/>
    <w:rsid w:val="00224EB4"/>
    <w:rsid w:val="00230775"/>
    <w:rsid w:val="0023110D"/>
    <w:rsid w:val="00234E1C"/>
    <w:rsid w:val="002364A3"/>
    <w:rsid w:val="002372EC"/>
    <w:rsid w:val="0023755B"/>
    <w:rsid w:val="002410C6"/>
    <w:rsid w:val="002423B2"/>
    <w:rsid w:val="00243C70"/>
    <w:rsid w:val="00245CF3"/>
    <w:rsid w:val="00246F65"/>
    <w:rsid w:val="00251230"/>
    <w:rsid w:val="00256685"/>
    <w:rsid w:val="00257989"/>
    <w:rsid w:val="002616C5"/>
    <w:rsid w:val="00262D73"/>
    <w:rsid w:val="00264B4E"/>
    <w:rsid w:val="002652B9"/>
    <w:rsid w:val="002654CE"/>
    <w:rsid w:val="00265C46"/>
    <w:rsid w:val="00265E28"/>
    <w:rsid w:val="002725C5"/>
    <w:rsid w:val="00272EF7"/>
    <w:rsid w:val="0027453C"/>
    <w:rsid w:val="002763D3"/>
    <w:rsid w:val="0027643E"/>
    <w:rsid w:val="00276618"/>
    <w:rsid w:val="002804CC"/>
    <w:rsid w:val="0028284E"/>
    <w:rsid w:val="00282A5F"/>
    <w:rsid w:val="00282B2D"/>
    <w:rsid w:val="002852C2"/>
    <w:rsid w:val="00292D3B"/>
    <w:rsid w:val="00292F40"/>
    <w:rsid w:val="00295CFE"/>
    <w:rsid w:val="002A01BE"/>
    <w:rsid w:val="002A03F6"/>
    <w:rsid w:val="002A13EF"/>
    <w:rsid w:val="002A1D93"/>
    <w:rsid w:val="002A2572"/>
    <w:rsid w:val="002A33BF"/>
    <w:rsid w:val="002A5934"/>
    <w:rsid w:val="002A5FE2"/>
    <w:rsid w:val="002A63BC"/>
    <w:rsid w:val="002A6F0E"/>
    <w:rsid w:val="002B04B5"/>
    <w:rsid w:val="002B1188"/>
    <w:rsid w:val="002B1BEB"/>
    <w:rsid w:val="002B29F8"/>
    <w:rsid w:val="002B3553"/>
    <w:rsid w:val="002B4A84"/>
    <w:rsid w:val="002B5A0D"/>
    <w:rsid w:val="002B6AAB"/>
    <w:rsid w:val="002B7205"/>
    <w:rsid w:val="002C0B3B"/>
    <w:rsid w:val="002C13AF"/>
    <w:rsid w:val="002C1DF6"/>
    <w:rsid w:val="002C35DB"/>
    <w:rsid w:val="002C3A6D"/>
    <w:rsid w:val="002C46FD"/>
    <w:rsid w:val="002C5250"/>
    <w:rsid w:val="002C74E9"/>
    <w:rsid w:val="002D09CA"/>
    <w:rsid w:val="002D17E9"/>
    <w:rsid w:val="002D1BA4"/>
    <w:rsid w:val="002D38E3"/>
    <w:rsid w:val="002D3F3E"/>
    <w:rsid w:val="002D6C9F"/>
    <w:rsid w:val="002D7650"/>
    <w:rsid w:val="002E0FAD"/>
    <w:rsid w:val="002E29F2"/>
    <w:rsid w:val="002E3FE8"/>
    <w:rsid w:val="002E4E55"/>
    <w:rsid w:val="002E5D4C"/>
    <w:rsid w:val="002E643F"/>
    <w:rsid w:val="002E7870"/>
    <w:rsid w:val="002E7CDE"/>
    <w:rsid w:val="002F0386"/>
    <w:rsid w:val="002F2D3C"/>
    <w:rsid w:val="002F3409"/>
    <w:rsid w:val="002F4AA6"/>
    <w:rsid w:val="002F5E7C"/>
    <w:rsid w:val="002F6570"/>
    <w:rsid w:val="002F6A87"/>
    <w:rsid w:val="002F7F7D"/>
    <w:rsid w:val="00300679"/>
    <w:rsid w:val="00301089"/>
    <w:rsid w:val="00301BFA"/>
    <w:rsid w:val="00302746"/>
    <w:rsid w:val="00302829"/>
    <w:rsid w:val="00303261"/>
    <w:rsid w:val="00303332"/>
    <w:rsid w:val="00303A16"/>
    <w:rsid w:val="00305FD9"/>
    <w:rsid w:val="003072DE"/>
    <w:rsid w:val="00310369"/>
    <w:rsid w:val="00316CF4"/>
    <w:rsid w:val="003173C9"/>
    <w:rsid w:val="0032054D"/>
    <w:rsid w:val="00321170"/>
    <w:rsid w:val="003215D5"/>
    <w:rsid w:val="00321D50"/>
    <w:rsid w:val="00323181"/>
    <w:rsid w:val="003244CB"/>
    <w:rsid w:val="00326FA1"/>
    <w:rsid w:val="00327DBF"/>
    <w:rsid w:val="00333742"/>
    <w:rsid w:val="00333FDE"/>
    <w:rsid w:val="00334619"/>
    <w:rsid w:val="00335811"/>
    <w:rsid w:val="00335CFE"/>
    <w:rsid w:val="0034062A"/>
    <w:rsid w:val="00340A28"/>
    <w:rsid w:val="0034353E"/>
    <w:rsid w:val="003447F6"/>
    <w:rsid w:val="00344998"/>
    <w:rsid w:val="00345379"/>
    <w:rsid w:val="00345816"/>
    <w:rsid w:val="00347978"/>
    <w:rsid w:val="00352AB1"/>
    <w:rsid w:val="00354BF6"/>
    <w:rsid w:val="00356525"/>
    <w:rsid w:val="003621AB"/>
    <w:rsid w:val="003640E5"/>
    <w:rsid w:val="0036499C"/>
    <w:rsid w:val="00364BB2"/>
    <w:rsid w:val="00364DE9"/>
    <w:rsid w:val="003657C9"/>
    <w:rsid w:val="0037122F"/>
    <w:rsid w:val="00372FE5"/>
    <w:rsid w:val="003753A4"/>
    <w:rsid w:val="0037697B"/>
    <w:rsid w:val="003772BF"/>
    <w:rsid w:val="003825DE"/>
    <w:rsid w:val="003828D4"/>
    <w:rsid w:val="00382D26"/>
    <w:rsid w:val="00383EA0"/>
    <w:rsid w:val="003851D2"/>
    <w:rsid w:val="003855DB"/>
    <w:rsid w:val="003859D0"/>
    <w:rsid w:val="00386D3F"/>
    <w:rsid w:val="00387726"/>
    <w:rsid w:val="00387A4A"/>
    <w:rsid w:val="00392E13"/>
    <w:rsid w:val="00393EDA"/>
    <w:rsid w:val="003952B9"/>
    <w:rsid w:val="00396510"/>
    <w:rsid w:val="00396FE3"/>
    <w:rsid w:val="003A1D64"/>
    <w:rsid w:val="003A1F38"/>
    <w:rsid w:val="003A30F2"/>
    <w:rsid w:val="003A36BB"/>
    <w:rsid w:val="003B4784"/>
    <w:rsid w:val="003B51CD"/>
    <w:rsid w:val="003B76B8"/>
    <w:rsid w:val="003B7DCB"/>
    <w:rsid w:val="003C01EC"/>
    <w:rsid w:val="003C34EC"/>
    <w:rsid w:val="003D2A92"/>
    <w:rsid w:val="003D30B9"/>
    <w:rsid w:val="003D3DC6"/>
    <w:rsid w:val="003D5C59"/>
    <w:rsid w:val="003D683C"/>
    <w:rsid w:val="003D7B9E"/>
    <w:rsid w:val="003E0011"/>
    <w:rsid w:val="003E0DCC"/>
    <w:rsid w:val="003E1278"/>
    <w:rsid w:val="003E1EC5"/>
    <w:rsid w:val="003E292B"/>
    <w:rsid w:val="003E31BA"/>
    <w:rsid w:val="003E5B20"/>
    <w:rsid w:val="003E7B6B"/>
    <w:rsid w:val="003F2CC2"/>
    <w:rsid w:val="003F31F2"/>
    <w:rsid w:val="003F3A00"/>
    <w:rsid w:val="003F3AB4"/>
    <w:rsid w:val="003F3BBE"/>
    <w:rsid w:val="003F3C42"/>
    <w:rsid w:val="003F4149"/>
    <w:rsid w:val="003F4501"/>
    <w:rsid w:val="003F7623"/>
    <w:rsid w:val="003F7CD0"/>
    <w:rsid w:val="00400F6C"/>
    <w:rsid w:val="004014BB"/>
    <w:rsid w:val="00401B70"/>
    <w:rsid w:val="00401E9A"/>
    <w:rsid w:val="00402097"/>
    <w:rsid w:val="0040268C"/>
    <w:rsid w:val="00402E39"/>
    <w:rsid w:val="004039E5"/>
    <w:rsid w:val="00404867"/>
    <w:rsid w:val="004063F1"/>
    <w:rsid w:val="004079E4"/>
    <w:rsid w:val="00407BC8"/>
    <w:rsid w:val="0041075A"/>
    <w:rsid w:val="00411FBE"/>
    <w:rsid w:val="00412E1C"/>
    <w:rsid w:val="0041693E"/>
    <w:rsid w:val="0041743B"/>
    <w:rsid w:val="004237A6"/>
    <w:rsid w:val="00424FCC"/>
    <w:rsid w:val="0042527A"/>
    <w:rsid w:val="0042530D"/>
    <w:rsid w:val="00426C2C"/>
    <w:rsid w:val="00430BB2"/>
    <w:rsid w:val="00431FDD"/>
    <w:rsid w:val="004330D7"/>
    <w:rsid w:val="004357C0"/>
    <w:rsid w:val="00435ED0"/>
    <w:rsid w:val="00435EDE"/>
    <w:rsid w:val="0043661F"/>
    <w:rsid w:val="00437C48"/>
    <w:rsid w:val="00443166"/>
    <w:rsid w:val="00443C1F"/>
    <w:rsid w:val="0044402B"/>
    <w:rsid w:val="00444DA7"/>
    <w:rsid w:val="0044592E"/>
    <w:rsid w:val="004479ED"/>
    <w:rsid w:val="00450650"/>
    <w:rsid w:val="00450C88"/>
    <w:rsid w:val="00450F14"/>
    <w:rsid w:val="00453734"/>
    <w:rsid w:val="004555A0"/>
    <w:rsid w:val="00455852"/>
    <w:rsid w:val="004561B8"/>
    <w:rsid w:val="00456BAA"/>
    <w:rsid w:val="004604EB"/>
    <w:rsid w:val="004608CC"/>
    <w:rsid w:val="00461A2B"/>
    <w:rsid w:val="00462624"/>
    <w:rsid w:val="0046275D"/>
    <w:rsid w:val="004708F4"/>
    <w:rsid w:val="004708F8"/>
    <w:rsid w:val="00471AF6"/>
    <w:rsid w:val="0047210C"/>
    <w:rsid w:val="004730BC"/>
    <w:rsid w:val="00473BF8"/>
    <w:rsid w:val="004767A7"/>
    <w:rsid w:val="0048264D"/>
    <w:rsid w:val="004845D9"/>
    <w:rsid w:val="00485E13"/>
    <w:rsid w:val="00485E41"/>
    <w:rsid w:val="004860D5"/>
    <w:rsid w:val="004868FA"/>
    <w:rsid w:val="00486BC5"/>
    <w:rsid w:val="00487149"/>
    <w:rsid w:val="004905F8"/>
    <w:rsid w:val="00492622"/>
    <w:rsid w:val="00492F96"/>
    <w:rsid w:val="00495509"/>
    <w:rsid w:val="00496983"/>
    <w:rsid w:val="00496A7E"/>
    <w:rsid w:val="00496EE6"/>
    <w:rsid w:val="00497134"/>
    <w:rsid w:val="004973A9"/>
    <w:rsid w:val="004A2083"/>
    <w:rsid w:val="004A2379"/>
    <w:rsid w:val="004A348B"/>
    <w:rsid w:val="004A480C"/>
    <w:rsid w:val="004A693B"/>
    <w:rsid w:val="004A7182"/>
    <w:rsid w:val="004A7516"/>
    <w:rsid w:val="004A7CAA"/>
    <w:rsid w:val="004A7FD8"/>
    <w:rsid w:val="004B10CB"/>
    <w:rsid w:val="004B213E"/>
    <w:rsid w:val="004B2367"/>
    <w:rsid w:val="004B3AA9"/>
    <w:rsid w:val="004B3ACF"/>
    <w:rsid w:val="004B5E0D"/>
    <w:rsid w:val="004B629B"/>
    <w:rsid w:val="004B798E"/>
    <w:rsid w:val="004C0A60"/>
    <w:rsid w:val="004C0BB7"/>
    <w:rsid w:val="004C0DEA"/>
    <w:rsid w:val="004C147B"/>
    <w:rsid w:val="004C3B9E"/>
    <w:rsid w:val="004C3DD4"/>
    <w:rsid w:val="004C50CF"/>
    <w:rsid w:val="004D1A21"/>
    <w:rsid w:val="004D3238"/>
    <w:rsid w:val="004D32B0"/>
    <w:rsid w:val="004D5679"/>
    <w:rsid w:val="004D6212"/>
    <w:rsid w:val="004E0C55"/>
    <w:rsid w:val="004E2059"/>
    <w:rsid w:val="004E293C"/>
    <w:rsid w:val="004E4A5D"/>
    <w:rsid w:val="004E4E46"/>
    <w:rsid w:val="004E54CC"/>
    <w:rsid w:val="004E5B0E"/>
    <w:rsid w:val="004E7EA3"/>
    <w:rsid w:val="004F200B"/>
    <w:rsid w:val="004F2390"/>
    <w:rsid w:val="004F2C7D"/>
    <w:rsid w:val="004F2FDD"/>
    <w:rsid w:val="004F39EE"/>
    <w:rsid w:val="004F3C82"/>
    <w:rsid w:val="004F48F2"/>
    <w:rsid w:val="004F5CA9"/>
    <w:rsid w:val="005010A2"/>
    <w:rsid w:val="00501BD1"/>
    <w:rsid w:val="00502381"/>
    <w:rsid w:val="005060D1"/>
    <w:rsid w:val="00506577"/>
    <w:rsid w:val="00510256"/>
    <w:rsid w:val="005113F9"/>
    <w:rsid w:val="00514D64"/>
    <w:rsid w:val="0051540A"/>
    <w:rsid w:val="005154B9"/>
    <w:rsid w:val="00517C2B"/>
    <w:rsid w:val="0052098C"/>
    <w:rsid w:val="00522B80"/>
    <w:rsid w:val="00522C55"/>
    <w:rsid w:val="005230B1"/>
    <w:rsid w:val="00524E46"/>
    <w:rsid w:val="00524EF3"/>
    <w:rsid w:val="005252CA"/>
    <w:rsid w:val="0052542E"/>
    <w:rsid w:val="00526E2C"/>
    <w:rsid w:val="00526F85"/>
    <w:rsid w:val="005305E3"/>
    <w:rsid w:val="0053387D"/>
    <w:rsid w:val="005366E4"/>
    <w:rsid w:val="00537A89"/>
    <w:rsid w:val="00537F03"/>
    <w:rsid w:val="00540242"/>
    <w:rsid w:val="00540A85"/>
    <w:rsid w:val="00541015"/>
    <w:rsid w:val="005417E9"/>
    <w:rsid w:val="00543EF6"/>
    <w:rsid w:val="00545DF6"/>
    <w:rsid w:val="005468C4"/>
    <w:rsid w:val="00546A4D"/>
    <w:rsid w:val="00546A7E"/>
    <w:rsid w:val="00546EC7"/>
    <w:rsid w:val="00546F17"/>
    <w:rsid w:val="00547085"/>
    <w:rsid w:val="00547389"/>
    <w:rsid w:val="00553E5D"/>
    <w:rsid w:val="00554959"/>
    <w:rsid w:val="00555339"/>
    <w:rsid w:val="00556793"/>
    <w:rsid w:val="00557601"/>
    <w:rsid w:val="00560D94"/>
    <w:rsid w:val="0056195E"/>
    <w:rsid w:val="00562780"/>
    <w:rsid w:val="00563984"/>
    <w:rsid w:val="00564CBD"/>
    <w:rsid w:val="00565DFA"/>
    <w:rsid w:val="00566435"/>
    <w:rsid w:val="0056751F"/>
    <w:rsid w:val="005675C1"/>
    <w:rsid w:val="00572251"/>
    <w:rsid w:val="005723BF"/>
    <w:rsid w:val="005739C7"/>
    <w:rsid w:val="00575444"/>
    <w:rsid w:val="005764D1"/>
    <w:rsid w:val="0057681F"/>
    <w:rsid w:val="00580551"/>
    <w:rsid w:val="005827AF"/>
    <w:rsid w:val="00582820"/>
    <w:rsid w:val="0058543E"/>
    <w:rsid w:val="005861C4"/>
    <w:rsid w:val="00586E7A"/>
    <w:rsid w:val="00587F32"/>
    <w:rsid w:val="00590181"/>
    <w:rsid w:val="00592A38"/>
    <w:rsid w:val="005935AE"/>
    <w:rsid w:val="00594821"/>
    <w:rsid w:val="00597026"/>
    <w:rsid w:val="00597374"/>
    <w:rsid w:val="00597B64"/>
    <w:rsid w:val="00597D91"/>
    <w:rsid w:val="00597DE0"/>
    <w:rsid w:val="005A1104"/>
    <w:rsid w:val="005A3D67"/>
    <w:rsid w:val="005A3DFC"/>
    <w:rsid w:val="005A3EEA"/>
    <w:rsid w:val="005A6D7C"/>
    <w:rsid w:val="005A70E2"/>
    <w:rsid w:val="005A72AE"/>
    <w:rsid w:val="005A749D"/>
    <w:rsid w:val="005B1807"/>
    <w:rsid w:val="005B20A5"/>
    <w:rsid w:val="005B3CEF"/>
    <w:rsid w:val="005B4D72"/>
    <w:rsid w:val="005B4DF1"/>
    <w:rsid w:val="005B59EE"/>
    <w:rsid w:val="005C0086"/>
    <w:rsid w:val="005C0923"/>
    <w:rsid w:val="005C1420"/>
    <w:rsid w:val="005C1D9E"/>
    <w:rsid w:val="005C1F76"/>
    <w:rsid w:val="005C24F8"/>
    <w:rsid w:val="005C4C24"/>
    <w:rsid w:val="005C4C54"/>
    <w:rsid w:val="005C5878"/>
    <w:rsid w:val="005C5CDC"/>
    <w:rsid w:val="005C62A4"/>
    <w:rsid w:val="005C732A"/>
    <w:rsid w:val="005C767D"/>
    <w:rsid w:val="005D2099"/>
    <w:rsid w:val="005D26A2"/>
    <w:rsid w:val="005D7851"/>
    <w:rsid w:val="005E11BB"/>
    <w:rsid w:val="005E2F39"/>
    <w:rsid w:val="005E4796"/>
    <w:rsid w:val="005E62DC"/>
    <w:rsid w:val="005F034C"/>
    <w:rsid w:val="005F2F98"/>
    <w:rsid w:val="00601022"/>
    <w:rsid w:val="00601E10"/>
    <w:rsid w:val="00602587"/>
    <w:rsid w:val="0060703A"/>
    <w:rsid w:val="006072FF"/>
    <w:rsid w:val="00607FD1"/>
    <w:rsid w:val="0061151F"/>
    <w:rsid w:val="00611C2E"/>
    <w:rsid w:val="00612591"/>
    <w:rsid w:val="0061511A"/>
    <w:rsid w:val="0061717F"/>
    <w:rsid w:val="00617248"/>
    <w:rsid w:val="0061753A"/>
    <w:rsid w:val="006207F9"/>
    <w:rsid w:val="00620A30"/>
    <w:rsid w:val="006220E1"/>
    <w:rsid w:val="006226ED"/>
    <w:rsid w:val="00622B75"/>
    <w:rsid w:val="00624966"/>
    <w:rsid w:val="006258D4"/>
    <w:rsid w:val="006267F1"/>
    <w:rsid w:val="00627CFE"/>
    <w:rsid w:val="00627FA4"/>
    <w:rsid w:val="0063243A"/>
    <w:rsid w:val="00632C58"/>
    <w:rsid w:val="006340D1"/>
    <w:rsid w:val="0063567C"/>
    <w:rsid w:val="00637261"/>
    <w:rsid w:val="00637A34"/>
    <w:rsid w:val="006458BA"/>
    <w:rsid w:val="00645FE1"/>
    <w:rsid w:val="00646F56"/>
    <w:rsid w:val="0064731F"/>
    <w:rsid w:val="006502CF"/>
    <w:rsid w:val="006507A9"/>
    <w:rsid w:val="0065153A"/>
    <w:rsid w:val="00653881"/>
    <w:rsid w:val="00662625"/>
    <w:rsid w:val="006627ED"/>
    <w:rsid w:val="00662EAC"/>
    <w:rsid w:val="006653CE"/>
    <w:rsid w:val="006706B6"/>
    <w:rsid w:val="006708E9"/>
    <w:rsid w:val="00671035"/>
    <w:rsid w:val="0067345E"/>
    <w:rsid w:val="0067415B"/>
    <w:rsid w:val="00675D32"/>
    <w:rsid w:val="00676D46"/>
    <w:rsid w:val="0067705E"/>
    <w:rsid w:val="0067737B"/>
    <w:rsid w:val="006776C5"/>
    <w:rsid w:val="00680436"/>
    <w:rsid w:val="006830DD"/>
    <w:rsid w:val="00692460"/>
    <w:rsid w:val="00692658"/>
    <w:rsid w:val="00693CE4"/>
    <w:rsid w:val="00694DCC"/>
    <w:rsid w:val="006A0B92"/>
    <w:rsid w:val="006A3505"/>
    <w:rsid w:val="006A4A97"/>
    <w:rsid w:val="006A4C68"/>
    <w:rsid w:val="006A6DF3"/>
    <w:rsid w:val="006A7BE0"/>
    <w:rsid w:val="006B45FA"/>
    <w:rsid w:val="006B49B7"/>
    <w:rsid w:val="006B6F9C"/>
    <w:rsid w:val="006C183A"/>
    <w:rsid w:val="006C3B3F"/>
    <w:rsid w:val="006C41C2"/>
    <w:rsid w:val="006C497B"/>
    <w:rsid w:val="006C55D5"/>
    <w:rsid w:val="006C5BE9"/>
    <w:rsid w:val="006C66E9"/>
    <w:rsid w:val="006C77EE"/>
    <w:rsid w:val="006C7AFD"/>
    <w:rsid w:val="006D0CD8"/>
    <w:rsid w:val="006D1D53"/>
    <w:rsid w:val="006D3FC0"/>
    <w:rsid w:val="006D4721"/>
    <w:rsid w:val="006D487B"/>
    <w:rsid w:val="006D4A3B"/>
    <w:rsid w:val="006D6F11"/>
    <w:rsid w:val="006E11E1"/>
    <w:rsid w:val="006E17EB"/>
    <w:rsid w:val="006E2495"/>
    <w:rsid w:val="006E2B0F"/>
    <w:rsid w:val="006E5888"/>
    <w:rsid w:val="006E6067"/>
    <w:rsid w:val="006E6664"/>
    <w:rsid w:val="006E71F2"/>
    <w:rsid w:val="006F39E4"/>
    <w:rsid w:val="006F3B46"/>
    <w:rsid w:val="006F4844"/>
    <w:rsid w:val="006F78DA"/>
    <w:rsid w:val="00700A13"/>
    <w:rsid w:val="007024E8"/>
    <w:rsid w:val="00703242"/>
    <w:rsid w:val="00704FB2"/>
    <w:rsid w:val="0070537F"/>
    <w:rsid w:val="00706D3A"/>
    <w:rsid w:val="00706D9C"/>
    <w:rsid w:val="00706F70"/>
    <w:rsid w:val="00710275"/>
    <w:rsid w:val="007130DF"/>
    <w:rsid w:val="00714554"/>
    <w:rsid w:val="00714595"/>
    <w:rsid w:val="00714986"/>
    <w:rsid w:val="00715996"/>
    <w:rsid w:val="00715F90"/>
    <w:rsid w:val="00716130"/>
    <w:rsid w:val="00722D93"/>
    <w:rsid w:val="0072354E"/>
    <w:rsid w:val="007261D3"/>
    <w:rsid w:val="00731224"/>
    <w:rsid w:val="00733163"/>
    <w:rsid w:val="0073440A"/>
    <w:rsid w:val="007361DC"/>
    <w:rsid w:val="00736509"/>
    <w:rsid w:val="00740269"/>
    <w:rsid w:val="00740D6F"/>
    <w:rsid w:val="00741372"/>
    <w:rsid w:val="00741BDE"/>
    <w:rsid w:val="007428D9"/>
    <w:rsid w:val="00742945"/>
    <w:rsid w:val="0074545A"/>
    <w:rsid w:val="007474E0"/>
    <w:rsid w:val="0074789B"/>
    <w:rsid w:val="00752524"/>
    <w:rsid w:val="007562B5"/>
    <w:rsid w:val="0075757D"/>
    <w:rsid w:val="007576FC"/>
    <w:rsid w:val="00760A37"/>
    <w:rsid w:val="00760D5D"/>
    <w:rsid w:val="00761330"/>
    <w:rsid w:val="00761400"/>
    <w:rsid w:val="007638FE"/>
    <w:rsid w:val="00765197"/>
    <w:rsid w:val="0076643A"/>
    <w:rsid w:val="00770ACC"/>
    <w:rsid w:val="00771612"/>
    <w:rsid w:val="00771896"/>
    <w:rsid w:val="00773BD5"/>
    <w:rsid w:val="007750D1"/>
    <w:rsid w:val="007753C2"/>
    <w:rsid w:val="00776284"/>
    <w:rsid w:val="00776E79"/>
    <w:rsid w:val="007776B9"/>
    <w:rsid w:val="00780C39"/>
    <w:rsid w:val="00781035"/>
    <w:rsid w:val="007828D9"/>
    <w:rsid w:val="00782D3E"/>
    <w:rsid w:val="007838E3"/>
    <w:rsid w:val="00783F83"/>
    <w:rsid w:val="007861EB"/>
    <w:rsid w:val="00787F76"/>
    <w:rsid w:val="007904F3"/>
    <w:rsid w:val="00792D9C"/>
    <w:rsid w:val="00794016"/>
    <w:rsid w:val="00794BEE"/>
    <w:rsid w:val="00795233"/>
    <w:rsid w:val="00795981"/>
    <w:rsid w:val="00795BF2"/>
    <w:rsid w:val="00797252"/>
    <w:rsid w:val="0079764D"/>
    <w:rsid w:val="007976C3"/>
    <w:rsid w:val="00797717"/>
    <w:rsid w:val="00797E11"/>
    <w:rsid w:val="007A0C69"/>
    <w:rsid w:val="007A1818"/>
    <w:rsid w:val="007A1E2F"/>
    <w:rsid w:val="007A37FA"/>
    <w:rsid w:val="007A68BB"/>
    <w:rsid w:val="007B18F2"/>
    <w:rsid w:val="007B4B5C"/>
    <w:rsid w:val="007B518B"/>
    <w:rsid w:val="007B5B93"/>
    <w:rsid w:val="007B607E"/>
    <w:rsid w:val="007B659D"/>
    <w:rsid w:val="007C0ACF"/>
    <w:rsid w:val="007C20FE"/>
    <w:rsid w:val="007C2D09"/>
    <w:rsid w:val="007C4230"/>
    <w:rsid w:val="007C4A8D"/>
    <w:rsid w:val="007C5DC9"/>
    <w:rsid w:val="007C728E"/>
    <w:rsid w:val="007C7C43"/>
    <w:rsid w:val="007D0410"/>
    <w:rsid w:val="007D1692"/>
    <w:rsid w:val="007D1FDA"/>
    <w:rsid w:val="007D3448"/>
    <w:rsid w:val="007D3D3B"/>
    <w:rsid w:val="007D4AD9"/>
    <w:rsid w:val="007D5E65"/>
    <w:rsid w:val="007E1B97"/>
    <w:rsid w:val="007E2FD3"/>
    <w:rsid w:val="007E50B4"/>
    <w:rsid w:val="007E74F7"/>
    <w:rsid w:val="007F0CE7"/>
    <w:rsid w:val="007F1B48"/>
    <w:rsid w:val="007F25E1"/>
    <w:rsid w:val="007F4037"/>
    <w:rsid w:val="007F5AC3"/>
    <w:rsid w:val="007F6C82"/>
    <w:rsid w:val="007F6DDA"/>
    <w:rsid w:val="007F7534"/>
    <w:rsid w:val="007F7944"/>
    <w:rsid w:val="00802250"/>
    <w:rsid w:val="00802B90"/>
    <w:rsid w:val="00805E9C"/>
    <w:rsid w:val="0080753E"/>
    <w:rsid w:val="008105CC"/>
    <w:rsid w:val="00811495"/>
    <w:rsid w:val="008170A9"/>
    <w:rsid w:val="00817CE2"/>
    <w:rsid w:val="00821F86"/>
    <w:rsid w:val="00822057"/>
    <w:rsid w:val="00822616"/>
    <w:rsid w:val="008228E1"/>
    <w:rsid w:val="008242B6"/>
    <w:rsid w:val="008247D3"/>
    <w:rsid w:val="00824C0E"/>
    <w:rsid w:val="00827FCF"/>
    <w:rsid w:val="008315BD"/>
    <w:rsid w:val="008329B6"/>
    <w:rsid w:val="00833954"/>
    <w:rsid w:val="00834296"/>
    <w:rsid w:val="008349A7"/>
    <w:rsid w:val="00835B9F"/>
    <w:rsid w:val="00835E57"/>
    <w:rsid w:val="0083703A"/>
    <w:rsid w:val="008405F7"/>
    <w:rsid w:val="008409A1"/>
    <w:rsid w:val="00840A04"/>
    <w:rsid w:val="00841D5F"/>
    <w:rsid w:val="008423D0"/>
    <w:rsid w:val="008424AC"/>
    <w:rsid w:val="00843508"/>
    <w:rsid w:val="00845113"/>
    <w:rsid w:val="00845940"/>
    <w:rsid w:val="00846925"/>
    <w:rsid w:val="00847E7D"/>
    <w:rsid w:val="00851B2B"/>
    <w:rsid w:val="00851F44"/>
    <w:rsid w:val="00853962"/>
    <w:rsid w:val="008545AF"/>
    <w:rsid w:val="00855A4B"/>
    <w:rsid w:val="008567CE"/>
    <w:rsid w:val="00860F09"/>
    <w:rsid w:val="00862130"/>
    <w:rsid w:val="00862CB3"/>
    <w:rsid w:val="008634D1"/>
    <w:rsid w:val="0086443D"/>
    <w:rsid w:val="008647B9"/>
    <w:rsid w:val="008658A8"/>
    <w:rsid w:val="0086612A"/>
    <w:rsid w:val="00866CE1"/>
    <w:rsid w:val="00870B23"/>
    <w:rsid w:val="008716E7"/>
    <w:rsid w:val="00872A67"/>
    <w:rsid w:val="00872F3F"/>
    <w:rsid w:val="008743E2"/>
    <w:rsid w:val="008746BE"/>
    <w:rsid w:val="0087479A"/>
    <w:rsid w:val="008763C5"/>
    <w:rsid w:val="0087697A"/>
    <w:rsid w:val="0087705F"/>
    <w:rsid w:val="00877BB2"/>
    <w:rsid w:val="008808F9"/>
    <w:rsid w:val="00880B7D"/>
    <w:rsid w:val="0088149C"/>
    <w:rsid w:val="00881B02"/>
    <w:rsid w:val="00882342"/>
    <w:rsid w:val="00883BAC"/>
    <w:rsid w:val="00885442"/>
    <w:rsid w:val="00887E19"/>
    <w:rsid w:val="00887EC6"/>
    <w:rsid w:val="00890348"/>
    <w:rsid w:val="00890C98"/>
    <w:rsid w:val="00890D14"/>
    <w:rsid w:val="00892370"/>
    <w:rsid w:val="008931D4"/>
    <w:rsid w:val="00894A14"/>
    <w:rsid w:val="00895EFD"/>
    <w:rsid w:val="00897B04"/>
    <w:rsid w:val="00897DC5"/>
    <w:rsid w:val="008A3CDB"/>
    <w:rsid w:val="008A4354"/>
    <w:rsid w:val="008A7BDE"/>
    <w:rsid w:val="008B1BC6"/>
    <w:rsid w:val="008B2FCF"/>
    <w:rsid w:val="008B32B4"/>
    <w:rsid w:val="008B40CA"/>
    <w:rsid w:val="008B424E"/>
    <w:rsid w:val="008B4A15"/>
    <w:rsid w:val="008B726F"/>
    <w:rsid w:val="008B7F15"/>
    <w:rsid w:val="008C1FB7"/>
    <w:rsid w:val="008C209E"/>
    <w:rsid w:val="008C22D7"/>
    <w:rsid w:val="008C3D43"/>
    <w:rsid w:val="008C41A3"/>
    <w:rsid w:val="008C4DCE"/>
    <w:rsid w:val="008C5383"/>
    <w:rsid w:val="008C555A"/>
    <w:rsid w:val="008C733B"/>
    <w:rsid w:val="008D01EF"/>
    <w:rsid w:val="008D2838"/>
    <w:rsid w:val="008D2926"/>
    <w:rsid w:val="008D6532"/>
    <w:rsid w:val="008D694B"/>
    <w:rsid w:val="008D7E39"/>
    <w:rsid w:val="008E038B"/>
    <w:rsid w:val="008E3989"/>
    <w:rsid w:val="008F2BA6"/>
    <w:rsid w:val="008F445D"/>
    <w:rsid w:val="008F472B"/>
    <w:rsid w:val="008F56ED"/>
    <w:rsid w:val="008F5F72"/>
    <w:rsid w:val="008F6332"/>
    <w:rsid w:val="008F672B"/>
    <w:rsid w:val="0090207A"/>
    <w:rsid w:val="009024B1"/>
    <w:rsid w:val="009031ED"/>
    <w:rsid w:val="00904E3B"/>
    <w:rsid w:val="00905439"/>
    <w:rsid w:val="00906646"/>
    <w:rsid w:val="0091321C"/>
    <w:rsid w:val="00914C40"/>
    <w:rsid w:val="009170B7"/>
    <w:rsid w:val="00917E57"/>
    <w:rsid w:val="009206B9"/>
    <w:rsid w:val="00920B43"/>
    <w:rsid w:val="009235DC"/>
    <w:rsid w:val="00924104"/>
    <w:rsid w:val="009248A9"/>
    <w:rsid w:val="00924AC0"/>
    <w:rsid w:val="00925CB3"/>
    <w:rsid w:val="009274B6"/>
    <w:rsid w:val="00932C24"/>
    <w:rsid w:val="009334B8"/>
    <w:rsid w:val="00933C96"/>
    <w:rsid w:val="00935198"/>
    <w:rsid w:val="00935E20"/>
    <w:rsid w:val="00936B19"/>
    <w:rsid w:val="00936F90"/>
    <w:rsid w:val="00937B27"/>
    <w:rsid w:val="0094035F"/>
    <w:rsid w:val="00941133"/>
    <w:rsid w:val="00941F89"/>
    <w:rsid w:val="009420CF"/>
    <w:rsid w:val="0094489A"/>
    <w:rsid w:val="00945044"/>
    <w:rsid w:val="00947689"/>
    <w:rsid w:val="00950912"/>
    <w:rsid w:val="00951264"/>
    <w:rsid w:val="00956BDF"/>
    <w:rsid w:val="00960DA7"/>
    <w:rsid w:val="009623A7"/>
    <w:rsid w:val="00963663"/>
    <w:rsid w:val="009654F8"/>
    <w:rsid w:val="009665B4"/>
    <w:rsid w:val="00966D0C"/>
    <w:rsid w:val="00967DF7"/>
    <w:rsid w:val="00971602"/>
    <w:rsid w:val="00972027"/>
    <w:rsid w:val="009720F2"/>
    <w:rsid w:val="00975DFD"/>
    <w:rsid w:val="009762D9"/>
    <w:rsid w:val="00977A11"/>
    <w:rsid w:val="009815B3"/>
    <w:rsid w:val="00982032"/>
    <w:rsid w:val="00983CE6"/>
    <w:rsid w:val="0098601D"/>
    <w:rsid w:val="00986466"/>
    <w:rsid w:val="00986D97"/>
    <w:rsid w:val="00991F4D"/>
    <w:rsid w:val="0099597D"/>
    <w:rsid w:val="009A225C"/>
    <w:rsid w:val="009A41D5"/>
    <w:rsid w:val="009A4F89"/>
    <w:rsid w:val="009A5139"/>
    <w:rsid w:val="009A64EC"/>
    <w:rsid w:val="009A7670"/>
    <w:rsid w:val="009A7756"/>
    <w:rsid w:val="009B005D"/>
    <w:rsid w:val="009B1195"/>
    <w:rsid w:val="009B1868"/>
    <w:rsid w:val="009B29BD"/>
    <w:rsid w:val="009B3589"/>
    <w:rsid w:val="009B5834"/>
    <w:rsid w:val="009C1A2D"/>
    <w:rsid w:val="009C1D78"/>
    <w:rsid w:val="009C38B6"/>
    <w:rsid w:val="009C4B72"/>
    <w:rsid w:val="009C52CE"/>
    <w:rsid w:val="009C5AB2"/>
    <w:rsid w:val="009D15F8"/>
    <w:rsid w:val="009D179E"/>
    <w:rsid w:val="009D43CA"/>
    <w:rsid w:val="009D6280"/>
    <w:rsid w:val="009D6F5B"/>
    <w:rsid w:val="009E0204"/>
    <w:rsid w:val="009E0603"/>
    <w:rsid w:val="009E1699"/>
    <w:rsid w:val="009E1F92"/>
    <w:rsid w:val="009E3555"/>
    <w:rsid w:val="009E3B49"/>
    <w:rsid w:val="009E521D"/>
    <w:rsid w:val="009E6F16"/>
    <w:rsid w:val="009E732E"/>
    <w:rsid w:val="009E7768"/>
    <w:rsid w:val="009F08ED"/>
    <w:rsid w:val="009F144C"/>
    <w:rsid w:val="009F1982"/>
    <w:rsid w:val="009F28F9"/>
    <w:rsid w:val="009F41DB"/>
    <w:rsid w:val="009F4B86"/>
    <w:rsid w:val="009F4D10"/>
    <w:rsid w:val="009F7981"/>
    <w:rsid w:val="00A016F3"/>
    <w:rsid w:val="00A03AEB"/>
    <w:rsid w:val="00A04118"/>
    <w:rsid w:val="00A05F6E"/>
    <w:rsid w:val="00A0617D"/>
    <w:rsid w:val="00A068B6"/>
    <w:rsid w:val="00A069C9"/>
    <w:rsid w:val="00A070F3"/>
    <w:rsid w:val="00A07FEF"/>
    <w:rsid w:val="00A10F8D"/>
    <w:rsid w:val="00A11E91"/>
    <w:rsid w:val="00A12201"/>
    <w:rsid w:val="00A13A70"/>
    <w:rsid w:val="00A1504E"/>
    <w:rsid w:val="00A20169"/>
    <w:rsid w:val="00A23D9B"/>
    <w:rsid w:val="00A24134"/>
    <w:rsid w:val="00A251CE"/>
    <w:rsid w:val="00A27029"/>
    <w:rsid w:val="00A31CCA"/>
    <w:rsid w:val="00A32A8B"/>
    <w:rsid w:val="00A33721"/>
    <w:rsid w:val="00A34119"/>
    <w:rsid w:val="00A34A45"/>
    <w:rsid w:val="00A36003"/>
    <w:rsid w:val="00A36FC5"/>
    <w:rsid w:val="00A37B7E"/>
    <w:rsid w:val="00A37EC3"/>
    <w:rsid w:val="00A409A8"/>
    <w:rsid w:val="00A41C31"/>
    <w:rsid w:val="00A460F1"/>
    <w:rsid w:val="00A479C0"/>
    <w:rsid w:val="00A50483"/>
    <w:rsid w:val="00A5053A"/>
    <w:rsid w:val="00A511E6"/>
    <w:rsid w:val="00A51972"/>
    <w:rsid w:val="00A53022"/>
    <w:rsid w:val="00A532B2"/>
    <w:rsid w:val="00A5416F"/>
    <w:rsid w:val="00A54C0A"/>
    <w:rsid w:val="00A54DA7"/>
    <w:rsid w:val="00A567EF"/>
    <w:rsid w:val="00A606AC"/>
    <w:rsid w:val="00A61027"/>
    <w:rsid w:val="00A615E5"/>
    <w:rsid w:val="00A61AC9"/>
    <w:rsid w:val="00A62185"/>
    <w:rsid w:val="00A62D33"/>
    <w:rsid w:val="00A64438"/>
    <w:rsid w:val="00A64AA3"/>
    <w:rsid w:val="00A64B69"/>
    <w:rsid w:val="00A66F71"/>
    <w:rsid w:val="00A70829"/>
    <w:rsid w:val="00A73302"/>
    <w:rsid w:val="00A73EEE"/>
    <w:rsid w:val="00A7487E"/>
    <w:rsid w:val="00A77DF0"/>
    <w:rsid w:val="00A8054B"/>
    <w:rsid w:val="00A82C10"/>
    <w:rsid w:val="00A83F03"/>
    <w:rsid w:val="00A851FE"/>
    <w:rsid w:val="00A85763"/>
    <w:rsid w:val="00A86B82"/>
    <w:rsid w:val="00A876FC"/>
    <w:rsid w:val="00A9007F"/>
    <w:rsid w:val="00A96A6D"/>
    <w:rsid w:val="00A97023"/>
    <w:rsid w:val="00A972AD"/>
    <w:rsid w:val="00AA12E1"/>
    <w:rsid w:val="00AA1678"/>
    <w:rsid w:val="00AA2454"/>
    <w:rsid w:val="00AA303E"/>
    <w:rsid w:val="00AA3B1B"/>
    <w:rsid w:val="00AA5053"/>
    <w:rsid w:val="00AA527C"/>
    <w:rsid w:val="00AA642B"/>
    <w:rsid w:val="00AA67F9"/>
    <w:rsid w:val="00AA6C9E"/>
    <w:rsid w:val="00AA7263"/>
    <w:rsid w:val="00AA7568"/>
    <w:rsid w:val="00AA7F17"/>
    <w:rsid w:val="00AB0254"/>
    <w:rsid w:val="00AB107D"/>
    <w:rsid w:val="00AB1D5A"/>
    <w:rsid w:val="00AB691F"/>
    <w:rsid w:val="00AB77A6"/>
    <w:rsid w:val="00AB7863"/>
    <w:rsid w:val="00AB7D27"/>
    <w:rsid w:val="00AC13FF"/>
    <w:rsid w:val="00AC14F8"/>
    <w:rsid w:val="00AC7D06"/>
    <w:rsid w:val="00AD0A34"/>
    <w:rsid w:val="00AD1BAC"/>
    <w:rsid w:val="00AD2384"/>
    <w:rsid w:val="00AD2C4F"/>
    <w:rsid w:val="00AD32DC"/>
    <w:rsid w:val="00AD41AD"/>
    <w:rsid w:val="00AD613A"/>
    <w:rsid w:val="00AE0E0B"/>
    <w:rsid w:val="00AE17EB"/>
    <w:rsid w:val="00AE3A42"/>
    <w:rsid w:val="00AE427D"/>
    <w:rsid w:val="00AE43B9"/>
    <w:rsid w:val="00AE4BB9"/>
    <w:rsid w:val="00AE57ED"/>
    <w:rsid w:val="00AE63A3"/>
    <w:rsid w:val="00AE6938"/>
    <w:rsid w:val="00AE6F16"/>
    <w:rsid w:val="00AE7626"/>
    <w:rsid w:val="00AE7EB7"/>
    <w:rsid w:val="00AF035A"/>
    <w:rsid w:val="00AF1D72"/>
    <w:rsid w:val="00AF2CE3"/>
    <w:rsid w:val="00AF3A7C"/>
    <w:rsid w:val="00AF4051"/>
    <w:rsid w:val="00AF5456"/>
    <w:rsid w:val="00AF56AB"/>
    <w:rsid w:val="00AF60AC"/>
    <w:rsid w:val="00B00345"/>
    <w:rsid w:val="00B030D5"/>
    <w:rsid w:val="00B04B3D"/>
    <w:rsid w:val="00B05AA3"/>
    <w:rsid w:val="00B06718"/>
    <w:rsid w:val="00B069D0"/>
    <w:rsid w:val="00B06A83"/>
    <w:rsid w:val="00B06C0E"/>
    <w:rsid w:val="00B06C8B"/>
    <w:rsid w:val="00B074FE"/>
    <w:rsid w:val="00B078B0"/>
    <w:rsid w:val="00B078E4"/>
    <w:rsid w:val="00B14381"/>
    <w:rsid w:val="00B162A1"/>
    <w:rsid w:val="00B20DC3"/>
    <w:rsid w:val="00B20F29"/>
    <w:rsid w:val="00B21412"/>
    <w:rsid w:val="00B21CC0"/>
    <w:rsid w:val="00B22DD3"/>
    <w:rsid w:val="00B230D1"/>
    <w:rsid w:val="00B23DC4"/>
    <w:rsid w:val="00B30282"/>
    <w:rsid w:val="00B3135A"/>
    <w:rsid w:val="00B315A4"/>
    <w:rsid w:val="00B31A7B"/>
    <w:rsid w:val="00B32CF1"/>
    <w:rsid w:val="00B36C44"/>
    <w:rsid w:val="00B36C8E"/>
    <w:rsid w:val="00B37E19"/>
    <w:rsid w:val="00B4021F"/>
    <w:rsid w:val="00B40300"/>
    <w:rsid w:val="00B403A2"/>
    <w:rsid w:val="00B403DB"/>
    <w:rsid w:val="00B42327"/>
    <w:rsid w:val="00B431F3"/>
    <w:rsid w:val="00B440B0"/>
    <w:rsid w:val="00B442F4"/>
    <w:rsid w:val="00B44670"/>
    <w:rsid w:val="00B467EE"/>
    <w:rsid w:val="00B47FEC"/>
    <w:rsid w:val="00B50A4D"/>
    <w:rsid w:val="00B50F3F"/>
    <w:rsid w:val="00B53770"/>
    <w:rsid w:val="00B54A7A"/>
    <w:rsid w:val="00B5652C"/>
    <w:rsid w:val="00B57303"/>
    <w:rsid w:val="00B57543"/>
    <w:rsid w:val="00B57890"/>
    <w:rsid w:val="00B578E6"/>
    <w:rsid w:val="00B600E8"/>
    <w:rsid w:val="00B60303"/>
    <w:rsid w:val="00B611B4"/>
    <w:rsid w:val="00B611B5"/>
    <w:rsid w:val="00B62B4F"/>
    <w:rsid w:val="00B64D7D"/>
    <w:rsid w:val="00B66CB2"/>
    <w:rsid w:val="00B67BA2"/>
    <w:rsid w:val="00B71310"/>
    <w:rsid w:val="00B74CEB"/>
    <w:rsid w:val="00B75258"/>
    <w:rsid w:val="00B772A4"/>
    <w:rsid w:val="00B7771A"/>
    <w:rsid w:val="00B83813"/>
    <w:rsid w:val="00B83B9C"/>
    <w:rsid w:val="00B83C01"/>
    <w:rsid w:val="00B84426"/>
    <w:rsid w:val="00B87214"/>
    <w:rsid w:val="00B9000E"/>
    <w:rsid w:val="00B90AC6"/>
    <w:rsid w:val="00B93D9E"/>
    <w:rsid w:val="00B972B6"/>
    <w:rsid w:val="00B97DA4"/>
    <w:rsid w:val="00BA034C"/>
    <w:rsid w:val="00BA195A"/>
    <w:rsid w:val="00BA2A2D"/>
    <w:rsid w:val="00BA2B04"/>
    <w:rsid w:val="00BA32CD"/>
    <w:rsid w:val="00BA45C9"/>
    <w:rsid w:val="00BA5854"/>
    <w:rsid w:val="00BA590C"/>
    <w:rsid w:val="00BA623A"/>
    <w:rsid w:val="00BB0234"/>
    <w:rsid w:val="00BB1468"/>
    <w:rsid w:val="00BB2D90"/>
    <w:rsid w:val="00BB356D"/>
    <w:rsid w:val="00BB3819"/>
    <w:rsid w:val="00BB7327"/>
    <w:rsid w:val="00BB74D2"/>
    <w:rsid w:val="00BC0C63"/>
    <w:rsid w:val="00BC785F"/>
    <w:rsid w:val="00BC7D3F"/>
    <w:rsid w:val="00BD0B41"/>
    <w:rsid w:val="00BD1BFF"/>
    <w:rsid w:val="00BD3A7F"/>
    <w:rsid w:val="00BD3E01"/>
    <w:rsid w:val="00BD4B0D"/>
    <w:rsid w:val="00BD5EA8"/>
    <w:rsid w:val="00BE3093"/>
    <w:rsid w:val="00BE3095"/>
    <w:rsid w:val="00BE3D99"/>
    <w:rsid w:val="00BE6BB0"/>
    <w:rsid w:val="00BE7AAB"/>
    <w:rsid w:val="00BE7CBA"/>
    <w:rsid w:val="00BF05B1"/>
    <w:rsid w:val="00BF070D"/>
    <w:rsid w:val="00BF2861"/>
    <w:rsid w:val="00BF398E"/>
    <w:rsid w:val="00BF44F5"/>
    <w:rsid w:val="00BF5A50"/>
    <w:rsid w:val="00BF7DDC"/>
    <w:rsid w:val="00C00E7F"/>
    <w:rsid w:val="00C0206C"/>
    <w:rsid w:val="00C02E5D"/>
    <w:rsid w:val="00C04FB4"/>
    <w:rsid w:val="00C054C7"/>
    <w:rsid w:val="00C054EA"/>
    <w:rsid w:val="00C06FF2"/>
    <w:rsid w:val="00C10D9F"/>
    <w:rsid w:val="00C113A9"/>
    <w:rsid w:val="00C12910"/>
    <w:rsid w:val="00C14C58"/>
    <w:rsid w:val="00C17568"/>
    <w:rsid w:val="00C2036C"/>
    <w:rsid w:val="00C2045A"/>
    <w:rsid w:val="00C23008"/>
    <w:rsid w:val="00C24FEA"/>
    <w:rsid w:val="00C323F4"/>
    <w:rsid w:val="00C32C62"/>
    <w:rsid w:val="00C33EF0"/>
    <w:rsid w:val="00C35B95"/>
    <w:rsid w:val="00C35C17"/>
    <w:rsid w:val="00C360F5"/>
    <w:rsid w:val="00C40007"/>
    <w:rsid w:val="00C411E5"/>
    <w:rsid w:val="00C42753"/>
    <w:rsid w:val="00C427EC"/>
    <w:rsid w:val="00C429B8"/>
    <w:rsid w:val="00C443A9"/>
    <w:rsid w:val="00C45558"/>
    <w:rsid w:val="00C472D1"/>
    <w:rsid w:val="00C47A07"/>
    <w:rsid w:val="00C47DCA"/>
    <w:rsid w:val="00C47ECF"/>
    <w:rsid w:val="00C53B87"/>
    <w:rsid w:val="00C540D7"/>
    <w:rsid w:val="00C566ED"/>
    <w:rsid w:val="00C57D72"/>
    <w:rsid w:val="00C603B5"/>
    <w:rsid w:val="00C6336D"/>
    <w:rsid w:val="00C6531D"/>
    <w:rsid w:val="00C65440"/>
    <w:rsid w:val="00C668F6"/>
    <w:rsid w:val="00C678B7"/>
    <w:rsid w:val="00C72B5B"/>
    <w:rsid w:val="00C73219"/>
    <w:rsid w:val="00C73AEB"/>
    <w:rsid w:val="00C741C0"/>
    <w:rsid w:val="00C76855"/>
    <w:rsid w:val="00C76C3A"/>
    <w:rsid w:val="00C77162"/>
    <w:rsid w:val="00C80945"/>
    <w:rsid w:val="00C80B32"/>
    <w:rsid w:val="00C80F38"/>
    <w:rsid w:val="00C84F0A"/>
    <w:rsid w:val="00C86E96"/>
    <w:rsid w:val="00C90D28"/>
    <w:rsid w:val="00C96A56"/>
    <w:rsid w:val="00CA03F6"/>
    <w:rsid w:val="00CA223C"/>
    <w:rsid w:val="00CA44F0"/>
    <w:rsid w:val="00CA4612"/>
    <w:rsid w:val="00CA485B"/>
    <w:rsid w:val="00CA4A84"/>
    <w:rsid w:val="00CA62F4"/>
    <w:rsid w:val="00CB1275"/>
    <w:rsid w:val="00CB2C19"/>
    <w:rsid w:val="00CB2E3A"/>
    <w:rsid w:val="00CB4861"/>
    <w:rsid w:val="00CB4F34"/>
    <w:rsid w:val="00CB4FC6"/>
    <w:rsid w:val="00CB5FAF"/>
    <w:rsid w:val="00CB756E"/>
    <w:rsid w:val="00CB771B"/>
    <w:rsid w:val="00CB7BD9"/>
    <w:rsid w:val="00CC0F6E"/>
    <w:rsid w:val="00CC1587"/>
    <w:rsid w:val="00CC190B"/>
    <w:rsid w:val="00CC202C"/>
    <w:rsid w:val="00CC43F2"/>
    <w:rsid w:val="00CD1DD4"/>
    <w:rsid w:val="00CD2CAC"/>
    <w:rsid w:val="00CD58C8"/>
    <w:rsid w:val="00CD58E1"/>
    <w:rsid w:val="00CD5C14"/>
    <w:rsid w:val="00CD6F15"/>
    <w:rsid w:val="00CD726C"/>
    <w:rsid w:val="00CE116A"/>
    <w:rsid w:val="00CE19AD"/>
    <w:rsid w:val="00CE2370"/>
    <w:rsid w:val="00CE31C5"/>
    <w:rsid w:val="00CE3F5C"/>
    <w:rsid w:val="00CE6502"/>
    <w:rsid w:val="00CE69A1"/>
    <w:rsid w:val="00CE73DB"/>
    <w:rsid w:val="00CF021D"/>
    <w:rsid w:val="00CF1EC2"/>
    <w:rsid w:val="00CF559B"/>
    <w:rsid w:val="00CF67EF"/>
    <w:rsid w:val="00D007E0"/>
    <w:rsid w:val="00D00B38"/>
    <w:rsid w:val="00D01BC2"/>
    <w:rsid w:val="00D02551"/>
    <w:rsid w:val="00D03055"/>
    <w:rsid w:val="00D034C2"/>
    <w:rsid w:val="00D0567E"/>
    <w:rsid w:val="00D065D1"/>
    <w:rsid w:val="00D06C37"/>
    <w:rsid w:val="00D12EA9"/>
    <w:rsid w:val="00D13984"/>
    <w:rsid w:val="00D14BE6"/>
    <w:rsid w:val="00D15A6E"/>
    <w:rsid w:val="00D16EF4"/>
    <w:rsid w:val="00D20104"/>
    <w:rsid w:val="00D20DF8"/>
    <w:rsid w:val="00D241F6"/>
    <w:rsid w:val="00D24A88"/>
    <w:rsid w:val="00D265DB"/>
    <w:rsid w:val="00D31754"/>
    <w:rsid w:val="00D3244D"/>
    <w:rsid w:val="00D32834"/>
    <w:rsid w:val="00D344F4"/>
    <w:rsid w:val="00D357E2"/>
    <w:rsid w:val="00D3619B"/>
    <w:rsid w:val="00D37191"/>
    <w:rsid w:val="00D37D42"/>
    <w:rsid w:val="00D37F20"/>
    <w:rsid w:val="00D4003E"/>
    <w:rsid w:val="00D402EC"/>
    <w:rsid w:val="00D421C7"/>
    <w:rsid w:val="00D428C5"/>
    <w:rsid w:val="00D43AA1"/>
    <w:rsid w:val="00D44E27"/>
    <w:rsid w:val="00D466B9"/>
    <w:rsid w:val="00D50793"/>
    <w:rsid w:val="00D51473"/>
    <w:rsid w:val="00D51813"/>
    <w:rsid w:val="00D528D3"/>
    <w:rsid w:val="00D532AD"/>
    <w:rsid w:val="00D53683"/>
    <w:rsid w:val="00D53F84"/>
    <w:rsid w:val="00D55501"/>
    <w:rsid w:val="00D55931"/>
    <w:rsid w:val="00D55CD5"/>
    <w:rsid w:val="00D60663"/>
    <w:rsid w:val="00D60D6E"/>
    <w:rsid w:val="00D63A5E"/>
    <w:rsid w:val="00D64C33"/>
    <w:rsid w:val="00D64D0A"/>
    <w:rsid w:val="00D6531E"/>
    <w:rsid w:val="00D6747C"/>
    <w:rsid w:val="00D703C9"/>
    <w:rsid w:val="00D708D1"/>
    <w:rsid w:val="00D70C11"/>
    <w:rsid w:val="00D72ECB"/>
    <w:rsid w:val="00D73616"/>
    <w:rsid w:val="00D74BC3"/>
    <w:rsid w:val="00D75873"/>
    <w:rsid w:val="00D76776"/>
    <w:rsid w:val="00D76C55"/>
    <w:rsid w:val="00D80282"/>
    <w:rsid w:val="00D81AF4"/>
    <w:rsid w:val="00D84292"/>
    <w:rsid w:val="00D845B3"/>
    <w:rsid w:val="00D85ED1"/>
    <w:rsid w:val="00D8793B"/>
    <w:rsid w:val="00D90960"/>
    <w:rsid w:val="00D917AD"/>
    <w:rsid w:val="00D92271"/>
    <w:rsid w:val="00D93ACA"/>
    <w:rsid w:val="00D9401C"/>
    <w:rsid w:val="00D95340"/>
    <w:rsid w:val="00D9790C"/>
    <w:rsid w:val="00DA0EE9"/>
    <w:rsid w:val="00DA4731"/>
    <w:rsid w:val="00DA4DEE"/>
    <w:rsid w:val="00DA5A3D"/>
    <w:rsid w:val="00DA5B5E"/>
    <w:rsid w:val="00DA68DA"/>
    <w:rsid w:val="00DA7339"/>
    <w:rsid w:val="00DA74CB"/>
    <w:rsid w:val="00DB030F"/>
    <w:rsid w:val="00DB1464"/>
    <w:rsid w:val="00DB14B2"/>
    <w:rsid w:val="00DB1AB8"/>
    <w:rsid w:val="00DB3709"/>
    <w:rsid w:val="00DB37C7"/>
    <w:rsid w:val="00DB447E"/>
    <w:rsid w:val="00DC02AA"/>
    <w:rsid w:val="00DC0992"/>
    <w:rsid w:val="00DC0DC8"/>
    <w:rsid w:val="00DC1702"/>
    <w:rsid w:val="00DC2255"/>
    <w:rsid w:val="00DC2597"/>
    <w:rsid w:val="00DC26A9"/>
    <w:rsid w:val="00DC5E1A"/>
    <w:rsid w:val="00DC693B"/>
    <w:rsid w:val="00DC7E6D"/>
    <w:rsid w:val="00DD101A"/>
    <w:rsid w:val="00DD15C5"/>
    <w:rsid w:val="00DD26AA"/>
    <w:rsid w:val="00DD34AD"/>
    <w:rsid w:val="00DD34D6"/>
    <w:rsid w:val="00DD35F9"/>
    <w:rsid w:val="00DD4495"/>
    <w:rsid w:val="00DD5BB4"/>
    <w:rsid w:val="00DD662D"/>
    <w:rsid w:val="00DD699F"/>
    <w:rsid w:val="00DE2135"/>
    <w:rsid w:val="00DE2530"/>
    <w:rsid w:val="00DE262E"/>
    <w:rsid w:val="00DE4C23"/>
    <w:rsid w:val="00DE4E30"/>
    <w:rsid w:val="00DE7180"/>
    <w:rsid w:val="00DF1218"/>
    <w:rsid w:val="00DF1C58"/>
    <w:rsid w:val="00DF37F9"/>
    <w:rsid w:val="00DF3981"/>
    <w:rsid w:val="00DF4166"/>
    <w:rsid w:val="00DF72D5"/>
    <w:rsid w:val="00DF77A3"/>
    <w:rsid w:val="00DF783F"/>
    <w:rsid w:val="00DF7C93"/>
    <w:rsid w:val="00E01A9D"/>
    <w:rsid w:val="00E06EFC"/>
    <w:rsid w:val="00E076AE"/>
    <w:rsid w:val="00E1033D"/>
    <w:rsid w:val="00E12001"/>
    <w:rsid w:val="00E13CBF"/>
    <w:rsid w:val="00E14387"/>
    <w:rsid w:val="00E17CAC"/>
    <w:rsid w:val="00E20D50"/>
    <w:rsid w:val="00E2158E"/>
    <w:rsid w:val="00E24594"/>
    <w:rsid w:val="00E25184"/>
    <w:rsid w:val="00E251C4"/>
    <w:rsid w:val="00E25AA9"/>
    <w:rsid w:val="00E261F7"/>
    <w:rsid w:val="00E27757"/>
    <w:rsid w:val="00E30841"/>
    <w:rsid w:val="00E30956"/>
    <w:rsid w:val="00E31159"/>
    <w:rsid w:val="00E31531"/>
    <w:rsid w:val="00E32D1F"/>
    <w:rsid w:val="00E33032"/>
    <w:rsid w:val="00E37A0C"/>
    <w:rsid w:val="00E40242"/>
    <w:rsid w:val="00E4095D"/>
    <w:rsid w:val="00E4118C"/>
    <w:rsid w:val="00E50D21"/>
    <w:rsid w:val="00E50E67"/>
    <w:rsid w:val="00E579D2"/>
    <w:rsid w:val="00E57D0E"/>
    <w:rsid w:val="00E61B85"/>
    <w:rsid w:val="00E62DBE"/>
    <w:rsid w:val="00E630C9"/>
    <w:rsid w:val="00E635CA"/>
    <w:rsid w:val="00E64D04"/>
    <w:rsid w:val="00E656C6"/>
    <w:rsid w:val="00E667BC"/>
    <w:rsid w:val="00E66A60"/>
    <w:rsid w:val="00E67A68"/>
    <w:rsid w:val="00E70C3E"/>
    <w:rsid w:val="00E70DA8"/>
    <w:rsid w:val="00E7240A"/>
    <w:rsid w:val="00E724D8"/>
    <w:rsid w:val="00E72AE5"/>
    <w:rsid w:val="00E80193"/>
    <w:rsid w:val="00E80CDA"/>
    <w:rsid w:val="00E8221D"/>
    <w:rsid w:val="00E82F96"/>
    <w:rsid w:val="00E83FEB"/>
    <w:rsid w:val="00E85D1D"/>
    <w:rsid w:val="00E87858"/>
    <w:rsid w:val="00E9022B"/>
    <w:rsid w:val="00E907FF"/>
    <w:rsid w:val="00E90ED2"/>
    <w:rsid w:val="00E90F51"/>
    <w:rsid w:val="00E937F1"/>
    <w:rsid w:val="00E93F23"/>
    <w:rsid w:val="00E9467E"/>
    <w:rsid w:val="00E94792"/>
    <w:rsid w:val="00E952A8"/>
    <w:rsid w:val="00E95B09"/>
    <w:rsid w:val="00E95F72"/>
    <w:rsid w:val="00E9646A"/>
    <w:rsid w:val="00E96927"/>
    <w:rsid w:val="00E97612"/>
    <w:rsid w:val="00EA0701"/>
    <w:rsid w:val="00EA0878"/>
    <w:rsid w:val="00EA3A0F"/>
    <w:rsid w:val="00EA4FF4"/>
    <w:rsid w:val="00EA62D5"/>
    <w:rsid w:val="00EA6890"/>
    <w:rsid w:val="00EA6E6E"/>
    <w:rsid w:val="00EA7390"/>
    <w:rsid w:val="00EB10CA"/>
    <w:rsid w:val="00EB2148"/>
    <w:rsid w:val="00EB2246"/>
    <w:rsid w:val="00EB2D13"/>
    <w:rsid w:val="00EB2E75"/>
    <w:rsid w:val="00EB2FA0"/>
    <w:rsid w:val="00EB3304"/>
    <w:rsid w:val="00EB4EB8"/>
    <w:rsid w:val="00EC012E"/>
    <w:rsid w:val="00EC07C6"/>
    <w:rsid w:val="00EC0C55"/>
    <w:rsid w:val="00EC12EE"/>
    <w:rsid w:val="00EC1550"/>
    <w:rsid w:val="00EC1AB7"/>
    <w:rsid w:val="00EC650E"/>
    <w:rsid w:val="00EC6890"/>
    <w:rsid w:val="00EC74E8"/>
    <w:rsid w:val="00EC7700"/>
    <w:rsid w:val="00EC77DA"/>
    <w:rsid w:val="00EC7EE7"/>
    <w:rsid w:val="00ED02DD"/>
    <w:rsid w:val="00ED0DFB"/>
    <w:rsid w:val="00ED0E3A"/>
    <w:rsid w:val="00ED187E"/>
    <w:rsid w:val="00ED1F8E"/>
    <w:rsid w:val="00ED1FC3"/>
    <w:rsid w:val="00ED234D"/>
    <w:rsid w:val="00ED2DEC"/>
    <w:rsid w:val="00ED3212"/>
    <w:rsid w:val="00ED3A2A"/>
    <w:rsid w:val="00ED6612"/>
    <w:rsid w:val="00EE00E0"/>
    <w:rsid w:val="00EE094F"/>
    <w:rsid w:val="00EE0B53"/>
    <w:rsid w:val="00EE18D6"/>
    <w:rsid w:val="00EE2015"/>
    <w:rsid w:val="00EE2B7D"/>
    <w:rsid w:val="00EE5375"/>
    <w:rsid w:val="00EF0215"/>
    <w:rsid w:val="00EF0B7D"/>
    <w:rsid w:val="00EF176E"/>
    <w:rsid w:val="00EF1B29"/>
    <w:rsid w:val="00EF2BF4"/>
    <w:rsid w:val="00EF2C5C"/>
    <w:rsid w:val="00EF4210"/>
    <w:rsid w:val="00EF4746"/>
    <w:rsid w:val="00EF5C98"/>
    <w:rsid w:val="00EF71F8"/>
    <w:rsid w:val="00EF74BD"/>
    <w:rsid w:val="00F023D7"/>
    <w:rsid w:val="00F02507"/>
    <w:rsid w:val="00F037A6"/>
    <w:rsid w:val="00F0402B"/>
    <w:rsid w:val="00F04F3F"/>
    <w:rsid w:val="00F055A0"/>
    <w:rsid w:val="00F07550"/>
    <w:rsid w:val="00F11589"/>
    <w:rsid w:val="00F1286D"/>
    <w:rsid w:val="00F13B60"/>
    <w:rsid w:val="00F13E8F"/>
    <w:rsid w:val="00F13F30"/>
    <w:rsid w:val="00F221DF"/>
    <w:rsid w:val="00F24339"/>
    <w:rsid w:val="00F26330"/>
    <w:rsid w:val="00F26CF8"/>
    <w:rsid w:val="00F26ECB"/>
    <w:rsid w:val="00F30B2A"/>
    <w:rsid w:val="00F31141"/>
    <w:rsid w:val="00F3173A"/>
    <w:rsid w:val="00F31FE0"/>
    <w:rsid w:val="00F336B2"/>
    <w:rsid w:val="00F33FD4"/>
    <w:rsid w:val="00F36B08"/>
    <w:rsid w:val="00F37F60"/>
    <w:rsid w:val="00F40305"/>
    <w:rsid w:val="00F40775"/>
    <w:rsid w:val="00F408B1"/>
    <w:rsid w:val="00F41A63"/>
    <w:rsid w:val="00F42331"/>
    <w:rsid w:val="00F425D9"/>
    <w:rsid w:val="00F42787"/>
    <w:rsid w:val="00F4347E"/>
    <w:rsid w:val="00F436E2"/>
    <w:rsid w:val="00F43FE8"/>
    <w:rsid w:val="00F440CC"/>
    <w:rsid w:val="00F45888"/>
    <w:rsid w:val="00F46E34"/>
    <w:rsid w:val="00F47CD8"/>
    <w:rsid w:val="00F5038F"/>
    <w:rsid w:val="00F52C88"/>
    <w:rsid w:val="00F53952"/>
    <w:rsid w:val="00F53955"/>
    <w:rsid w:val="00F54523"/>
    <w:rsid w:val="00F574D4"/>
    <w:rsid w:val="00F57E52"/>
    <w:rsid w:val="00F60C98"/>
    <w:rsid w:val="00F645B0"/>
    <w:rsid w:val="00F65C12"/>
    <w:rsid w:val="00F70EAA"/>
    <w:rsid w:val="00F712E1"/>
    <w:rsid w:val="00F7145C"/>
    <w:rsid w:val="00F71560"/>
    <w:rsid w:val="00F71B98"/>
    <w:rsid w:val="00F71D2B"/>
    <w:rsid w:val="00F72094"/>
    <w:rsid w:val="00F75B6E"/>
    <w:rsid w:val="00F75EEC"/>
    <w:rsid w:val="00F77275"/>
    <w:rsid w:val="00F819E1"/>
    <w:rsid w:val="00F81F29"/>
    <w:rsid w:val="00F8235E"/>
    <w:rsid w:val="00F8357E"/>
    <w:rsid w:val="00F8435C"/>
    <w:rsid w:val="00F84C6C"/>
    <w:rsid w:val="00F9045E"/>
    <w:rsid w:val="00F90D3B"/>
    <w:rsid w:val="00F91E4F"/>
    <w:rsid w:val="00F95938"/>
    <w:rsid w:val="00F95A0D"/>
    <w:rsid w:val="00F96469"/>
    <w:rsid w:val="00F96BDF"/>
    <w:rsid w:val="00F96C0B"/>
    <w:rsid w:val="00F96FCE"/>
    <w:rsid w:val="00FA360E"/>
    <w:rsid w:val="00FA7F5E"/>
    <w:rsid w:val="00FB1C47"/>
    <w:rsid w:val="00FB2302"/>
    <w:rsid w:val="00FB2BB5"/>
    <w:rsid w:val="00FB2F93"/>
    <w:rsid w:val="00FB3071"/>
    <w:rsid w:val="00FB3C01"/>
    <w:rsid w:val="00FB3D8D"/>
    <w:rsid w:val="00FB5264"/>
    <w:rsid w:val="00FB6861"/>
    <w:rsid w:val="00FB686D"/>
    <w:rsid w:val="00FB77E5"/>
    <w:rsid w:val="00FB7D02"/>
    <w:rsid w:val="00FC0193"/>
    <w:rsid w:val="00FC14EA"/>
    <w:rsid w:val="00FC3E9F"/>
    <w:rsid w:val="00FC5CD5"/>
    <w:rsid w:val="00FC6427"/>
    <w:rsid w:val="00FC76CC"/>
    <w:rsid w:val="00FD1E38"/>
    <w:rsid w:val="00FD232E"/>
    <w:rsid w:val="00FD294A"/>
    <w:rsid w:val="00FD2E43"/>
    <w:rsid w:val="00FD5310"/>
    <w:rsid w:val="00FD574A"/>
    <w:rsid w:val="00FD6BA3"/>
    <w:rsid w:val="00FD6FB3"/>
    <w:rsid w:val="00FD7F36"/>
    <w:rsid w:val="00FE0BE8"/>
    <w:rsid w:val="00FE2278"/>
    <w:rsid w:val="00FE2297"/>
    <w:rsid w:val="00FE2814"/>
    <w:rsid w:val="00FE2B3D"/>
    <w:rsid w:val="00FE3474"/>
    <w:rsid w:val="00FE3B18"/>
    <w:rsid w:val="00FE4265"/>
    <w:rsid w:val="00FE4312"/>
    <w:rsid w:val="00FE4F58"/>
    <w:rsid w:val="00FE5E22"/>
    <w:rsid w:val="00FE5FF9"/>
    <w:rsid w:val="00FE660E"/>
    <w:rsid w:val="00FE6B4C"/>
    <w:rsid w:val="00FE7C2B"/>
    <w:rsid w:val="00FF0769"/>
    <w:rsid w:val="00FF23A3"/>
    <w:rsid w:val="00FF2F2C"/>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973386A-9B9F-461E-ABCD-8F2FA7B1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54CC"/>
  </w:style>
  <w:style w:type="paragraph" w:styleId="Heading1">
    <w:name w:val="heading 1"/>
    <w:basedOn w:val="Normal"/>
    <w:link w:val="Heading1Char"/>
    <w:uiPriority w:val="1"/>
    <w:qFormat/>
    <w:rsid w:val="00653881"/>
    <w:pPr>
      <w:keepNext/>
      <w:widowControl/>
      <w:numPr>
        <w:numId w:val="11"/>
      </w:numPr>
      <w:autoSpaceDE/>
      <w:autoSpaceDN/>
      <w:spacing w:before="600" w:after="120"/>
      <w:outlineLvl w:val="0"/>
    </w:pPr>
    <w:rPr>
      <w:rFonts w:ascii="Arial Bold" w:hAnsi="Arial Bold"/>
      <w:b/>
      <w:bCs/>
      <w:caps/>
      <w:color w:val="004259"/>
      <w:sz w:val="28"/>
      <w:szCs w:val="26"/>
    </w:rPr>
  </w:style>
  <w:style w:type="paragraph" w:styleId="Heading2">
    <w:name w:val="heading 2"/>
    <w:basedOn w:val="Normal"/>
    <w:uiPriority w:val="1"/>
    <w:qFormat/>
    <w:rsid w:val="006B49B7"/>
    <w:pPr>
      <w:keepNext/>
      <w:spacing w:before="360"/>
      <w:ind w:left="567" w:hanging="567"/>
      <w:outlineLvl w:val="1"/>
    </w:pPr>
    <w:rPr>
      <w:rFonts w:eastAsia="SimSun"/>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b/>
      <w:bCs/>
    </w:rPr>
  </w:style>
  <w:style w:type="paragraph" w:styleId="Heading4">
    <w:name w:val="heading 4"/>
    <w:basedOn w:val="Heading3"/>
    <w:qFormat/>
    <w:rsid w:val="004561B8"/>
    <w:pPr>
      <w:outlineLvl w:val="3"/>
    </w:pPr>
    <w:rPr>
      <w:i/>
      <w:iC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bCs/>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lang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eastAsia="SimSun"/>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eastAsia="SimSun"/>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noProof/>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Times New Roman" w:eastAsia="Times New Roman" w:hAnsi="Times New Roman" w:cs="Times New Roman"/>
      <w:noProof/>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2"/>
      <w:szCs w:val="22"/>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Times New Roman" w:eastAsiaTheme="minorEastAsia" w:hAnsi="Times New Roman"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ind w:left="1002" w:hanging="576"/>
    </w:pPr>
    <w:rPr>
      <w:lang w:val="en-AU"/>
    </w:rPr>
  </w:style>
  <w:style w:type="paragraph" w:customStyle="1" w:styleId="Bodynumbered2">
    <w:name w:val="Body numbered 2"/>
    <w:basedOn w:val="Bodynumbered1"/>
    <w:qFormat/>
    <w:rsid w:val="006B49B7"/>
    <w:pPr>
      <w:numPr>
        <w:ilvl w:val="0"/>
        <w:numId w:val="19"/>
      </w:numPr>
      <w:spacing w:before="120"/>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4CC"/>
    <w:rPr>
      <w:rFonts w:ascii="Arial" w:hAnsi="Arial"/>
      <w:color w:val="1F497D" w:themeColor="text2"/>
      <w:sz w:val="20"/>
      <w:u w:val="single"/>
    </w:rPr>
  </w:style>
  <w:style w:type="character" w:customStyle="1" w:styleId="UnresolvedMention1">
    <w:name w:val="Unresolved Mention1"/>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224EB4"/>
    <w:pPr>
      <w:widowControl/>
      <w:numPr>
        <w:numId w:val="47"/>
      </w:numPr>
      <w:tabs>
        <w:tab w:val="clear" w:pos="284"/>
        <w:tab w:val="num" w:pos="176"/>
      </w:tabs>
      <w:autoSpaceDE/>
      <w:autoSpaceDN/>
      <w:spacing w:before="40" w:after="40"/>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8F6332"/>
    <w:pPr>
      <w:spacing w:before="60" w:after="60"/>
      <w:ind w:left="28"/>
    </w:pPr>
    <w:rPr>
      <w:color w:val="000000"/>
      <w:sz w:val="18"/>
      <w:lang w:eastAsia="en-AU"/>
    </w:rPr>
  </w:style>
  <w:style w:type="character" w:customStyle="1" w:styleId="Style9Char">
    <w:name w:val="Style9 Char"/>
    <w:basedOn w:val="Style4Char"/>
    <w:link w:val="Style9"/>
    <w:uiPriority w:val="1"/>
    <w:rsid w:val="00B93D9E"/>
    <w:rPr>
      <w:rFonts w:ascii="Times New Roman" w:eastAsia="Times New Roman" w:hAnsi="Times New Roman" w:cs="Times New Roman"/>
      <w:noProof/>
    </w:rPr>
  </w:style>
  <w:style w:type="character" w:customStyle="1" w:styleId="TableBodyTextCharChar">
    <w:name w:val="Table Body Text Char Char"/>
    <w:link w:val="TableBodyText"/>
    <w:rsid w:val="008F6332"/>
    <w:rPr>
      <w:rFonts w:eastAsiaTheme="minorEastAsia"/>
      <w:bCs/>
      <w:color w:val="000000"/>
      <w:sz w:val="18"/>
      <w:lang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eastAsia="Times New Roman"/>
      <w:b/>
      <w:bCs/>
      <w:lang w:val="en-AU"/>
    </w:rPr>
  </w:style>
  <w:style w:type="table" w:customStyle="1" w:styleId="SimpleTable4">
    <w:name w:val="Simple Table4"/>
    <w:basedOn w:val="TableNormal"/>
    <w:next w:val="TableGrid"/>
    <w:uiPriority w:val="39"/>
    <w:rsid w:val="004845D9"/>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eastAsia="SimSun"/>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53881"/>
    <w:rPr>
      <w:rFonts w:ascii="Arial Bold" w:hAnsi="Arial Bold"/>
      <w:b/>
      <w:bCs/>
      <w:caps/>
      <w:color w:val="004259"/>
      <w:sz w:val="28"/>
      <w:szCs w:val="26"/>
    </w:rPr>
  </w:style>
  <w:style w:type="paragraph" w:customStyle="1" w:styleId="Style13">
    <w:name w:val="Style13"/>
    <w:basedOn w:val="ListParagraph"/>
    <w:link w:val="Style13Char"/>
    <w:qFormat/>
    <w:rsid w:val="00950912"/>
    <w:pPr>
      <w:widowControl/>
      <w:autoSpaceDE/>
      <w:autoSpaceDN/>
      <w:spacing w:before="180"/>
      <w:ind w:left="1002" w:hanging="576"/>
    </w:pPr>
    <w:rPr>
      <w:rFonts w:eastAsiaTheme="minorEastAsia"/>
      <w:lang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eastAsia="SimSun"/>
      <w:b/>
      <w:bCs/>
      <w:shd w:val="clear" w:color="auto" w:fill="000000"/>
      <w:lang w:val="en-AU" w:eastAsia="en-AU"/>
    </w:rPr>
  </w:style>
  <w:style w:type="paragraph" w:customStyle="1" w:styleId="TableFigureLeft">
    <w:name w:val="Table / Figure Left"/>
    <w:rsid w:val="00224EB4"/>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eastAsia="Times New Roman"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eastAsia="Times New Roman"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eastAsia="Times New Roman" w:cs="Times New Roman"/>
      <w:b/>
      <w:i/>
      <w:lang w:val="en-AU" w:eastAsia="en-AU"/>
    </w:rPr>
  </w:style>
  <w:style w:type="paragraph" w:customStyle="1" w:styleId="TableFigureCenter">
    <w:name w:val="Table / Figure Center"/>
    <w:rsid w:val="00224EB4"/>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eastAsia="Times New Roman" w:cs="Times New Roman"/>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224EB4"/>
    <w:pPr>
      <w:keepLines/>
      <w:widowControl/>
      <w:spacing w:before="240" w:after="120"/>
      <w:ind w:left="567"/>
    </w:pPr>
    <w:rPr>
      <w:rFonts w:eastAsia="Times New Roman" w:cs="Times New Roman"/>
      <w:bCs/>
      <w:szCs w:val="22"/>
      <w:lang w:val="en-AU"/>
    </w:rPr>
  </w:style>
  <w:style w:type="character" w:customStyle="1" w:styleId="BodyTextIndentChar">
    <w:name w:val="Body Text Indent Char"/>
    <w:basedOn w:val="DefaultParagraphFont"/>
    <w:link w:val="BodyTextIndent"/>
    <w:uiPriority w:val="99"/>
    <w:rsid w:val="00224EB4"/>
    <w:rPr>
      <w:rFonts w:eastAsia="Times New Roman" w:cs="Times New Roman"/>
      <w:bCs/>
      <w:szCs w:val="22"/>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4E54CC"/>
    <w:pPr>
      <w:keepNext/>
      <w:spacing w:before="120" w:after="120"/>
      <w:ind w:left="1701" w:hanging="1134"/>
    </w:pPr>
    <w:rPr>
      <w:rFonts w:eastAsia="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eastAsia="Calibri"/>
      <w:kern w:val="20"/>
      <w:sz w:val="18"/>
    </w:rPr>
  </w:style>
  <w:style w:type="paragraph" w:customStyle="1" w:styleId="Style15">
    <w:name w:val="Style15"/>
    <w:basedOn w:val="Normal"/>
    <w:link w:val="Style15Char"/>
    <w:qFormat/>
    <w:rsid w:val="00C741C0"/>
    <w:pPr>
      <w:widowControl/>
      <w:autoSpaceDE/>
      <w:autoSpaceDN/>
      <w:spacing w:after="160"/>
      <w:ind w:left="1002" w:hanging="576"/>
    </w:pPr>
    <w:rPr>
      <w:rFonts w:eastAsiaTheme="minorEastAsia" w:cstheme="minorBidi"/>
      <w:lang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eastAsiaTheme="minorEastAsia" w:cstheme="minorBidi"/>
      <w:sz w:val="18"/>
      <w:szCs w:val="18"/>
      <w:lang w:eastAsia="ja-JP"/>
    </w:rPr>
  </w:style>
  <w:style w:type="character" w:customStyle="1" w:styleId="Style12Char">
    <w:name w:val="Style12 Char"/>
    <w:basedOn w:val="DefaultParagraphFont"/>
    <w:link w:val="Style12"/>
    <w:rsid w:val="00170376"/>
    <w:rPr>
      <w:rFonts w:eastAsiaTheme="minorEastAsia" w:cstheme="minorBidi"/>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szCs w:val="22"/>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b/>
      <w:color w:val="004259"/>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224EB4"/>
    <w:pPr>
      <w:widowControl/>
      <w:numPr>
        <w:numId w:val="48"/>
      </w:numPr>
      <w:autoSpaceDE/>
      <w:autoSpaceDN/>
      <w:spacing w:before="120"/>
      <w:contextualSpacing/>
    </w:pPr>
    <w:rPr>
      <w:rFonts w:eastAsiaTheme="minorEastAsia"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13B60"/>
    <w:pPr>
      <w:widowControl/>
      <w:autoSpaceDE/>
      <w:autoSpaceDN/>
    </w:pPr>
    <w:rPr>
      <w:rFonts w:eastAsia="Times New Roman" w:cs="Times New Roman"/>
      <w:bCs/>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table" w:customStyle="1" w:styleId="TMTable2">
    <w:name w:val="TM Table2"/>
    <w:basedOn w:val="TableNormal"/>
    <w:uiPriority w:val="99"/>
    <w:rsid w:val="00881B02"/>
    <w:pPr>
      <w:widowControl/>
      <w:autoSpaceDE/>
      <w:autoSpaceDN/>
    </w:pPr>
    <w:rPr>
      <w:rFonts w:eastAsia="Times New Roman" w:cs="Times New Roman"/>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MainText">
    <w:name w:val="Main Text"/>
    <w:basedOn w:val="Normal"/>
    <w:link w:val="MainTextChar"/>
    <w:rsid w:val="00DB447E"/>
    <w:pPr>
      <w:widowControl/>
      <w:autoSpaceDE/>
      <w:autoSpaceDN/>
      <w:spacing w:before="240"/>
    </w:pPr>
    <w:rPr>
      <w:rFonts w:ascii="Times New Roman" w:eastAsia="Times New Roman" w:hAnsi="Times New Roman" w:cs="Times New Roman"/>
      <w:sz w:val="22"/>
      <w:lang w:val="en-AU"/>
    </w:rPr>
  </w:style>
  <w:style w:type="character" w:customStyle="1" w:styleId="MainTextChar">
    <w:name w:val="Main Text Char"/>
    <w:basedOn w:val="DefaultParagraphFont"/>
    <w:link w:val="MainText"/>
    <w:rsid w:val="00DB447E"/>
    <w:rPr>
      <w:rFonts w:ascii="Times New Roman" w:eastAsia="Times New Roman" w:hAnsi="Times New Roman" w:cs="Times New Roman"/>
      <w:sz w:val="22"/>
      <w:lang w:val="en-AU"/>
    </w:rPr>
  </w:style>
  <w:style w:type="table" w:customStyle="1" w:styleId="SimpleTable41">
    <w:name w:val="Simple Table41"/>
    <w:basedOn w:val="TableNormal"/>
    <w:next w:val="TableGrid"/>
    <w:uiPriority w:val="39"/>
    <w:rsid w:val="00662625"/>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0C4E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110D"/>
    <w:rPr>
      <w:color w:val="800080" w:themeColor="followedHyperlink"/>
      <w:u w:val="single"/>
    </w:rPr>
  </w:style>
  <w:style w:type="table" w:styleId="PlainTable4">
    <w:name w:val="Plain Table 4"/>
    <w:basedOn w:val="TableNormal"/>
    <w:uiPriority w:val="44"/>
    <w:rsid w:val="008F5F7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ullet1">
    <w:name w:val="Table Bullet 1"/>
    <w:basedOn w:val="TableBullet2"/>
    <w:uiPriority w:val="1"/>
    <w:qFormat/>
    <w:rsid w:val="004E54CC"/>
    <w:pPr>
      <w:numPr>
        <w:numId w:val="50"/>
      </w:numPr>
      <w:ind w:left="318" w:hanging="284"/>
    </w:pPr>
    <w:rPr>
      <w:rFonts w:eastAsia="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ads-waterways.transport.nsw.gov.au/business-industry/partners-suppliers/documents/tenders-contracts/listofapprovedbridgecomponentssystems.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ads-waterways.transport.nsw.gov.au/business-industry/partners-suppliers/documents/standard-drawings/b0600.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CE553-5206-41D8-AA41-E2108072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3212</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21479</CharactersWithSpaces>
  <SharedDoc>false</SharedDoc>
  <HLinks>
    <vt:vector size="156" baseType="variant">
      <vt:variant>
        <vt:i4>7995438</vt:i4>
      </vt:variant>
      <vt:variant>
        <vt:i4>171</vt:i4>
      </vt:variant>
      <vt:variant>
        <vt:i4>0</vt:i4>
      </vt:variant>
      <vt:variant>
        <vt:i4>5</vt:i4>
      </vt:variant>
      <vt:variant>
        <vt:lpwstr>https://roads-waterways.transport.nsw.gov.au/business-industry/partners-suppliers/documents/tenders-contracts/listofapprovedbridgecomponentssystems.pdf</vt:lpwstr>
      </vt:variant>
      <vt:variant>
        <vt:lpwstr/>
      </vt:variant>
      <vt:variant>
        <vt:i4>2752633</vt:i4>
      </vt:variant>
      <vt:variant>
        <vt:i4>147</vt:i4>
      </vt:variant>
      <vt:variant>
        <vt:i4>0</vt:i4>
      </vt:variant>
      <vt:variant>
        <vt:i4>5</vt:i4>
      </vt:variant>
      <vt:variant>
        <vt:lpwstr>https://roads-waterways.transport.nsw.gov.au/business-industry/partners-suppliers/documents/standard-drawings/b0600.pdf</vt:lpwstr>
      </vt:variant>
      <vt:variant>
        <vt:lpwstr/>
      </vt:variant>
      <vt:variant>
        <vt:i4>1179710</vt:i4>
      </vt:variant>
      <vt:variant>
        <vt:i4>140</vt:i4>
      </vt:variant>
      <vt:variant>
        <vt:i4>0</vt:i4>
      </vt:variant>
      <vt:variant>
        <vt:i4>5</vt:i4>
      </vt:variant>
      <vt:variant>
        <vt:lpwstr/>
      </vt:variant>
      <vt:variant>
        <vt:lpwstr>_Toc116397003</vt:lpwstr>
      </vt:variant>
      <vt:variant>
        <vt:i4>1179710</vt:i4>
      </vt:variant>
      <vt:variant>
        <vt:i4>134</vt:i4>
      </vt:variant>
      <vt:variant>
        <vt:i4>0</vt:i4>
      </vt:variant>
      <vt:variant>
        <vt:i4>5</vt:i4>
      </vt:variant>
      <vt:variant>
        <vt:lpwstr/>
      </vt:variant>
      <vt:variant>
        <vt:lpwstr>_Toc116397002</vt:lpwstr>
      </vt:variant>
      <vt:variant>
        <vt:i4>1179710</vt:i4>
      </vt:variant>
      <vt:variant>
        <vt:i4>128</vt:i4>
      </vt:variant>
      <vt:variant>
        <vt:i4>0</vt:i4>
      </vt:variant>
      <vt:variant>
        <vt:i4>5</vt:i4>
      </vt:variant>
      <vt:variant>
        <vt:lpwstr/>
      </vt:variant>
      <vt:variant>
        <vt:lpwstr>_Toc116397001</vt:lpwstr>
      </vt:variant>
      <vt:variant>
        <vt:i4>1179710</vt:i4>
      </vt:variant>
      <vt:variant>
        <vt:i4>122</vt:i4>
      </vt:variant>
      <vt:variant>
        <vt:i4>0</vt:i4>
      </vt:variant>
      <vt:variant>
        <vt:i4>5</vt:i4>
      </vt:variant>
      <vt:variant>
        <vt:lpwstr/>
      </vt:variant>
      <vt:variant>
        <vt:lpwstr>_Toc116397000</vt:lpwstr>
      </vt:variant>
      <vt:variant>
        <vt:i4>1703991</vt:i4>
      </vt:variant>
      <vt:variant>
        <vt:i4>116</vt:i4>
      </vt:variant>
      <vt:variant>
        <vt:i4>0</vt:i4>
      </vt:variant>
      <vt:variant>
        <vt:i4>5</vt:i4>
      </vt:variant>
      <vt:variant>
        <vt:lpwstr/>
      </vt:variant>
      <vt:variant>
        <vt:lpwstr>_Toc116396999</vt:lpwstr>
      </vt:variant>
      <vt:variant>
        <vt:i4>1703991</vt:i4>
      </vt:variant>
      <vt:variant>
        <vt:i4>110</vt:i4>
      </vt:variant>
      <vt:variant>
        <vt:i4>0</vt:i4>
      </vt:variant>
      <vt:variant>
        <vt:i4>5</vt:i4>
      </vt:variant>
      <vt:variant>
        <vt:lpwstr/>
      </vt:variant>
      <vt:variant>
        <vt:lpwstr>_Toc116396998</vt:lpwstr>
      </vt:variant>
      <vt:variant>
        <vt:i4>1703991</vt:i4>
      </vt:variant>
      <vt:variant>
        <vt:i4>104</vt:i4>
      </vt:variant>
      <vt:variant>
        <vt:i4>0</vt:i4>
      </vt:variant>
      <vt:variant>
        <vt:i4>5</vt:i4>
      </vt:variant>
      <vt:variant>
        <vt:lpwstr/>
      </vt:variant>
      <vt:variant>
        <vt:lpwstr>_Toc116396997</vt:lpwstr>
      </vt:variant>
      <vt:variant>
        <vt:i4>1703991</vt:i4>
      </vt:variant>
      <vt:variant>
        <vt:i4>98</vt:i4>
      </vt:variant>
      <vt:variant>
        <vt:i4>0</vt:i4>
      </vt:variant>
      <vt:variant>
        <vt:i4>5</vt:i4>
      </vt:variant>
      <vt:variant>
        <vt:lpwstr/>
      </vt:variant>
      <vt:variant>
        <vt:lpwstr>_Toc116396996</vt:lpwstr>
      </vt:variant>
      <vt:variant>
        <vt:i4>1703991</vt:i4>
      </vt:variant>
      <vt:variant>
        <vt:i4>92</vt:i4>
      </vt:variant>
      <vt:variant>
        <vt:i4>0</vt:i4>
      </vt:variant>
      <vt:variant>
        <vt:i4>5</vt:i4>
      </vt:variant>
      <vt:variant>
        <vt:lpwstr/>
      </vt:variant>
      <vt:variant>
        <vt:lpwstr>_Toc116396995</vt:lpwstr>
      </vt:variant>
      <vt:variant>
        <vt:i4>1703991</vt:i4>
      </vt:variant>
      <vt:variant>
        <vt:i4>86</vt:i4>
      </vt:variant>
      <vt:variant>
        <vt:i4>0</vt:i4>
      </vt:variant>
      <vt:variant>
        <vt:i4>5</vt:i4>
      </vt:variant>
      <vt:variant>
        <vt:lpwstr/>
      </vt:variant>
      <vt:variant>
        <vt:lpwstr>_Toc116396994</vt:lpwstr>
      </vt:variant>
      <vt:variant>
        <vt:i4>1703991</vt:i4>
      </vt:variant>
      <vt:variant>
        <vt:i4>80</vt:i4>
      </vt:variant>
      <vt:variant>
        <vt:i4>0</vt:i4>
      </vt:variant>
      <vt:variant>
        <vt:i4>5</vt:i4>
      </vt:variant>
      <vt:variant>
        <vt:lpwstr/>
      </vt:variant>
      <vt:variant>
        <vt:lpwstr>_Toc116396993</vt:lpwstr>
      </vt:variant>
      <vt:variant>
        <vt:i4>1703991</vt:i4>
      </vt:variant>
      <vt:variant>
        <vt:i4>74</vt:i4>
      </vt:variant>
      <vt:variant>
        <vt:i4>0</vt:i4>
      </vt:variant>
      <vt:variant>
        <vt:i4>5</vt:i4>
      </vt:variant>
      <vt:variant>
        <vt:lpwstr/>
      </vt:variant>
      <vt:variant>
        <vt:lpwstr>_Toc116396992</vt:lpwstr>
      </vt:variant>
      <vt:variant>
        <vt:i4>1703991</vt:i4>
      </vt:variant>
      <vt:variant>
        <vt:i4>68</vt:i4>
      </vt:variant>
      <vt:variant>
        <vt:i4>0</vt:i4>
      </vt:variant>
      <vt:variant>
        <vt:i4>5</vt:i4>
      </vt:variant>
      <vt:variant>
        <vt:lpwstr/>
      </vt:variant>
      <vt:variant>
        <vt:lpwstr>_Toc116396991</vt:lpwstr>
      </vt:variant>
      <vt:variant>
        <vt:i4>1703991</vt:i4>
      </vt:variant>
      <vt:variant>
        <vt:i4>62</vt:i4>
      </vt:variant>
      <vt:variant>
        <vt:i4>0</vt:i4>
      </vt:variant>
      <vt:variant>
        <vt:i4>5</vt:i4>
      </vt:variant>
      <vt:variant>
        <vt:lpwstr/>
      </vt:variant>
      <vt:variant>
        <vt:lpwstr>_Toc116396990</vt:lpwstr>
      </vt:variant>
      <vt:variant>
        <vt:i4>1769527</vt:i4>
      </vt:variant>
      <vt:variant>
        <vt:i4>56</vt:i4>
      </vt:variant>
      <vt:variant>
        <vt:i4>0</vt:i4>
      </vt:variant>
      <vt:variant>
        <vt:i4>5</vt:i4>
      </vt:variant>
      <vt:variant>
        <vt:lpwstr/>
      </vt:variant>
      <vt:variant>
        <vt:lpwstr>_Toc116396989</vt:lpwstr>
      </vt:variant>
      <vt:variant>
        <vt:i4>1769527</vt:i4>
      </vt:variant>
      <vt:variant>
        <vt:i4>50</vt:i4>
      </vt:variant>
      <vt:variant>
        <vt:i4>0</vt:i4>
      </vt:variant>
      <vt:variant>
        <vt:i4>5</vt:i4>
      </vt:variant>
      <vt:variant>
        <vt:lpwstr/>
      </vt:variant>
      <vt:variant>
        <vt:lpwstr>_Toc116396988</vt:lpwstr>
      </vt:variant>
      <vt:variant>
        <vt:i4>1769527</vt:i4>
      </vt:variant>
      <vt:variant>
        <vt:i4>44</vt:i4>
      </vt:variant>
      <vt:variant>
        <vt:i4>0</vt:i4>
      </vt:variant>
      <vt:variant>
        <vt:i4>5</vt:i4>
      </vt:variant>
      <vt:variant>
        <vt:lpwstr/>
      </vt:variant>
      <vt:variant>
        <vt:lpwstr>_Toc116396987</vt:lpwstr>
      </vt:variant>
      <vt:variant>
        <vt:i4>1769527</vt:i4>
      </vt:variant>
      <vt:variant>
        <vt:i4>38</vt:i4>
      </vt:variant>
      <vt:variant>
        <vt:i4>0</vt:i4>
      </vt:variant>
      <vt:variant>
        <vt:i4>5</vt:i4>
      </vt:variant>
      <vt:variant>
        <vt:lpwstr/>
      </vt:variant>
      <vt:variant>
        <vt:lpwstr>_Toc116396986</vt:lpwstr>
      </vt:variant>
      <vt:variant>
        <vt:i4>1769527</vt:i4>
      </vt:variant>
      <vt:variant>
        <vt:i4>32</vt:i4>
      </vt:variant>
      <vt:variant>
        <vt:i4>0</vt:i4>
      </vt:variant>
      <vt:variant>
        <vt:i4>5</vt:i4>
      </vt:variant>
      <vt:variant>
        <vt:lpwstr/>
      </vt:variant>
      <vt:variant>
        <vt:lpwstr>_Toc116396985</vt:lpwstr>
      </vt:variant>
      <vt:variant>
        <vt:i4>1769527</vt:i4>
      </vt:variant>
      <vt:variant>
        <vt:i4>26</vt:i4>
      </vt:variant>
      <vt:variant>
        <vt:i4>0</vt:i4>
      </vt:variant>
      <vt:variant>
        <vt:i4>5</vt:i4>
      </vt:variant>
      <vt:variant>
        <vt:lpwstr/>
      </vt:variant>
      <vt:variant>
        <vt:lpwstr>_Toc116396984</vt:lpwstr>
      </vt:variant>
      <vt:variant>
        <vt:i4>1769527</vt:i4>
      </vt:variant>
      <vt:variant>
        <vt:i4>20</vt:i4>
      </vt:variant>
      <vt:variant>
        <vt:i4>0</vt:i4>
      </vt:variant>
      <vt:variant>
        <vt:i4>5</vt:i4>
      </vt:variant>
      <vt:variant>
        <vt:lpwstr/>
      </vt:variant>
      <vt:variant>
        <vt:lpwstr>_Toc116396983</vt:lpwstr>
      </vt:variant>
      <vt:variant>
        <vt:i4>1769527</vt:i4>
      </vt:variant>
      <vt:variant>
        <vt:i4>14</vt:i4>
      </vt:variant>
      <vt:variant>
        <vt:i4>0</vt:i4>
      </vt:variant>
      <vt:variant>
        <vt:i4>5</vt:i4>
      </vt:variant>
      <vt:variant>
        <vt:lpwstr/>
      </vt:variant>
      <vt:variant>
        <vt:lpwstr>_Toc116396982</vt:lpwstr>
      </vt:variant>
      <vt:variant>
        <vt:i4>1769527</vt:i4>
      </vt:variant>
      <vt:variant>
        <vt:i4>8</vt:i4>
      </vt:variant>
      <vt:variant>
        <vt:i4>0</vt:i4>
      </vt:variant>
      <vt:variant>
        <vt:i4>5</vt:i4>
      </vt:variant>
      <vt:variant>
        <vt:lpwstr/>
      </vt:variant>
      <vt:variant>
        <vt:lpwstr>_Toc116396981</vt:lpwstr>
      </vt:variant>
      <vt:variant>
        <vt:i4>1769527</vt:i4>
      </vt:variant>
      <vt:variant>
        <vt:i4>2</vt:i4>
      </vt:variant>
      <vt:variant>
        <vt:i4>0</vt:i4>
      </vt:variant>
      <vt:variant>
        <vt:i4>5</vt:i4>
      </vt:variant>
      <vt:variant>
        <vt:lpwstr/>
      </vt:variant>
      <vt:variant>
        <vt:lpwstr>_Toc116396980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79</cp:revision>
  <cp:lastPrinted>2021-09-27T20:40:00Z</cp:lastPrinted>
  <dcterms:created xsi:type="dcterms:W3CDTF">2022-03-23T23:04:00Z</dcterms:created>
  <dcterms:modified xsi:type="dcterms:W3CDTF">2022-12-20T00:38:00Z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