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3704C4">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30065C5B" w:rsidR="00AF1D72" w:rsidRPr="006B49B7" w:rsidRDefault="00AF1D72" w:rsidP="003704C4">
            <w:pPr>
              <w:tabs>
                <w:tab w:val="center" w:pos="4513"/>
                <w:tab w:val="right" w:pos="9026"/>
              </w:tabs>
              <w:rPr>
                <w:rFonts w:ascii="Arial" w:eastAsia="SimSun" w:hAnsi="Arial" w:cs="Arial"/>
                <w:color w:val="004259"/>
                <w:sz w:val="28"/>
                <w:szCs w:val="28"/>
              </w:rPr>
            </w:pPr>
            <w:bookmarkStart w:id="0" w:name="_Toc886731"/>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1810CE">
              <w:rPr>
                <w:rFonts w:ascii="Arial" w:eastAsia="SimSun" w:hAnsi="Arial" w:cs="Arial"/>
                <w:color w:val="004259"/>
                <w:sz w:val="28"/>
                <w:szCs w:val="28"/>
              </w:rPr>
              <w:t>5390</w:t>
            </w:r>
          </w:p>
          <w:p w14:paraId="48C93D8E" w14:textId="29ABEB77" w:rsidR="00AF1D72" w:rsidRPr="003704C4" w:rsidRDefault="001810CE" w:rsidP="003704C4">
            <w:pPr>
              <w:tabs>
                <w:tab w:val="left" w:pos="2940"/>
              </w:tabs>
              <w:rPr>
                <w:rFonts w:ascii="Arial" w:eastAsia="SimSun" w:hAnsi="Arial" w:cs="Arial"/>
                <w:b w:val="0"/>
                <w:color w:val="004259"/>
                <w:sz w:val="20"/>
                <w:szCs w:val="20"/>
              </w:rPr>
            </w:pPr>
            <w:r>
              <w:rPr>
                <w:rFonts w:ascii="Arial" w:hAnsi="Arial" w:cs="Arial"/>
                <w:b w:val="0"/>
                <w:bCs/>
                <w:color w:val="004259"/>
                <w:sz w:val="32"/>
                <w:szCs w:val="32"/>
              </w:rPr>
              <w:t>Cathodic Protection of Concrete Structures</w:t>
            </w:r>
          </w:p>
        </w:tc>
        <w:tc>
          <w:tcPr>
            <w:tcW w:w="2060"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6B49B7" w:rsidRDefault="00AF1D72" w:rsidP="006B49B7">
                <w:pPr>
                  <w:pStyle w:val="Heading1nonumber"/>
                </w:pPr>
                <w:r w:rsidRPr="006B49B7">
                  <w:t>Contents</w:t>
                </w:r>
              </w:p>
              <w:p w14:paraId="333FE045" w14:textId="60B9B55D" w:rsidR="00671CBD" w:rsidRDefault="00B23DC4">
                <w:pPr>
                  <w:pStyle w:val="TOC1"/>
                  <w:rPr>
                    <w:rFonts w:asciiTheme="minorHAnsi" w:eastAsiaTheme="minorEastAsia" w:hAnsiTheme="minorHAnsi" w:cstheme="minorBidi"/>
                    <w:b w:val="0"/>
                    <w:noProof/>
                    <w:sz w:val="22"/>
                    <w:szCs w:val="22"/>
                    <w:lang w:eastAsia="en-AU"/>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42764444" w:history="1">
                  <w:r w:rsidR="00671CBD" w:rsidRPr="00305DF1">
                    <w:rPr>
                      <w:rStyle w:val="Hyperlink"/>
                      <w:rFonts w:eastAsia="SimSun"/>
                      <w:noProof/>
                      <w14:scene3d>
                        <w14:camera w14:prst="orthographicFront"/>
                        <w14:lightRig w14:rig="threePt" w14:dir="t">
                          <w14:rot w14:lat="0" w14:lon="0" w14:rev="0"/>
                        </w14:lightRig>
                      </w14:scene3d>
                    </w:rPr>
                    <w:t>1.</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Scope</w:t>
                  </w:r>
                  <w:r w:rsidR="00671CBD">
                    <w:rPr>
                      <w:noProof/>
                      <w:webHidden/>
                    </w:rPr>
                    <w:tab/>
                  </w:r>
                  <w:r w:rsidR="00671CBD">
                    <w:rPr>
                      <w:noProof/>
                      <w:webHidden/>
                    </w:rPr>
                    <w:fldChar w:fldCharType="begin"/>
                  </w:r>
                  <w:r w:rsidR="00671CBD">
                    <w:rPr>
                      <w:noProof/>
                      <w:webHidden/>
                    </w:rPr>
                    <w:instrText xml:space="preserve"> PAGEREF _Toc42764444 \h </w:instrText>
                  </w:r>
                  <w:r w:rsidR="00671CBD">
                    <w:rPr>
                      <w:noProof/>
                      <w:webHidden/>
                    </w:rPr>
                  </w:r>
                  <w:r w:rsidR="00671CBD">
                    <w:rPr>
                      <w:noProof/>
                      <w:webHidden/>
                    </w:rPr>
                    <w:fldChar w:fldCharType="separate"/>
                  </w:r>
                  <w:r w:rsidR="003704C4">
                    <w:rPr>
                      <w:noProof/>
                      <w:webHidden/>
                    </w:rPr>
                    <w:t>1</w:t>
                  </w:r>
                  <w:r w:rsidR="00671CBD">
                    <w:rPr>
                      <w:noProof/>
                      <w:webHidden/>
                    </w:rPr>
                    <w:fldChar w:fldCharType="end"/>
                  </w:r>
                </w:hyperlink>
              </w:p>
              <w:p w14:paraId="348B96FA" w14:textId="7305C467" w:rsidR="00671CBD" w:rsidRDefault="003704C4">
                <w:pPr>
                  <w:pStyle w:val="TOC1"/>
                  <w:rPr>
                    <w:rFonts w:asciiTheme="minorHAnsi" w:eastAsiaTheme="minorEastAsia" w:hAnsiTheme="minorHAnsi" w:cstheme="minorBidi"/>
                    <w:b w:val="0"/>
                    <w:noProof/>
                    <w:sz w:val="22"/>
                    <w:szCs w:val="22"/>
                    <w:lang w:eastAsia="en-AU"/>
                  </w:rPr>
                </w:pPr>
                <w:hyperlink w:anchor="_Toc42764445" w:history="1">
                  <w:r w:rsidR="00671CBD" w:rsidRPr="00305DF1">
                    <w:rPr>
                      <w:rStyle w:val="Hyperlink"/>
                      <w:rFonts w:eastAsiaTheme="majorEastAsia"/>
                      <w:noProof/>
                      <w14:scene3d>
                        <w14:camera w14:prst="orthographicFront"/>
                        <w14:lightRig w14:rig="threePt" w14:dir="t">
                          <w14:rot w14:lat="0" w14:lon="0" w14:rev="0"/>
                        </w14:lightRig>
                      </w14:scene3d>
                    </w:rPr>
                    <w:t>2.</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Definitions</w:t>
                  </w:r>
                  <w:r w:rsidR="00671CBD">
                    <w:rPr>
                      <w:noProof/>
                      <w:webHidden/>
                    </w:rPr>
                    <w:tab/>
                  </w:r>
                  <w:r w:rsidR="00671CBD">
                    <w:rPr>
                      <w:noProof/>
                      <w:webHidden/>
                    </w:rPr>
                    <w:fldChar w:fldCharType="begin"/>
                  </w:r>
                  <w:r w:rsidR="00671CBD">
                    <w:rPr>
                      <w:noProof/>
                      <w:webHidden/>
                    </w:rPr>
                    <w:instrText xml:space="preserve"> PAGEREF _Toc42764445 \h </w:instrText>
                  </w:r>
                  <w:r w:rsidR="00671CBD">
                    <w:rPr>
                      <w:noProof/>
                      <w:webHidden/>
                    </w:rPr>
                  </w:r>
                  <w:r w:rsidR="00671CBD">
                    <w:rPr>
                      <w:noProof/>
                      <w:webHidden/>
                    </w:rPr>
                    <w:fldChar w:fldCharType="separate"/>
                  </w:r>
                  <w:r>
                    <w:rPr>
                      <w:noProof/>
                      <w:webHidden/>
                    </w:rPr>
                    <w:t>2</w:t>
                  </w:r>
                  <w:r w:rsidR="00671CBD">
                    <w:rPr>
                      <w:noProof/>
                      <w:webHidden/>
                    </w:rPr>
                    <w:fldChar w:fldCharType="end"/>
                  </w:r>
                </w:hyperlink>
              </w:p>
              <w:p w14:paraId="6A2BBB7A" w14:textId="0BFA49FC" w:rsidR="00671CBD" w:rsidRDefault="003704C4">
                <w:pPr>
                  <w:pStyle w:val="TOC1"/>
                  <w:rPr>
                    <w:rFonts w:asciiTheme="minorHAnsi" w:eastAsiaTheme="minorEastAsia" w:hAnsiTheme="minorHAnsi" w:cstheme="minorBidi"/>
                    <w:b w:val="0"/>
                    <w:noProof/>
                    <w:sz w:val="22"/>
                    <w:szCs w:val="22"/>
                    <w:lang w:eastAsia="en-AU"/>
                  </w:rPr>
                </w:pPr>
                <w:hyperlink w:anchor="_Toc42764446" w:history="1">
                  <w:r w:rsidR="00671CBD" w:rsidRPr="00305DF1">
                    <w:rPr>
                      <w:rStyle w:val="Hyperlink"/>
                      <w:rFonts w:eastAsia="SimSun"/>
                      <w:noProof/>
                      <w14:scene3d>
                        <w14:camera w14:prst="orthographicFront"/>
                        <w14:lightRig w14:rig="threePt" w14:dir="t">
                          <w14:rot w14:lat="0" w14:lon="0" w14:rev="0"/>
                        </w14:lightRig>
                      </w14:scene3d>
                    </w:rPr>
                    <w:t>3.</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Referenced Documents</w:t>
                  </w:r>
                  <w:r w:rsidR="00671CBD">
                    <w:rPr>
                      <w:noProof/>
                      <w:webHidden/>
                    </w:rPr>
                    <w:tab/>
                  </w:r>
                  <w:r w:rsidR="00671CBD">
                    <w:rPr>
                      <w:noProof/>
                      <w:webHidden/>
                    </w:rPr>
                    <w:fldChar w:fldCharType="begin"/>
                  </w:r>
                  <w:r w:rsidR="00671CBD">
                    <w:rPr>
                      <w:noProof/>
                      <w:webHidden/>
                    </w:rPr>
                    <w:instrText xml:space="preserve"> PAGEREF _Toc42764446 \h </w:instrText>
                  </w:r>
                  <w:r w:rsidR="00671CBD">
                    <w:rPr>
                      <w:noProof/>
                      <w:webHidden/>
                    </w:rPr>
                  </w:r>
                  <w:r w:rsidR="00671CBD">
                    <w:rPr>
                      <w:noProof/>
                      <w:webHidden/>
                    </w:rPr>
                    <w:fldChar w:fldCharType="separate"/>
                  </w:r>
                  <w:r>
                    <w:rPr>
                      <w:noProof/>
                      <w:webHidden/>
                    </w:rPr>
                    <w:t>2</w:t>
                  </w:r>
                  <w:r w:rsidR="00671CBD">
                    <w:rPr>
                      <w:noProof/>
                      <w:webHidden/>
                    </w:rPr>
                    <w:fldChar w:fldCharType="end"/>
                  </w:r>
                </w:hyperlink>
              </w:p>
              <w:p w14:paraId="2AC41C2D" w14:textId="3C1E6295" w:rsidR="00671CBD" w:rsidRDefault="003704C4">
                <w:pPr>
                  <w:pStyle w:val="TOC1"/>
                  <w:rPr>
                    <w:rFonts w:asciiTheme="minorHAnsi" w:eastAsiaTheme="minorEastAsia" w:hAnsiTheme="minorHAnsi" w:cstheme="minorBidi"/>
                    <w:b w:val="0"/>
                    <w:noProof/>
                    <w:sz w:val="22"/>
                    <w:szCs w:val="22"/>
                    <w:lang w:eastAsia="en-AU"/>
                  </w:rPr>
                </w:pPr>
                <w:hyperlink w:anchor="_Toc42764447" w:history="1">
                  <w:r w:rsidR="00671CBD" w:rsidRPr="00305DF1">
                    <w:rPr>
                      <w:rStyle w:val="Hyperlink"/>
                      <w:rFonts w:eastAsia="SimSun"/>
                      <w:noProof/>
                      <w14:scene3d>
                        <w14:camera w14:prst="orthographicFront"/>
                        <w14:lightRig w14:rig="threePt" w14:dir="t">
                          <w14:rot w14:lat="0" w14:lon="0" w14:rev="0"/>
                        </w14:lightRig>
                      </w14:scene3d>
                    </w:rPr>
                    <w:t>4.</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Quality System Requirements</w:t>
                  </w:r>
                  <w:r w:rsidR="00671CBD">
                    <w:rPr>
                      <w:noProof/>
                      <w:webHidden/>
                    </w:rPr>
                    <w:tab/>
                  </w:r>
                  <w:r w:rsidR="00671CBD">
                    <w:rPr>
                      <w:noProof/>
                      <w:webHidden/>
                    </w:rPr>
                    <w:fldChar w:fldCharType="begin"/>
                  </w:r>
                  <w:r w:rsidR="00671CBD">
                    <w:rPr>
                      <w:noProof/>
                      <w:webHidden/>
                    </w:rPr>
                    <w:instrText xml:space="preserve"> PAGEREF _Toc42764447 \h </w:instrText>
                  </w:r>
                  <w:r w:rsidR="00671CBD">
                    <w:rPr>
                      <w:noProof/>
                      <w:webHidden/>
                    </w:rPr>
                  </w:r>
                  <w:r w:rsidR="00671CBD">
                    <w:rPr>
                      <w:noProof/>
                      <w:webHidden/>
                    </w:rPr>
                    <w:fldChar w:fldCharType="separate"/>
                  </w:r>
                  <w:r>
                    <w:rPr>
                      <w:noProof/>
                      <w:webHidden/>
                    </w:rPr>
                    <w:t>3</w:t>
                  </w:r>
                  <w:r w:rsidR="00671CBD">
                    <w:rPr>
                      <w:noProof/>
                      <w:webHidden/>
                    </w:rPr>
                    <w:fldChar w:fldCharType="end"/>
                  </w:r>
                </w:hyperlink>
              </w:p>
              <w:p w14:paraId="4079B08E" w14:textId="60C0F49F" w:rsidR="00671CBD" w:rsidRDefault="003704C4">
                <w:pPr>
                  <w:pStyle w:val="TOC1"/>
                  <w:rPr>
                    <w:rFonts w:asciiTheme="minorHAnsi" w:eastAsiaTheme="minorEastAsia" w:hAnsiTheme="minorHAnsi" w:cstheme="minorBidi"/>
                    <w:b w:val="0"/>
                    <w:noProof/>
                    <w:sz w:val="22"/>
                    <w:szCs w:val="22"/>
                    <w:lang w:eastAsia="en-AU"/>
                  </w:rPr>
                </w:pPr>
                <w:hyperlink w:anchor="_Toc42764448" w:history="1">
                  <w:r w:rsidR="00671CBD" w:rsidRPr="00305DF1">
                    <w:rPr>
                      <w:rStyle w:val="Hyperlink"/>
                      <w:rFonts w:eastAsia="SimSun"/>
                      <w:noProof/>
                      <w14:scene3d>
                        <w14:camera w14:prst="orthographicFront"/>
                        <w14:lightRig w14:rig="threePt" w14:dir="t">
                          <w14:rot w14:lat="0" w14:lon="0" w14:rev="0"/>
                        </w14:lightRig>
                      </w14:scene3d>
                    </w:rPr>
                    <w:t>5.</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Contractor Competency and Personnel</w:t>
                  </w:r>
                  <w:r w:rsidR="00671CBD">
                    <w:rPr>
                      <w:noProof/>
                      <w:webHidden/>
                    </w:rPr>
                    <w:tab/>
                  </w:r>
                  <w:r w:rsidR="00671CBD">
                    <w:rPr>
                      <w:noProof/>
                      <w:webHidden/>
                    </w:rPr>
                    <w:fldChar w:fldCharType="begin"/>
                  </w:r>
                  <w:r w:rsidR="00671CBD">
                    <w:rPr>
                      <w:noProof/>
                      <w:webHidden/>
                    </w:rPr>
                    <w:instrText xml:space="preserve"> PAGEREF _Toc42764448 \h </w:instrText>
                  </w:r>
                  <w:r w:rsidR="00671CBD">
                    <w:rPr>
                      <w:noProof/>
                      <w:webHidden/>
                    </w:rPr>
                  </w:r>
                  <w:r w:rsidR="00671CBD">
                    <w:rPr>
                      <w:noProof/>
                      <w:webHidden/>
                    </w:rPr>
                    <w:fldChar w:fldCharType="separate"/>
                  </w:r>
                  <w:r>
                    <w:rPr>
                      <w:noProof/>
                      <w:webHidden/>
                    </w:rPr>
                    <w:t>3</w:t>
                  </w:r>
                  <w:r w:rsidR="00671CBD">
                    <w:rPr>
                      <w:noProof/>
                      <w:webHidden/>
                    </w:rPr>
                    <w:fldChar w:fldCharType="end"/>
                  </w:r>
                </w:hyperlink>
              </w:p>
              <w:p w14:paraId="177718FF" w14:textId="6A319B3A" w:rsidR="00671CBD" w:rsidRDefault="003704C4">
                <w:pPr>
                  <w:pStyle w:val="TOC1"/>
                  <w:rPr>
                    <w:rFonts w:asciiTheme="minorHAnsi" w:eastAsiaTheme="minorEastAsia" w:hAnsiTheme="minorHAnsi" w:cstheme="minorBidi"/>
                    <w:b w:val="0"/>
                    <w:noProof/>
                    <w:sz w:val="22"/>
                    <w:szCs w:val="22"/>
                    <w:lang w:eastAsia="en-AU"/>
                  </w:rPr>
                </w:pPr>
                <w:hyperlink w:anchor="_Toc42764449" w:history="1">
                  <w:r w:rsidR="00671CBD" w:rsidRPr="00305DF1">
                    <w:rPr>
                      <w:rStyle w:val="Hyperlink"/>
                      <w:rFonts w:eastAsia="SimSun"/>
                      <w:noProof/>
                      <w14:scene3d>
                        <w14:camera w14:prst="orthographicFront"/>
                        <w14:lightRig w14:rig="threePt" w14:dir="t">
                          <w14:rot w14:lat="0" w14:lon="0" w14:rev="0"/>
                        </w14:lightRig>
                      </w14:scene3d>
                    </w:rPr>
                    <w:t>6.</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Assessment of Existing Structures for Cathodic Protection</w:t>
                  </w:r>
                  <w:r w:rsidR="00671CBD">
                    <w:rPr>
                      <w:noProof/>
                      <w:webHidden/>
                    </w:rPr>
                    <w:tab/>
                  </w:r>
                  <w:r w:rsidR="00671CBD">
                    <w:rPr>
                      <w:noProof/>
                      <w:webHidden/>
                    </w:rPr>
                    <w:fldChar w:fldCharType="begin"/>
                  </w:r>
                  <w:r w:rsidR="00671CBD">
                    <w:rPr>
                      <w:noProof/>
                      <w:webHidden/>
                    </w:rPr>
                    <w:instrText xml:space="preserve"> PAGEREF _Toc42764449 \h </w:instrText>
                  </w:r>
                  <w:r w:rsidR="00671CBD">
                    <w:rPr>
                      <w:noProof/>
                      <w:webHidden/>
                    </w:rPr>
                  </w:r>
                  <w:r w:rsidR="00671CBD">
                    <w:rPr>
                      <w:noProof/>
                      <w:webHidden/>
                    </w:rPr>
                    <w:fldChar w:fldCharType="separate"/>
                  </w:r>
                  <w:r>
                    <w:rPr>
                      <w:noProof/>
                      <w:webHidden/>
                    </w:rPr>
                    <w:t>4</w:t>
                  </w:r>
                  <w:r w:rsidR="00671CBD">
                    <w:rPr>
                      <w:noProof/>
                      <w:webHidden/>
                    </w:rPr>
                    <w:fldChar w:fldCharType="end"/>
                  </w:r>
                </w:hyperlink>
              </w:p>
              <w:p w14:paraId="4F06A735" w14:textId="151A00FA" w:rsidR="00671CBD" w:rsidRDefault="003704C4">
                <w:pPr>
                  <w:pStyle w:val="TOC1"/>
                  <w:rPr>
                    <w:rFonts w:asciiTheme="minorHAnsi" w:eastAsiaTheme="minorEastAsia" w:hAnsiTheme="minorHAnsi" w:cstheme="minorBidi"/>
                    <w:b w:val="0"/>
                    <w:noProof/>
                    <w:sz w:val="22"/>
                    <w:szCs w:val="22"/>
                    <w:lang w:eastAsia="en-AU"/>
                  </w:rPr>
                </w:pPr>
                <w:hyperlink w:anchor="_Toc42764450" w:history="1">
                  <w:r w:rsidR="00671CBD" w:rsidRPr="00305DF1">
                    <w:rPr>
                      <w:rStyle w:val="Hyperlink"/>
                      <w:rFonts w:eastAsia="SimSun"/>
                      <w:noProof/>
                      <w14:scene3d>
                        <w14:camera w14:prst="orthographicFront"/>
                        <w14:lightRig w14:rig="threePt" w14:dir="t">
                          <w14:rot w14:lat="0" w14:lon="0" w14:rev="0"/>
                        </w14:lightRig>
                      </w14:scene3d>
                    </w:rPr>
                    <w:t>7.</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Cathodic Protection System Performance Criteria</w:t>
                  </w:r>
                  <w:r w:rsidR="00671CBD">
                    <w:rPr>
                      <w:noProof/>
                      <w:webHidden/>
                    </w:rPr>
                    <w:tab/>
                  </w:r>
                  <w:r w:rsidR="00671CBD">
                    <w:rPr>
                      <w:noProof/>
                      <w:webHidden/>
                    </w:rPr>
                    <w:fldChar w:fldCharType="begin"/>
                  </w:r>
                  <w:r w:rsidR="00671CBD">
                    <w:rPr>
                      <w:noProof/>
                      <w:webHidden/>
                    </w:rPr>
                    <w:instrText xml:space="preserve"> PAGEREF _Toc42764450 \h </w:instrText>
                  </w:r>
                  <w:r w:rsidR="00671CBD">
                    <w:rPr>
                      <w:noProof/>
                      <w:webHidden/>
                    </w:rPr>
                  </w:r>
                  <w:r w:rsidR="00671CBD">
                    <w:rPr>
                      <w:noProof/>
                      <w:webHidden/>
                    </w:rPr>
                    <w:fldChar w:fldCharType="separate"/>
                  </w:r>
                  <w:r>
                    <w:rPr>
                      <w:noProof/>
                      <w:webHidden/>
                    </w:rPr>
                    <w:t>4</w:t>
                  </w:r>
                  <w:r w:rsidR="00671CBD">
                    <w:rPr>
                      <w:noProof/>
                      <w:webHidden/>
                    </w:rPr>
                    <w:fldChar w:fldCharType="end"/>
                  </w:r>
                </w:hyperlink>
              </w:p>
              <w:p w14:paraId="4D497B6A" w14:textId="0B365536" w:rsidR="00671CBD" w:rsidRDefault="003704C4">
                <w:pPr>
                  <w:pStyle w:val="TOC1"/>
                  <w:rPr>
                    <w:rFonts w:asciiTheme="minorHAnsi" w:eastAsiaTheme="minorEastAsia" w:hAnsiTheme="minorHAnsi" w:cstheme="minorBidi"/>
                    <w:b w:val="0"/>
                    <w:noProof/>
                    <w:sz w:val="22"/>
                    <w:szCs w:val="22"/>
                    <w:lang w:eastAsia="en-AU"/>
                  </w:rPr>
                </w:pPr>
                <w:hyperlink w:anchor="_Toc42764451" w:history="1">
                  <w:r w:rsidR="00671CBD" w:rsidRPr="00305DF1">
                    <w:rPr>
                      <w:rStyle w:val="Hyperlink"/>
                      <w:rFonts w:eastAsia="SimSun"/>
                      <w:noProof/>
                      <w14:scene3d>
                        <w14:camera w14:prst="orthographicFront"/>
                        <w14:lightRig w14:rig="threePt" w14:dir="t">
                          <w14:rot w14:lat="0" w14:lon="0" w14:rev="0"/>
                        </w14:lightRig>
                      </w14:scene3d>
                    </w:rPr>
                    <w:t>8.</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Design of the Cathodic Protection System</w:t>
                  </w:r>
                  <w:r w:rsidR="00671CBD">
                    <w:rPr>
                      <w:noProof/>
                      <w:webHidden/>
                    </w:rPr>
                    <w:tab/>
                  </w:r>
                  <w:r w:rsidR="00671CBD">
                    <w:rPr>
                      <w:noProof/>
                      <w:webHidden/>
                    </w:rPr>
                    <w:fldChar w:fldCharType="begin"/>
                  </w:r>
                  <w:r w:rsidR="00671CBD">
                    <w:rPr>
                      <w:noProof/>
                      <w:webHidden/>
                    </w:rPr>
                    <w:instrText xml:space="preserve"> PAGEREF _Toc42764451 \h </w:instrText>
                  </w:r>
                  <w:r w:rsidR="00671CBD">
                    <w:rPr>
                      <w:noProof/>
                      <w:webHidden/>
                    </w:rPr>
                  </w:r>
                  <w:r w:rsidR="00671CBD">
                    <w:rPr>
                      <w:noProof/>
                      <w:webHidden/>
                    </w:rPr>
                    <w:fldChar w:fldCharType="separate"/>
                  </w:r>
                  <w:r>
                    <w:rPr>
                      <w:noProof/>
                      <w:webHidden/>
                    </w:rPr>
                    <w:t>4</w:t>
                  </w:r>
                  <w:r w:rsidR="00671CBD">
                    <w:rPr>
                      <w:noProof/>
                      <w:webHidden/>
                    </w:rPr>
                    <w:fldChar w:fldCharType="end"/>
                  </w:r>
                </w:hyperlink>
              </w:p>
              <w:p w14:paraId="17105F36" w14:textId="1DCACFF4" w:rsidR="00671CBD" w:rsidRDefault="003704C4">
                <w:pPr>
                  <w:pStyle w:val="TOC1"/>
                  <w:rPr>
                    <w:rFonts w:asciiTheme="minorHAnsi" w:eastAsiaTheme="minorEastAsia" w:hAnsiTheme="minorHAnsi" w:cstheme="minorBidi"/>
                    <w:b w:val="0"/>
                    <w:noProof/>
                    <w:sz w:val="22"/>
                    <w:szCs w:val="22"/>
                    <w:lang w:eastAsia="en-AU"/>
                  </w:rPr>
                </w:pPr>
                <w:hyperlink w:anchor="_Toc42764452" w:history="1">
                  <w:r w:rsidR="00671CBD" w:rsidRPr="00305DF1">
                    <w:rPr>
                      <w:rStyle w:val="Hyperlink"/>
                      <w:rFonts w:eastAsia="SimSun"/>
                      <w:noProof/>
                      <w14:scene3d>
                        <w14:camera w14:prst="orthographicFront"/>
                        <w14:lightRig w14:rig="threePt" w14:dir="t">
                          <w14:rot w14:lat="0" w14:lon="0" w14:rev="0"/>
                        </w14:lightRig>
                      </w14:scene3d>
                    </w:rPr>
                    <w:t>9.</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Design Verification and Certification</w:t>
                  </w:r>
                  <w:r w:rsidR="00671CBD">
                    <w:rPr>
                      <w:noProof/>
                      <w:webHidden/>
                    </w:rPr>
                    <w:tab/>
                  </w:r>
                  <w:r w:rsidR="00671CBD">
                    <w:rPr>
                      <w:noProof/>
                      <w:webHidden/>
                    </w:rPr>
                    <w:fldChar w:fldCharType="begin"/>
                  </w:r>
                  <w:r w:rsidR="00671CBD">
                    <w:rPr>
                      <w:noProof/>
                      <w:webHidden/>
                    </w:rPr>
                    <w:instrText xml:space="preserve"> PAGEREF _Toc42764452 \h </w:instrText>
                  </w:r>
                  <w:r w:rsidR="00671CBD">
                    <w:rPr>
                      <w:noProof/>
                      <w:webHidden/>
                    </w:rPr>
                  </w:r>
                  <w:r w:rsidR="00671CBD">
                    <w:rPr>
                      <w:noProof/>
                      <w:webHidden/>
                    </w:rPr>
                    <w:fldChar w:fldCharType="separate"/>
                  </w:r>
                  <w:r>
                    <w:rPr>
                      <w:noProof/>
                      <w:webHidden/>
                    </w:rPr>
                    <w:t>5</w:t>
                  </w:r>
                  <w:r w:rsidR="00671CBD">
                    <w:rPr>
                      <w:noProof/>
                      <w:webHidden/>
                    </w:rPr>
                    <w:fldChar w:fldCharType="end"/>
                  </w:r>
                </w:hyperlink>
              </w:p>
              <w:p w14:paraId="6A215BF4" w14:textId="1EAB018F" w:rsidR="00671CBD" w:rsidRDefault="003704C4">
                <w:pPr>
                  <w:pStyle w:val="TOC1"/>
                  <w:rPr>
                    <w:rFonts w:asciiTheme="minorHAnsi" w:eastAsiaTheme="minorEastAsia" w:hAnsiTheme="minorHAnsi" w:cstheme="minorBidi"/>
                    <w:b w:val="0"/>
                    <w:noProof/>
                    <w:sz w:val="22"/>
                    <w:szCs w:val="22"/>
                    <w:lang w:eastAsia="en-AU"/>
                  </w:rPr>
                </w:pPr>
                <w:hyperlink w:anchor="_Toc42764453" w:history="1">
                  <w:r w:rsidR="00671CBD" w:rsidRPr="00305DF1">
                    <w:rPr>
                      <w:rStyle w:val="Hyperlink"/>
                      <w:rFonts w:eastAsia="SimSun"/>
                      <w:noProof/>
                      <w14:scene3d>
                        <w14:camera w14:prst="orthographicFront"/>
                        <w14:lightRig w14:rig="threePt" w14:dir="t">
                          <w14:rot w14:lat="0" w14:lon="0" w14:rev="0"/>
                        </w14:lightRig>
                      </w14:scene3d>
                    </w:rPr>
                    <w:t>10.</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Cathodic Protection System Requirements</w:t>
                  </w:r>
                  <w:r w:rsidR="00671CBD">
                    <w:rPr>
                      <w:noProof/>
                      <w:webHidden/>
                    </w:rPr>
                    <w:tab/>
                  </w:r>
                  <w:r w:rsidR="00671CBD">
                    <w:rPr>
                      <w:noProof/>
                      <w:webHidden/>
                    </w:rPr>
                    <w:fldChar w:fldCharType="begin"/>
                  </w:r>
                  <w:r w:rsidR="00671CBD">
                    <w:rPr>
                      <w:noProof/>
                      <w:webHidden/>
                    </w:rPr>
                    <w:instrText xml:space="preserve"> PAGEREF _Toc42764453 \h </w:instrText>
                  </w:r>
                  <w:r w:rsidR="00671CBD">
                    <w:rPr>
                      <w:noProof/>
                      <w:webHidden/>
                    </w:rPr>
                  </w:r>
                  <w:r w:rsidR="00671CBD">
                    <w:rPr>
                      <w:noProof/>
                      <w:webHidden/>
                    </w:rPr>
                    <w:fldChar w:fldCharType="separate"/>
                  </w:r>
                  <w:r>
                    <w:rPr>
                      <w:noProof/>
                      <w:webHidden/>
                    </w:rPr>
                    <w:t>5</w:t>
                  </w:r>
                  <w:r w:rsidR="00671CBD">
                    <w:rPr>
                      <w:noProof/>
                      <w:webHidden/>
                    </w:rPr>
                    <w:fldChar w:fldCharType="end"/>
                  </w:r>
                </w:hyperlink>
              </w:p>
              <w:p w14:paraId="1CD18878" w14:textId="3B23150B" w:rsidR="00671CBD" w:rsidRDefault="003704C4">
                <w:pPr>
                  <w:pStyle w:val="TOC2"/>
                  <w:rPr>
                    <w:rFonts w:asciiTheme="minorHAnsi" w:eastAsiaTheme="minorEastAsia" w:hAnsiTheme="minorHAnsi" w:cstheme="minorBidi"/>
                    <w:bCs w:val="0"/>
                    <w:noProof/>
                    <w:sz w:val="22"/>
                    <w:lang w:eastAsia="en-AU"/>
                  </w:rPr>
                </w:pPr>
                <w:hyperlink w:anchor="_Toc42764454" w:history="1">
                  <w:r w:rsidR="00671CBD" w:rsidRPr="00305DF1">
                    <w:rPr>
                      <w:rStyle w:val="Hyperlink"/>
                      <w:rFonts w:eastAsia="SimSun"/>
                      <w:noProof/>
                    </w:rPr>
                    <w:t>Activated Mixed Metal Oxide Titanium Anodes</w:t>
                  </w:r>
                  <w:r w:rsidR="00671CBD">
                    <w:rPr>
                      <w:noProof/>
                      <w:webHidden/>
                    </w:rPr>
                    <w:tab/>
                  </w:r>
                  <w:r w:rsidR="00671CBD">
                    <w:rPr>
                      <w:noProof/>
                      <w:webHidden/>
                    </w:rPr>
                    <w:fldChar w:fldCharType="begin"/>
                  </w:r>
                  <w:r w:rsidR="00671CBD">
                    <w:rPr>
                      <w:noProof/>
                      <w:webHidden/>
                    </w:rPr>
                    <w:instrText xml:space="preserve"> PAGEREF _Toc42764454 \h </w:instrText>
                  </w:r>
                  <w:r w:rsidR="00671CBD">
                    <w:rPr>
                      <w:noProof/>
                      <w:webHidden/>
                    </w:rPr>
                  </w:r>
                  <w:r w:rsidR="00671CBD">
                    <w:rPr>
                      <w:noProof/>
                      <w:webHidden/>
                    </w:rPr>
                    <w:fldChar w:fldCharType="separate"/>
                  </w:r>
                  <w:r>
                    <w:rPr>
                      <w:noProof/>
                      <w:webHidden/>
                    </w:rPr>
                    <w:t>5</w:t>
                  </w:r>
                  <w:r w:rsidR="00671CBD">
                    <w:rPr>
                      <w:noProof/>
                      <w:webHidden/>
                    </w:rPr>
                    <w:fldChar w:fldCharType="end"/>
                  </w:r>
                </w:hyperlink>
              </w:p>
              <w:p w14:paraId="2D6D1B7E" w14:textId="5FFD9FBC" w:rsidR="00671CBD" w:rsidRDefault="003704C4">
                <w:pPr>
                  <w:pStyle w:val="TOC2"/>
                  <w:rPr>
                    <w:rFonts w:asciiTheme="minorHAnsi" w:eastAsiaTheme="minorEastAsia" w:hAnsiTheme="minorHAnsi" w:cstheme="minorBidi"/>
                    <w:bCs w:val="0"/>
                    <w:noProof/>
                    <w:sz w:val="22"/>
                    <w:lang w:eastAsia="en-AU"/>
                  </w:rPr>
                </w:pPr>
                <w:hyperlink w:anchor="_Toc42764455" w:history="1">
                  <w:r w:rsidR="00671CBD" w:rsidRPr="00305DF1">
                    <w:rPr>
                      <w:rStyle w:val="Hyperlink"/>
                      <w:rFonts w:eastAsia="SimSun"/>
                      <w:noProof/>
                    </w:rPr>
                    <w:t>Connection of the Anodes</w:t>
                  </w:r>
                  <w:r w:rsidR="00671CBD">
                    <w:rPr>
                      <w:noProof/>
                      <w:webHidden/>
                    </w:rPr>
                    <w:tab/>
                  </w:r>
                  <w:r w:rsidR="00671CBD">
                    <w:rPr>
                      <w:noProof/>
                      <w:webHidden/>
                    </w:rPr>
                    <w:fldChar w:fldCharType="begin"/>
                  </w:r>
                  <w:r w:rsidR="00671CBD">
                    <w:rPr>
                      <w:noProof/>
                      <w:webHidden/>
                    </w:rPr>
                    <w:instrText xml:space="preserve"> PAGEREF _Toc42764455 \h </w:instrText>
                  </w:r>
                  <w:r w:rsidR="00671CBD">
                    <w:rPr>
                      <w:noProof/>
                      <w:webHidden/>
                    </w:rPr>
                  </w:r>
                  <w:r w:rsidR="00671CBD">
                    <w:rPr>
                      <w:noProof/>
                      <w:webHidden/>
                    </w:rPr>
                    <w:fldChar w:fldCharType="separate"/>
                  </w:r>
                  <w:r>
                    <w:rPr>
                      <w:noProof/>
                      <w:webHidden/>
                    </w:rPr>
                    <w:t>6</w:t>
                  </w:r>
                  <w:r w:rsidR="00671CBD">
                    <w:rPr>
                      <w:noProof/>
                      <w:webHidden/>
                    </w:rPr>
                    <w:fldChar w:fldCharType="end"/>
                  </w:r>
                </w:hyperlink>
              </w:p>
              <w:p w14:paraId="4DC47795" w14:textId="6C164387" w:rsidR="00671CBD" w:rsidRDefault="003704C4">
                <w:pPr>
                  <w:pStyle w:val="TOC2"/>
                  <w:rPr>
                    <w:rFonts w:asciiTheme="minorHAnsi" w:eastAsiaTheme="minorEastAsia" w:hAnsiTheme="minorHAnsi" w:cstheme="minorBidi"/>
                    <w:bCs w:val="0"/>
                    <w:noProof/>
                    <w:sz w:val="22"/>
                    <w:lang w:eastAsia="en-AU"/>
                  </w:rPr>
                </w:pPr>
                <w:hyperlink w:anchor="_Toc42764456" w:history="1">
                  <w:r w:rsidR="00671CBD" w:rsidRPr="00305DF1">
                    <w:rPr>
                      <w:rStyle w:val="Hyperlink"/>
                      <w:rFonts w:eastAsia="SimSun"/>
                      <w:noProof/>
                    </w:rPr>
                    <w:t>Backfilling of Core Holes and Slots</w:t>
                  </w:r>
                  <w:r w:rsidR="00671CBD">
                    <w:rPr>
                      <w:noProof/>
                      <w:webHidden/>
                    </w:rPr>
                    <w:tab/>
                  </w:r>
                  <w:r w:rsidR="00671CBD">
                    <w:rPr>
                      <w:noProof/>
                      <w:webHidden/>
                    </w:rPr>
                    <w:fldChar w:fldCharType="begin"/>
                  </w:r>
                  <w:r w:rsidR="00671CBD">
                    <w:rPr>
                      <w:noProof/>
                      <w:webHidden/>
                    </w:rPr>
                    <w:instrText xml:space="preserve"> PAGEREF _Toc42764456 \h </w:instrText>
                  </w:r>
                  <w:r w:rsidR="00671CBD">
                    <w:rPr>
                      <w:noProof/>
                      <w:webHidden/>
                    </w:rPr>
                  </w:r>
                  <w:r w:rsidR="00671CBD">
                    <w:rPr>
                      <w:noProof/>
                      <w:webHidden/>
                    </w:rPr>
                    <w:fldChar w:fldCharType="separate"/>
                  </w:r>
                  <w:r>
                    <w:rPr>
                      <w:noProof/>
                      <w:webHidden/>
                    </w:rPr>
                    <w:t>7</w:t>
                  </w:r>
                  <w:r w:rsidR="00671CBD">
                    <w:rPr>
                      <w:noProof/>
                      <w:webHidden/>
                    </w:rPr>
                    <w:fldChar w:fldCharType="end"/>
                  </w:r>
                </w:hyperlink>
              </w:p>
              <w:p w14:paraId="052C5B8F" w14:textId="3D259E04" w:rsidR="00671CBD" w:rsidRDefault="003704C4">
                <w:pPr>
                  <w:pStyle w:val="TOC2"/>
                  <w:rPr>
                    <w:rFonts w:asciiTheme="minorHAnsi" w:eastAsiaTheme="minorEastAsia" w:hAnsiTheme="minorHAnsi" w:cstheme="minorBidi"/>
                    <w:bCs w:val="0"/>
                    <w:noProof/>
                    <w:sz w:val="22"/>
                    <w:lang w:eastAsia="en-AU"/>
                  </w:rPr>
                </w:pPr>
                <w:hyperlink w:anchor="_Toc42764457" w:history="1">
                  <w:r w:rsidR="00671CBD" w:rsidRPr="00305DF1">
                    <w:rPr>
                      <w:rStyle w:val="Hyperlink"/>
                      <w:rFonts w:eastAsia="SimSun"/>
                      <w:noProof/>
                    </w:rPr>
                    <w:t>Cementitious Overlay to Titanium Anode Mesh</w:t>
                  </w:r>
                  <w:r w:rsidR="00671CBD">
                    <w:rPr>
                      <w:noProof/>
                      <w:webHidden/>
                    </w:rPr>
                    <w:tab/>
                  </w:r>
                  <w:r w:rsidR="00671CBD">
                    <w:rPr>
                      <w:noProof/>
                      <w:webHidden/>
                    </w:rPr>
                    <w:fldChar w:fldCharType="begin"/>
                  </w:r>
                  <w:r w:rsidR="00671CBD">
                    <w:rPr>
                      <w:noProof/>
                      <w:webHidden/>
                    </w:rPr>
                    <w:instrText xml:space="preserve"> PAGEREF _Toc42764457 \h </w:instrText>
                  </w:r>
                  <w:r w:rsidR="00671CBD">
                    <w:rPr>
                      <w:noProof/>
                      <w:webHidden/>
                    </w:rPr>
                  </w:r>
                  <w:r w:rsidR="00671CBD">
                    <w:rPr>
                      <w:noProof/>
                      <w:webHidden/>
                    </w:rPr>
                    <w:fldChar w:fldCharType="separate"/>
                  </w:r>
                  <w:r>
                    <w:rPr>
                      <w:noProof/>
                      <w:webHidden/>
                    </w:rPr>
                    <w:t>8</w:t>
                  </w:r>
                  <w:r w:rsidR="00671CBD">
                    <w:rPr>
                      <w:noProof/>
                      <w:webHidden/>
                    </w:rPr>
                    <w:fldChar w:fldCharType="end"/>
                  </w:r>
                </w:hyperlink>
              </w:p>
              <w:p w14:paraId="11C13AEB" w14:textId="7BFC80C9" w:rsidR="00671CBD" w:rsidRDefault="003704C4">
                <w:pPr>
                  <w:pStyle w:val="TOC2"/>
                  <w:rPr>
                    <w:rFonts w:asciiTheme="minorHAnsi" w:eastAsiaTheme="minorEastAsia" w:hAnsiTheme="minorHAnsi" w:cstheme="minorBidi"/>
                    <w:bCs w:val="0"/>
                    <w:noProof/>
                    <w:sz w:val="22"/>
                    <w:lang w:eastAsia="en-AU"/>
                  </w:rPr>
                </w:pPr>
                <w:hyperlink w:anchor="_Toc42764458" w:history="1">
                  <w:r w:rsidR="00671CBD" w:rsidRPr="00305DF1">
                    <w:rPr>
                      <w:rStyle w:val="Hyperlink"/>
                      <w:rFonts w:eastAsia="SimSun"/>
                      <w:noProof/>
                    </w:rPr>
                    <w:t>Transformer/Rectifier (T/R)</w:t>
                  </w:r>
                  <w:r w:rsidR="00671CBD">
                    <w:rPr>
                      <w:noProof/>
                      <w:webHidden/>
                    </w:rPr>
                    <w:tab/>
                  </w:r>
                  <w:r w:rsidR="00671CBD">
                    <w:rPr>
                      <w:noProof/>
                      <w:webHidden/>
                    </w:rPr>
                    <w:fldChar w:fldCharType="begin"/>
                  </w:r>
                  <w:r w:rsidR="00671CBD">
                    <w:rPr>
                      <w:noProof/>
                      <w:webHidden/>
                    </w:rPr>
                    <w:instrText xml:space="preserve"> PAGEREF _Toc42764458 \h </w:instrText>
                  </w:r>
                  <w:r w:rsidR="00671CBD">
                    <w:rPr>
                      <w:noProof/>
                      <w:webHidden/>
                    </w:rPr>
                  </w:r>
                  <w:r w:rsidR="00671CBD">
                    <w:rPr>
                      <w:noProof/>
                      <w:webHidden/>
                    </w:rPr>
                    <w:fldChar w:fldCharType="separate"/>
                  </w:r>
                  <w:r>
                    <w:rPr>
                      <w:noProof/>
                      <w:webHidden/>
                    </w:rPr>
                    <w:t>8</w:t>
                  </w:r>
                  <w:r w:rsidR="00671CBD">
                    <w:rPr>
                      <w:noProof/>
                      <w:webHidden/>
                    </w:rPr>
                    <w:fldChar w:fldCharType="end"/>
                  </w:r>
                </w:hyperlink>
              </w:p>
              <w:p w14:paraId="3CFE052A" w14:textId="4E26ED7C" w:rsidR="00671CBD" w:rsidRDefault="003704C4">
                <w:pPr>
                  <w:pStyle w:val="TOC2"/>
                  <w:rPr>
                    <w:rFonts w:asciiTheme="minorHAnsi" w:eastAsiaTheme="minorEastAsia" w:hAnsiTheme="minorHAnsi" w:cstheme="minorBidi"/>
                    <w:bCs w:val="0"/>
                    <w:noProof/>
                    <w:sz w:val="22"/>
                    <w:lang w:eastAsia="en-AU"/>
                  </w:rPr>
                </w:pPr>
                <w:hyperlink w:anchor="_Toc42764459" w:history="1">
                  <w:r w:rsidR="00671CBD" w:rsidRPr="00305DF1">
                    <w:rPr>
                      <w:rStyle w:val="Hyperlink"/>
                      <w:rFonts w:eastAsia="SimSun"/>
                      <w:noProof/>
                    </w:rPr>
                    <w:t>Installation</w:t>
                  </w:r>
                  <w:r w:rsidR="00671CBD">
                    <w:rPr>
                      <w:noProof/>
                      <w:webHidden/>
                    </w:rPr>
                    <w:tab/>
                  </w:r>
                  <w:r w:rsidR="00671CBD">
                    <w:rPr>
                      <w:noProof/>
                      <w:webHidden/>
                    </w:rPr>
                    <w:fldChar w:fldCharType="begin"/>
                  </w:r>
                  <w:r w:rsidR="00671CBD">
                    <w:rPr>
                      <w:noProof/>
                      <w:webHidden/>
                    </w:rPr>
                    <w:instrText xml:space="preserve"> PAGEREF _Toc42764459 \h </w:instrText>
                  </w:r>
                  <w:r w:rsidR="00671CBD">
                    <w:rPr>
                      <w:noProof/>
                      <w:webHidden/>
                    </w:rPr>
                  </w:r>
                  <w:r w:rsidR="00671CBD">
                    <w:rPr>
                      <w:noProof/>
                      <w:webHidden/>
                    </w:rPr>
                    <w:fldChar w:fldCharType="separate"/>
                  </w:r>
                  <w:r>
                    <w:rPr>
                      <w:noProof/>
                      <w:webHidden/>
                    </w:rPr>
                    <w:t>9</w:t>
                  </w:r>
                  <w:r w:rsidR="00671CBD">
                    <w:rPr>
                      <w:noProof/>
                      <w:webHidden/>
                    </w:rPr>
                    <w:fldChar w:fldCharType="end"/>
                  </w:r>
                </w:hyperlink>
              </w:p>
              <w:p w14:paraId="7818F425" w14:textId="1C9918A2" w:rsidR="00671CBD" w:rsidRDefault="003704C4">
                <w:pPr>
                  <w:pStyle w:val="TOC1"/>
                  <w:rPr>
                    <w:rFonts w:asciiTheme="minorHAnsi" w:eastAsiaTheme="minorEastAsia" w:hAnsiTheme="minorHAnsi" w:cstheme="minorBidi"/>
                    <w:b w:val="0"/>
                    <w:noProof/>
                    <w:sz w:val="22"/>
                    <w:szCs w:val="22"/>
                    <w:lang w:eastAsia="en-AU"/>
                  </w:rPr>
                </w:pPr>
                <w:hyperlink w:anchor="_Toc42764460" w:history="1">
                  <w:r w:rsidR="00671CBD" w:rsidRPr="00305DF1">
                    <w:rPr>
                      <w:rStyle w:val="Hyperlink"/>
                      <w:rFonts w:eastAsia="SimSun"/>
                      <w:noProof/>
                      <w14:scene3d>
                        <w14:camera w14:prst="orthographicFront"/>
                        <w14:lightRig w14:rig="threePt" w14:dir="t">
                          <w14:rot w14:lat="0" w14:lon="0" w14:rev="0"/>
                        </w14:lightRig>
                      </w14:scene3d>
                    </w:rPr>
                    <w:t>11.</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Commissioning the System</w:t>
                  </w:r>
                  <w:r w:rsidR="00671CBD">
                    <w:rPr>
                      <w:noProof/>
                      <w:webHidden/>
                    </w:rPr>
                    <w:tab/>
                  </w:r>
                  <w:r w:rsidR="00671CBD">
                    <w:rPr>
                      <w:noProof/>
                      <w:webHidden/>
                    </w:rPr>
                    <w:fldChar w:fldCharType="begin"/>
                  </w:r>
                  <w:r w:rsidR="00671CBD">
                    <w:rPr>
                      <w:noProof/>
                      <w:webHidden/>
                    </w:rPr>
                    <w:instrText xml:space="preserve"> PAGEREF _Toc42764460 \h </w:instrText>
                  </w:r>
                  <w:r w:rsidR="00671CBD">
                    <w:rPr>
                      <w:noProof/>
                      <w:webHidden/>
                    </w:rPr>
                  </w:r>
                  <w:r w:rsidR="00671CBD">
                    <w:rPr>
                      <w:noProof/>
                      <w:webHidden/>
                    </w:rPr>
                    <w:fldChar w:fldCharType="separate"/>
                  </w:r>
                  <w:r>
                    <w:rPr>
                      <w:noProof/>
                      <w:webHidden/>
                    </w:rPr>
                    <w:t>9</w:t>
                  </w:r>
                  <w:r w:rsidR="00671CBD">
                    <w:rPr>
                      <w:noProof/>
                      <w:webHidden/>
                    </w:rPr>
                    <w:fldChar w:fldCharType="end"/>
                  </w:r>
                </w:hyperlink>
              </w:p>
              <w:p w14:paraId="705B321D" w14:textId="4AD25971" w:rsidR="00671CBD" w:rsidRDefault="003704C4">
                <w:pPr>
                  <w:pStyle w:val="TOC2"/>
                  <w:rPr>
                    <w:rFonts w:asciiTheme="minorHAnsi" w:eastAsiaTheme="minorEastAsia" w:hAnsiTheme="minorHAnsi" w:cstheme="minorBidi"/>
                    <w:bCs w:val="0"/>
                    <w:noProof/>
                    <w:sz w:val="22"/>
                    <w:lang w:eastAsia="en-AU"/>
                  </w:rPr>
                </w:pPr>
                <w:hyperlink w:anchor="_Toc42764461" w:history="1">
                  <w:r w:rsidR="00671CBD" w:rsidRPr="00305DF1">
                    <w:rPr>
                      <w:rStyle w:val="Hyperlink"/>
                      <w:rFonts w:eastAsia="SimSun"/>
                      <w:noProof/>
                    </w:rPr>
                    <w:t>General</w:t>
                  </w:r>
                  <w:r w:rsidR="00671CBD">
                    <w:rPr>
                      <w:noProof/>
                      <w:webHidden/>
                    </w:rPr>
                    <w:tab/>
                  </w:r>
                  <w:r w:rsidR="00671CBD">
                    <w:rPr>
                      <w:noProof/>
                      <w:webHidden/>
                    </w:rPr>
                    <w:fldChar w:fldCharType="begin"/>
                  </w:r>
                  <w:r w:rsidR="00671CBD">
                    <w:rPr>
                      <w:noProof/>
                      <w:webHidden/>
                    </w:rPr>
                    <w:instrText xml:space="preserve"> PAGEREF _Toc42764461 \h </w:instrText>
                  </w:r>
                  <w:r w:rsidR="00671CBD">
                    <w:rPr>
                      <w:noProof/>
                      <w:webHidden/>
                    </w:rPr>
                  </w:r>
                  <w:r w:rsidR="00671CBD">
                    <w:rPr>
                      <w:noProof/>
                      <w:webHidden/>
                    </w:rPr>
                    <w:fldChar w:fldCharType="separate"/>
                  </w:r>
                  <w:r>
                    <w:rPr>
                      <w:noProof/>
                      <w:webHidden/>
                    </w:rPr>
                    <w:t>9</w:t>
                  </w:r>
                  <w:r w:rsidR="00671CBD">
                    <w:rPr>
                      <w:noProof/>
                      <w:webHidden/>
                    </w:rPr>
                    <w:fldChar w:fldCharType="end"/>
                  </w:r>
                </w:hyperlink>
              </w:p>
              <w:p w14:paraId="759E7A58" w14:textId="3D7C4AE6" w:rsidR="00671CBD" w:rsidRDefault="003704C4">
                <w:pPr>
                  <w:pStyle w:val="TOC2"/>
                  <w:rPr>
                    <w:rFonts w:asciiTheme="minorHAnsi" w:eastAsiaTheme="minorEastAsia" w:hAnsiTheme="minorHAnsi" w:cstheme="minorBidi"/>
                    <w:bCs w:val="0"/>
                    <w:noProof/>
                    <w:sz w:val="22"/>
                    <w:lang w:eastAsia="en-AU"/>
                  </w:rPr>
                </w:pPr>
                <w:hyperlink w:anchor="_Toc42764462" w:history="1">
                  <w:r w:rsidR="00671CBD" w:rsidRPr="00305DF1">
                    <w:rPr>
                      <w:rStyle w:val="Hyperlink"/>
                      <w:rFonts w:eastAsia="SimSun"/>
                      <w:noProof/>
                    </w:rPr>
                    <w:t>Commissioning Report</w:t>
                  </w:r>
                  <w:r w:rsidR="00671CBD">
                    <w:rPr>
                      <w:noProof/>
                      <w:webHidden/>
                    </w:rPr>
                    <w:tab/>
                  </w:r>
                  <w:r w:rsidR="00671CBD">
                    <w:rPr>
                      <w:noProof/>
                      <w:webHidden/>
                    </w:rPr>
                    <w:fldChar w:fldCharType="begin"/>
                  </w:r>
                  <w:r w:rsidR="00671CBD">
                    <w:rPr>
                      <w:noProof/>
                      <w:webHidden/>
                    </w:rPr>
                    <w:instrText xml:space="preserve"> PAGEREF _Toc42764462 \h </w:instrText>
                  </w:r>
                  <w:r w:rsidR="00671CBD">
                    <w:rPr>
                      <w:noProof/>
                      <w:webHidden/>
                    </w:rPr>
                  </w:r>
                  <w:r w:rsidR="00671CBD">
                    <w:rPr>
                      <w:noProof/>
                      <w:webHidden/>
                    </w:rPr>
                    <w:fldChar w:fldCharType="separate"/>
                  </w:r>
                  <w:r>
                    <w:rPr>
                      <w:noProof/>
                      <w:webHidden/>
                    </w:rPr>
                    <w:t>9</w:t>
                  </w:r>
                  <w:r w:rsidR="00671CBD">
                    <w:rPr>
                      <w:noProof/>
                      <w:webHidden/>
                    </w:rPr>
                    <w:fldChar w:fldCharType="end"/>
                  </w:r>
                </w:hyperlink>
              </w:p>
              <w:p w14:paraId="5BC86CE4" w14:textId="2BDB818B" w:rsidR="00671CBD" w:rsidRDefault="003704C4">
                <w:pPr>
                  <w:pStyle w:val="TOC1"/>
                  <w:rPr>
                    <w:rFonts w:asciiTheme="minorHAnsi" w:eastAsiaTheme="minorEastAsia" w:hAnsiTheme="minorHAnsi" w:cstheme="minorBidi"/>
                    <w:b w:val="0"/>
                    <w:noProof/>
                    <w:sz w:val="22"/>
                    <w:szCs w:val="22"/>
                    <w:lang w:eastAsia="en-AU"/>
                  </w:rPr>
                </w:pPr>
                <w:hyperlink w:anchor="_Toc42764463" w:history="1">
                  <w:r w:rsidR="00671CBD" w:rsidRPr="00305DF1">
                    <w:rPr>
                      <w:rStyle w:val="Hyperlink"/>
                      <w:rFonts w:eastAsia="SimSun"/>
                      <w:noProof/>
                      <w14:scene3d>
                        <w14:camera w14:prst="orthographicFront"/>
                        <w14:lightRig w14:rig="threePt" w14:dir="t">
                          <w14:rot w14:lat="0" w14:lon="0" w14:rev="0"/>
                        </w14:lightRig>
                      </w14:scene3d>
                    </w:rPr>
                    <w:t>12.</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Monitoring and Maintenance Manual</w:t>
                  </w:r>
                  <w:r w:rsidR="00671CBD">
                    <w:rPr>
                      <w:noProof/>
                      <w:webHidden/>
                    </w:rPr>
                    <w:tab/>
                  </w:r>
                  <w:r w:rsidR="00671CBD">
                    <w:rPr>
                      <w:noProof/>
                      <w:webHidden/>
                    </w:rPr>
                    <w:fldChar w:fldCharType="begin"/>
                  </w:r>
                  <w:r w:rsidR="00671CBD">
                    <w:rPr>
                      <w:noProof/>
                      <w:webHidden/>
                    </w:rPr>
                    <w:instrText xml:space="preserve"> PAGEREF _Toc42764463 \h </w:instrText>
                  </w:r>
                  <w:r w:rsidR="00671CBD">
                    <w:rPr>
                      <w:noProof/>
                      <w:webHidden/>
                    </w:rPr>
                  </w:r>
                  <w:r w:rsidR="00671CBD">
                    <w:rPr>
                      <w:noProof/>
                      <w:webHidden/>
                    </w:rPr>
                    <w:fldChar w:fldCharType="separate"/>
                  </w:r>
                  <w:r>
                    <w:rPr>
                      <w:noProof/>
                      <w:webHidden/>
                    </w:rPr>
                    <w:t>10</w:t>
                  </w:r>
                  <w:r w:rsidR="00671CBD">
                    <w:rPr>
                      <w:noProof/>
                      <w:webHidden/>
                    </w:rPr>
                    <w:fldChar w:fldCharType="end"/>
                  </w:r>
                </w:hyperlink>
              </w:p>
              <w:p w14:paraId="33064876" w14:textId="122D1338" w:rsidR="00671CBD" w:rsidRDefault="003704C4">
                <w:pPr>
                  <w:pStyle w:val="TOC1"/>
                  <w:rPr>
                    <w:rFonts w:asciiTheme="minorHAnsi" w:eastAsiaTheme="minorEastAsia" w:hAnsiTheme="minorHAnsi" w:cstheme="minorBidi"/>
                    <w:b w:val="0"/>
                    <w:noProof/>
                    <w:sz w:val="22"/>
                    <w:szCs w:val="22"/>
                    <w:lang w:eastAsia="en-AU"/>
                  </w:rPr>
                </w:pPr>
                <w:hyperlink w:anchor="_Toc42764464" w:history="1">
                  <w:r w:rsidR="00671CBD" w:rsidRPr="00305DF1">
                    <w:rPr>
                      <w:rStyle w:val="Hyperlink"/>
                      <w:rFonts w:eastAsia="SimSun"/>
                      <w:noProof/>
                      <w14:scene3d>
                        <w14:camera w14:prst="orthographicFront"/>
                        <w14:lightRig w14:rig="threePt" w14:dir="t">
                          <w14:rot w14:lat="0" w14:lon="0" w14:rev="0"/>
                        </w14:lightRig>
                      </w14:scene3d>
                    </w:rPr>
                    <w:t>13.</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Operation and Maintenance</w:t>
                  </w:r>
                  <w:r w:rsidR="00671CBD">
                    <w:rPr>
                      <w:noProof/>
                      <w:webHidden/>
                    </w:rPr>
                    <w:tab/>
                  </w:r>
                  <w:r w:rsidR="00671CBD">
                    <w:rPr>
                      <w:noProof/>
                      <w:webHidden/>
                    </w:rPr>
                    <w:fldChar w:fldCharType="begin"/>
                  </w:r>
                  <w:r w:rsidR="00671CBD">
                    <w:rPr>
                      <w:noProof/>
                      <w:webHidden/>
                    </w:rPr>
                    <w:instrText xml:space="preserve"> PAGEREF _Toc42764464 \h </w:instrText>
                  </w:r>
                  <w:r w:rsidR="00671CBD">
                    <w:rPr>
                      <w:noProof/>
                      <w:webHidden/>
                    </w:rPr>
                  </w:r>
                  <w:r w:rsidR="00671CBD">
                    <w:rPr>
                      <w:noProof/>
                      <w:webHidden/>
                    </w:rPr>
                    <w:fldChar w:fldCharType="separate"/>
                  </w:r>
                  <w:r>
                    <w:rPr>
                      <w:noProof/>
                      <w:webHidden/>
                    </w:rPr>
                    <w:t>10</w:t>
                  </w:r>
                  <w:r w:rsidR="00671CBD">
                    <w:rPr>
                      <w:noProof/>
                      <w:webHidden/>
                    </w:rPr>
                    <w:fldChar w:fldCharType="end"/>
                  </w:r>
                </w:hyperlink>
              </w:p>
              <w:p w14:paraId="1316A459" w14:textId="66070DD8" w:rsidR="00671CBD" w:rsidRDefault="003704C4">
                <w:pPr>
                  <w:pStyle w:val="TOC1"/>
                  <w:tabs>
                    <w:tab w:val="left" w:pos="1571"/>
                  </w:tabs>
                  <w:rPr>
                    <w:rFonts w:asciiTheme="minorHAnsi" w:eastAsiaTheme="minorEastAsia" w:hAnsiTheme="minorHAnsi" w:cstheme="minorBidi"/>
                    <w:b w:val="0"/>
                    <w:noProof/>
                    <w:sz w:val="22"/>
                    <w:szCs w:val="22"/>
                    <w:lang w:eastAsia="en-AU"/>
                  </w:rPr>
                </w:pPr>
                <w:hyperlink w:anchor="_Toc42764465" w:history="1">
                  <w:r w:rsidR="00671CBD" w:rsidRPr="00305DF1">
                    <w:rPr>
                      <w:rStyle w:val="Hyperlink"/>
                      <w:rFonts w:eastAsia="SimSun"/>
                      <w:noProof/>
                    </w:rPr>
                    <w:t>Annexure A:</w:t>
                  </w:r>
                  <w:r w:rsidR="00671CBD">
                    <w:rPr>
                      <w:rFonts w:asciiTheme="minorHAnsi" w:eastAsiaTheme="minorEastAsia" w:hAnsiTheme="minorHAnsi" w:cstheme="minorBidi"/>
                      <w:b w:val="0"/>
                      <w:noProof/>
                      <w:sz w:val="22"/>
                      <w:szCs w:val="22"/>
                      <w:lang w:eastAsia="en-AU"/>
                    </w:rPr>
                    <w:tab/>
                  </w:r>
                  <w:r w:rsidR="00671CBD" w:rsidRPr="00305DF1">
                    <w:rPr>
                      <w:rStyle w:val="Hyperlink"/>
                      <w:rFonts w:eastAsia="SimSun"/>
                      <w:noProof/>
                    </w:rPr>
                    <w:t>Summary of Hold Points, Witness Points and Records</w:t>
                  </w:r>
                  <w:r w:rsidR="00671CBD">
                    <w:rPr>
                      <w:noProof/>
                      <w:webHidden/>
                    </w:rPr>
                    <w:tab/>
                  </w:r>
                  <w:r w:rsidR="00671CBD">
                    <w:rPr>
                      <w:noProof/>
                      <w:webHidden/>
                    </w:rPr>
                    <w:fldChar w:fldCharType="begin"/>
                  </w:r>
                  <w:r w:rsidR="00671CBD">
                    <w:rPr>
                      <w:noProof/>
                      <w:webHidden/>
                    </w:rPr>
                    <w:instrText xml:space="preserve"> PAGEREF _Toc42764465 \h </w:instrText>
                  </w:r>
                  <w:r w:rsidR="00671CBD">
                    <w:rPr>
                      <w:noProof/>
                      <w:webHidden/>
                    </w:rPr>
                  </w:r>
                  <w:r w:rsidR="00671CBD">
                    <w:rPr>
                      <w:noProof/>
                      <w:webHidden/>
                    </w:rPr>
                    <w:fldChar w:fldCharType="separate"/>
                  </w:r>
                  <w:r>
                    <w:rPr>
                      <w:noProof/>
                      <w:webHidden/>
                    </w:rPr>
                    <w:t>11</w:t>
                  </w:r>
                  <w:r w:rsidR="00671CBD">
                    <w:rPr>
                      <w:noProof/>
                      <w:webHidden/>
                    </w:rPr>
                    <w:fldChar w:fldCharType="end"/>
                  </w:r>
                </w:hyperlink>
              </w:p>
              <w:p w14:paraId="731494AC" w14:textId="66AB96C3" w:rsidR="00AF1D72" w:rsidRPr="003F7623" w:rsidRDefault="00B23DC4" w:rsidP="005C24F8">
                <w:pPr>
                  <w:pStyle w:val="TOC1"/>
                  <w:tabs>
                    <w:tab w:val="left" w:pos="1571"/>
                  </w:tabs>
                  <w:rPr>
                    <w:rFonts w:cs="Arial"/>
                    <w:b w:val="0"/>
                    <w:bCs/>
                  </w:rPr>
                </w:pPr>
                <w:r w:rsidRPr="00E562B0">
                  <w:rPr>
                    <w:rFonts w:cs="Arial"/>
                    <w:b w:val="0"/>
                    <w:bCs/>
                  </w:rPr>
                  <w:fldChar w:fldCharType="end"/>
                </w:r>
              </w:p>
            </w:sdtContent>
          </w:sdt>
        </w:tc>
      </w:tr>
    </w:tbl>
    <w:p w14:paraId="7FA9E9E5" w14:textId="12D2B50B" w:rsidR="00991F4D" w:rsidRPr="003E31BA" w:rsidRDefault="00AF1D72" w:rsidP="003704C4">
      <w:pPr>
        <w:pStyle w:val="Heading1"/>
      </w:pPr>
      <w:bookmarkStart w:id="2" w:name="_Toc42764444"/>
      <w:r w:rsidRPr="003E31BA">
        <w:t>Scope</w:t>
      </w:r>
      <w:bookmarkEnd w:id="0"/>
      <w:bookmarkEnd w:id="2"/>
    </w:p>
    <w:p w14:paraId="18730DC5" w14:textId="6863B1B9" w:rsidR="00825770" w:rsidRPr="003E695D" w:rsidRDefault="00825770" w:rsidP="00825770">
      <w:pPr>
        <w:pStyle w:val="Bodynumbered1"/>
      </w:pPr>
      <w:bookmarkStart w:id="3" w:name="_Toc886732"/>
      <w:bookmarkStart w:id="4" w:name="_Toc514678946"/>
      <w:bookmarkStart w:id="5" w:name="_Toc886733"/>
      <w:r w:rsidRPr="003E695D">
        <w:t>This Austroads Technical Specification ATS 5</w:t>
      </w:r>
      <w:r>
        <w:t>390</w:t>
      </w:r>
      <w:r w:rsidRPr="003E695D">
        <w:t xml:space="preserve"> sets out the requirements for the cathodic protection (CP) of steel in atmospherically exposed, </w:t>
      </w:r>
      <w:proofErr w:type="gramStart"/>
      <w:r w:rsidRPr="003E695D">
        <w:t>buried</w:t>
      </w:r>
      <w:proofErr w:type="gramEnd"/>
      <w:r w:rsidRPr="003E695D">
        <w:t xml:space="preserve"> and submerged concrete. It covers both new and existing structures and includes:</w:t>
      </w:r>
    </w:p>
    <w:p w14:paraId="10E3F0C6" w14:textId="77777777" w:rsidR="00825770" w:rsidRPr="003E695D" w:rsidRDefault="00825770" w:rsidP="00825770">
      <w:pPr>
        <w:pStyle w:val="Bodynumbered2"/>
      </w:pPr>
      <w:r w:rsidRPr="003E695D">
        <w:t>assessment of existing structures for CP and design (where this forms part of the Contract</w:t>
      </w:r>
      <w:proofErr w:type="gramStart"/>
      <w:r w:rsidRPr="003E695D">
        <w:t>);</w:t>
      </w:r>
      <w:proofErr w:type="gramEnd"/>
    </w:p>
    <w:p w14:paraId="139883DF" w14:textId="77777777" w:rsidR="00825770" w:rsidRPr="003E695D" w:rsidRDefault="00825770" w:rsidP="00825770">
      <w:pPr>
        <w:pStyle w:val="Bodynumbered2"/>
      </w:pPr>
      <w:r w:rsidRPr="003E695D">
        <w:t>installation; and</w:t>
      </w:r>
    </w:p>
    <w:p w14:paraId="5D07AE5E" w14:textId="77777777" w:rsidR="00825770" w:rsidRPr="003E695D" w:rsidRDefault="00825770" w:rsidP="00825770">
      <w:pPr>
        <w:pStyle w:val="Bodynumbered2"/>
      </w:pPr>
      <w:r w:rsidRPr="003E695D">
        <w:t>commissioning.</w:t>
      </w:r>
    </w:p>
    <w:p w14:paraId="159394C7" w14:textId="79BB9128" w:rsidR="009F08ED" w:rsidRPr="00825770" w:rsidRDefault="009F08ED" w:rsidP="00A105DD">
      <w:pPr>
        <w:pStyle w:val="Heading1"/>
        <w:pageBreakBefore/>
        <w:rPr>
          <w:rFonts w:eastAsiaTheme="majorEastAsia"/>
        </w:rPr>
      </w:pPr>
      <w:bookmarkStart w:id="6" w:name="_Toc42764445"/>
      <w:r w:rsidRPr="003E31BA">
        <w:lastRenderedPageBreak/>
        <w:t>Definitions</w:t>
      </w:r>
      <w:bookmarkEnd w:id="6"/>
    </w:p>
    <w:p w14:paraId="6DA2E006" w14:textId="77777777" w:rsidR="00825770" w:rsidRDefault="00825770" w:rsidP="00825770">
      <w:pPr>
        <w:pStyle w:val="Bodynumbered1"/>
      </w:pPr>
      <w:r w:rsidRPr="0010074C">
        <w:t xml:space="preserve">In addition to the definitions set out in </w:t>
      </w:r>
      <w:r w:rsidRPr="003E695D">
        <w:t>AS 2832.5, AS5100.8 and ISO 15257</w:t>
      </w:r>
      <w:r w:rsidRPr="00D7108E">
        <w:t>, the following definition appl</w:t>
      </w:r>
      <w:r>
        <w:t>ies</w:t>
      </w:r>
      <w:r w:rsidRPr="00D7108E">
        <w:t xml:space="preserve"> to this Specification:</w:t>
      </w:r>
    </w:p>
    <w:p w14:paraId="1C79391F" w14:textId="53A60715" w:rsidR="00825770" w:rsidRPr="009B3262" w:rsidRDefault="00825770" w:rsidP="00825770">
      <w:pPr>
        <w:pStyle w:val="BodyTextIndent"/>
      </w:pPr>
      <w:r>
        <w:t>Professional Engineer:</w:t>
      </w:r>
      <w:r>
        <w:tab/>
      </w:r>
      <w:r w:rsidRPr="009B3262">
        <w:t>A Chartered Professional Engineer who:</w:t>
      </w:r>
    </w:p>
    <w:p w14:paraId="71912650" w14:textId="62657CD0" w:rsidR="00825770" w:rsidRPr="009B3262" w:rsidRDefault="00B712F4" w:rsidP="00C51744">
      <w:pPr>
        <w:pStyle w:val="Bodynumbered2"/>
        <w:numPr>
          <w:ilvl w:val="0"/>
          <w:numId w:val="21"/>
        </w:numPr>
      </w:pPr>
      <w:r>
        <w:t xml:space="preserve">is </w:t>
      </w:r>
      <w:r w:rsidR="00825770" w:rsidRPr="009B3262">
        <w:t>registered on the National Engineering Register (NER</w:t>
      </w:r>
      <w:proofErr w:type="gramStart"/>
      <w:r w:rsidR="00825770" w:rsidRPr="009B3262">
        <w:t>);</w:t>
      </w:r>
      <w:proofErr w:type="gramEnd"/>
    </w:p>
    <w:p w14:paraId="6877B2E9" w14:textId="63D77BE7" w:rsidR="00825770" w:rsidRPr="009B3262" w:rsidRDefault="00B712F4" w:rsidP="00C51744">
      <w:pPr>
        <w:pStyle w:val="Bodynumbered2"/>
        <w:numPr>
          <w:ilvl w:val="0"/>
          <w:numId w:val="21"/>
        </w:numPr>
      </w:pPr>
      <w:r>
        <w:t xml:space="preserve">is </w:t>
      </w:r>
      <w:r w:rsidR="00825770" w:rsidRPr="009B3262">
        <w:t xml:space="preserve">registered on any scheme of registration of engineers prescribed by legislation in the applicable </w:t>
      </w:r>
      <w:proofErr w:type="gramStart"/>
      <w:r w:rsidR="00825770" w:rsidRPr="009B3262">
        <w:t>jurisdiction;</w:t>
      </w:r>
      <w:proofErr w:type="gramEnd"/>
      <w:r w:rsidR="00825770" w:rsidRPr="009B3262">
        <w:t xml:space="preserve"> </w:t>
      </w:r>
    </w:p>
    <w:p w14:paraId="53178B8E" w14:textId="1CB33AF1" w:rsidR="00825770" w:rsidRPr="009B3262" w:rsidRDefault="00825770" w:rsidP="00C51744">
      <w:pPr>
        <w:pStyle w:val="Bodynumbered2"/>
        <w:numPr>
          <w:ilvl w:val="0"/>
          <w:numId w:val="21"/>
        </w:numPr>
      </w:pPr>
      <w:r w:rsidRPr="009B3262">
        <w:t>has at 5 years</w:t>
      </w:r>
      <w:r w:rsidR="00B712F4">
        <w:t>’</w:t>
      </w:r>
      <w:r w:rsidRPr="009B3262">
        <w:t xml:space="preserve"> experience in engineering which is relevant to the design and/or installation of </w:t>
      </w:r>
      <w:r>
        <w:t>CP</w:t>
      </w:r>
      <w:r w:rsidRPr="009B3262">
        <w:t>; and</w:t>
      </w:r>
    </w:p>
    <w:p w14:paraId="4951AA8A" w14:textId="29660BA5" w:rsidR="00825770" w:rsidRPr="009B3262" w:rsidRDefault="00825770" w:rsidP="00C51744">
      <w:pPr>
        <w:pStyle w:val="Bodynumbered2"/>
        <w:numPr>
          <w:ilvl w:val="0"/>
          <w:numId w:val="21"/>
        </w:numPr>
      </w:pPr>
      <w:r w:rsidRPr="009B3262">
        <w:t>is appropriately registered or prequalified if the Principal has implemented an applicable registration or prequalification scheme.</w:t>
      </w:r>
    </w:p>
    <w:tbl>
      <w:tblPr>
        <w:tblStyle w:val="SimpleTable4"/>
        <w:tblW w:w="9639"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9639"/>
      </w:tblGrid>
      <w:tr w:rsidR="00825770" w:rsidRPr="00E06430" w14:paraId="1D2FD11B" w14:textId="77777777" w:rsidTr="00F04935">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D9D9D9"/>
          </w:tcPr>
          <w:p w14:paraId="5D0855CF" w14:textId="7AEA7DBF" w:rsidR="00825770" w:rsidRPr="00B712F4" w:rsidRDefault="00825770" w:rsidP="00B712F4">
            <w:pPr>
              <w:pStyle w:val="BodyText"/>
              <w:rPr>
                <w:rFonts w:eastAsia="SimSun"/>
                <w:b w:val="0"/>
                <w:bCs w:val="0"/>
                <w:color w:val="0D2B3E"/>
              </w:rPr>
            </w:pPr>
            <w:r w:rsidRPr="00B712F4">
              <w:rPr>
                <w:b w:val="0"/>
                <w:bCs w:val="0"/>
              </w:rPr>
              <w:t>For CP designed and</w:t>
            </w:r>
            <w:r w:rsidR="00B712F4">
              <w:rPr>
                <w:b w:val="0"/>
                <w:bCs w:val="0"/>
              </w:rPr>
              <w:t>/</w:t>
            </w:r>
            <w:r w:rsidRPr="00B712F4">
              <w:rPr>
                <w:b w:val="0"/>
                <w:bCs w:val="0"/>
              </w:rPr>
              <w:t>or installed in Queensland, the following additional requirement applies</w:t>
            </w:r>
            <w:r w:rsidRPr="00B712F4">
              <w:rPr>
                <w:rFonts w:eastAsia="SimSun"/>
                <w:b w:val="0"/>
                <w:bCs w:val="0"/>
                <w:color w:val="0D2B3E"/>
              </w:rPr>
              <w:t>:</w:t>
            </w:r>
          </w:p>
          <w:p w14:paraId="23D0D2B3" w14:textId="77777777" w:rsidR="00825770" w:rsidRPr="00B712F4" w:rsidRDefault="00825770" w:rsidP="00B712F4">
            <w:pPr>
              <w:pStyle w:val="Bodynumbered1"/>
              <w:rPr>
                <w:rFonts w:eastAsia="SimSun"/>
                <w:b w:val="0"/>
                <w:bCs/>
              </w:rPr>
            </w:pPr>
            <w:r w:rsidRPr="00B712F4">
              <w:rPr>
                <w:b w:val="0"/>
                <w:bCs/>
              </w:rPr>
              <w:t>The Professional Engineer must be a Registered Professional Engineer of Queensland (RPEQ).</w:t>
            </w:r>
          </w:p>
        </w:tc>
      </w:tr>
    </w:tbl>
    <w:p w14:paraId="2099917E" w14:textId="4316CA44" w:rsidR="00F40305" w:rsidRPr="003E31BA" w:rsidRDefault="003F7623" w:rsidP="00741C11">
      <w:pPr>
        <w:pStyle w:val="Heading1"/>
      </w:pPr>
      <w:bookmarkStart w:id="7" w:name="1.3.1_Definitions_–_Personnel"/>
      <w:bookmarkStart w:id="8" w:name="1.4_Work_Health_&amp;_Safety_(WHS)"/>
      <w:bookmarkStart w:id="9" w:name="1.6.3_Principal_Supplied_Components"/>
      <w:bookmarkStart w:id="10" w:name="4_Design,_Specification,_Documentation_a"/>
      <w:bookmarkStart w:id="11" w:name="_Toc42764446"/>
      <w:bookmarkEnd w:id="7"/>
      <w:bookmarkEnd w:id="8"/>
      <w:bookmarkEnd w:id="9"/>
      <w:bookmarkEnd w:id="10"/>
      <w:r w:rsidRPr="003E31BA">
        <w:t>Referenced Documents</w:t>
      </w:r>
      <w:bookmarkEnd w:id="4"/>
      <w:bookmarkEnd w:id="5"/>
      <w:bookmarkEnd w:id="11"/>
    </w:p>
    <w:p w14:paraId="3E6F44F2" w14:textId="6ECE4827" w:rsidR="00F40305" w:rsidRPr="00045CDF" w:rsidRDefault="005417E9" w:rsidP="00741C11">
      <w:pPr>
        <w:pStyle w:val="Bodynumbered1"/>
        <w:keepNext/>
      </w:pPr>
      <w:r w:rsidRPr="00825802">
        <w:t xml:space="preserve">The </w:t>
      </w:r>
      <w:r w:rsidRPr="006B49B7">
        <w:t>following</w:t>
      </w:r>
      <w:r w:rsidRPr="00825802">
        <w:t xml:space="preserve"> documents are referenced in this </w:t>
      </w:r>
      <w:r w:rsidR="00063F76">
        <w:t>S</w:t>
      </w:r>
      <w:r w:rsidR="00063F76" w:rsidRPr="00825802">
        <w:t>pecification</w:t>
      </w:r>
      <w:r w:rsidR="00502381">
        <w:t>:</w:t>
      </w:r>
    </w:p>
    <w:p w14:paraId="055EDF11" w14:textId="77777777" w:rsidR="009F08ED" w:rsidRPr="00A54C0A" w:rsidRDefault="009F08ED" w:rsidP="00741C11">
      <w:pPr>
        <w:pStyle w:val="BodyTextIndent"/>
        <w:keepNext/>
        <w:pBdr>
          <w:top w:val="single" w:sz="2" w:space="1" w:color="004259"/>
        </w:pBdr>
        <w:ind w:left="1843" w:hanging="1276"/>
        <w:rPr>
          <w:rFonts w:cs="Arial"/>
          <w:b/>
          <w:bCs w:val="0"/>
          <w:color w:val="004259"/>
          <w:sz w:val="22"/>
        </w:rPr>
      </w:pPr>
      <w:bookmarkStart w:id="12" w:name="_Toc514678947"/>
      <w:bookmarkStart w:id="13" w:name="_Toc886734"/>
      <w:bookmarkEnd w:id="3"/>
      <w:r w:rsidRPr="00A54C0A">
        <w:rPr>
          <w:b/>
          <w:bCs w:val="0"/>
          <w:color w:val="004259"/>
        </w:rPr>
        <w:t>Austroads</w:t>
      </w:r>
    </w:p>
    <w:p w14:paraId="672354ED" w14:textId="77777777" w:rsidR="002E4DD7" w:rsidRPr="003E695D" w:rsidRDefault="002E4DD7" w:rsidP="002E4DD7">
      <w:pPr>
        <w:pStyle w:val="BodyTextIndent"/>
      </w:pPr>
      <w:bookmarkStart w:id="14" w:name="_Hlk17105178"/>
      <w:r w:rsidRPr="003E695D">
        <w:t>ATS 5340</w:t>
      </w:r>
      <w:bookmarkEnd w:id="14"/>
      <w:r w:rsidRPr="003E695D">
        <w:tab/>
        <w:t xml:space="preserve">Cementitious Patch Repair of Concrete </w:t>
      </w:r>
    </w:p>
    <w:p w14:paraId="517DF199" w14:textId="5A3EAE65" w:rsidR="002E4DD7" w:rsidRDefault="002E4DD7" w:rsidP="002E4DD7">
      <w:pPr>
        <w:pStyle w:val="BodyTextIndent"/>
      </w:pPr>
      <w:bookmarkStart w:id="15" w:name="_Hlk17105142"/>
      <w:r w:rsidRPr="003E695D">
        <w:t>ATS 5343</w:t>
      </w:r>
      <w:bookmarkEnd w:id="15"/>
      <w:r w:rsidRPr="003E695D">
        <w:tab/>
        <w:t>Coating of Concrete</w:t>
      </w:r>
    </w:p>
    <w:p w14:paraId="0EDC2E7F" w14:textId="2C9E6CBF" w:rsidR="001B1C69" w:rsidRPr="00A54C0A" w:rsidRDefault="001B1C69" w:rsidP="001B1C69">
      <w:pPr>
        <w:pStyle w:val="BodyTextIndent"/>
        <w:keepNext/>
        <w:pBdr>
          <w:top w:val="single" w:sz="2" w:space="1" w:color="004259"/>
        </w:pBdr>
        <w:ind w:left="1843" w:hanging="1276"/>
        <w:rPr>
          <w:rFonts w:cs="Arial"/>
          <w:b/>
          <w:bCs w:val="0"/>
          <w:color w:val="004259"/>
          <w:sz w:val="22"/>
        </w:rPr>
      </w:pPr>
      <w:r w:rsidRPr="00A54C0A">
        <w:rPr>
          <w:b/>
          <w:bCs w:val="0"/>
          <w:color w:val="004259"/>
        </w:rPr>
        <w:t>Austr</w:t>
      </w:r>
      <w:r w:rsidR="00917715">
        <w:rPr>
          <w:b/>
          <w:bCs w:val="0"/>
          <w:color w:val="004259"/>
        </w:rPr>
        <w:t>alian/New Zealand Standards</w:t>
      </w:r>
    </w:p>
    <w:p w14:paraId="3C6EA314" w14:textId="0AF4590B" w:rsidR="00917715" w:rsidRPr="003E695D" w:rsidRDefault="00917715" w:rsidP="00917715">
      <w:pPr>
        <w:pStyle w:val="BodyTextIndent"/>
      </w:pPr>
      <w:r w:rsidRPr="003E695D">
        <w:t>AS 2239</w:t>
      </w:r>
      <w:r w:rsidRPr="003E695D">
        <w:tab/>
      </w:r>
      <w:r>
        <w:tab/>
      </w:r>
      <w:r w:rsidRPr="003E695D">
        <w:t>Galvanic (sacrificial) anodes for cathodic protection</w:t>
      </w:r>
    </w:p>
    <w:p w14:paraId="7B72FBB9" w14:textId="77777777" w:rsidR="00917715" w:rsidRPr="003E695D" w:rsidRDefault="00917715" w:rsidP="00917715">
      <w:pPr>
        <w:pStyle w:val="BodyTextIndent"/>
      </w:pPr>
      <w:r w:rsidRPr="003E695D">
        <w:t>AS 2832.5</w:t>
      </w:r>
      <w:r w:rsidRPr="003E695D">
        <w:tab/>
        <w:t>Cathodic protection of metals; Part 5: Steel in concrete structures</w:t>
      </w:r>
    </w:p>
    <w:p w14:paraId="052FD0A9" w14:textId="77777777" w:rsidR="00917715" w:rsidRPr="003E695D" w:rsidRDefault="00917715" w:rsidP="00917715">
      <w:pPr>
        <w:pStyle w:val="BodyTextIndent"/>
      </w:pPr>
      <w:r w:rsidRPr="003E695D">
        <w:t>AS/NZS 3000</w:t>
      </w:r>
      <w:r w:rsidRPr="003E695D">
        <w:tab/>
        <w:t>Electrical installations (known as Australia/New Zealand Wiring Rules)</w:t>
      </w:r>
    </w:p>
    <w:p w14:paraId="16649EF7" w14:textId="77777777" w:rsidR="00917715" w:rsidRPr="003E695D" w:rsidRDefault="00917715" w:rsidP="00917715">
      <w:pPr>
        <w:pStyle w:val="BodyTextIndent"/>
      </w:pPr>
      <w:r w:rsidRPr="003E695D">
        <w:t>AS/NZS 3012</w:t>
      </w:r>
      <w:r w:rsidRPr="003E695D">
        <w:tab/>
        <w:t>Electrical installations – Construction and demolition sites</w:t>
      </w:r>
    </w:p>
    <w:p w14:paraId="2D332CB8" w14:textId="15DC425C" w:rsidR="00917715" w:rsidRPr="003E695D" w:rsidRDefault="00917715" w:rsidP="00917715">
      <w:pPr>
        <w:pStyle w:val="BodyTextIndent"/>
      </w:pPr>
      <w:r w:rsidRPr="003E695D">
        <w:t>AS 3799</w:t>
      </w:r>
      <w:r w:rsidRPr="003E695D">
        <w:tab/>
      </w:r>
      <w:r>
        <w:tab/>
      </w:r>
      <w:r w:rsidRPr="003E695D">
        <w:t>Liquid Membrane</w:t>
      </w:r>
      <w:r>
        <w:t xml:space="preserve"> – </w:t>
      </w:r>
      <w:r w:rsidRPr="003E695D">
        <w:t>Forming Curing Compounds for Concrete</w:t>
      </w:r>
    </w:p>
    <w:p w14:paraId="1F475128" w14:textId="33EB7439" w:rsidR="00917715" w:rsidRDefault="00917715" w:rsidP="00917715">
      <w:pPr>
        <w:pStyle w:val="BodyTextIndent"/>
      </w:pPr>
      <w:r w:rsidRPr="003E695D">
        <w:t>AS 5100.8</w:t>
      </w:r>
      <w:r w:rsidRPr="003E695D">
        <w:tab/>
        <w:t>Bridge design Part 8: Rehabilitation and strengthening of existing bridges</w:t>
      </w:r>
    </w:p>
    <w:p w14:paraId="0E806392" w14:textId="074F01A1" w:rsidR="00917715" w:rsidRPr="00A54C0A" w:rsidRDefault="00917715" w:rsidP="00917715">
      <w:pPr>
        <w:pStyle w:val="BodyTextIndent"/>
        <w:keepNext/>
        <w:pBdr>
          <w:top w:val="single" w:sz="2" w:space="1" w:color="004259"/>
        </w:pBdr>
        <w:ind w:left="1843" w:hanging="1276"/>
        <w:rPr>
          <w:rFonts w:cs="Arial"/>
          <w:b/>
          <w:bCs w:val="0"/>
          <w:color w:val="004259"/>
          <w:sz w:val="22"/>
        </w:rPr>
      </w:pPr>
      <w:r>
        <w:rPr>
          <w:b/>
          <w:bCs w:val="0"/>
          <w:color w:val="004259"/>
        </w:rPr>
        <w:t>International Standards</w:t>
      </w:r>
    </w:p>
    <w:p w14:paraId="60620F9B" w14:textId="77777777" w:rsidR="00917715" w:rsidRPr="003E695D" w:rsidRDefault="00917715" w:rsidP="00917715">
      <w:pPr>
        <w:pStyle w:val="BodyTextIndent"/>
      </w:pPr>
      <w:r w:rsidRPr="003E695D">
        <w:t xml:space="preserve">ISO 12696 </w:t>
      </w:r>
      <w:r w:rsidRPr="003E695D">
        <w:tab/>
        <w:t>Cathodic protection of steel in concrete</w:t>
      </w:r>
    </w:p>
    <w:p w14:paraId="2CFD9F5A" w14:textId="1A90D8BE" w:rsidR="00917715" w:rsidRDefault="00917715" w:rsidP="00917715">
      <w:pPr>
        <w:pStyle w:val="BodyTextIndent"/>
        <w:ind w:left="2157" w:hanging="1590"/>
      </w:pPr>
      <w:r w:rsidRPr="003E695D">
        <w:t>ISO 15257</w:t>
      </w:r>
      <w:r w:rsidRPr="003E695D">
        <w:tab/>
        <w:t>Cathodic protection — Competence levels of cathodic protection persons — Basis for a certification scheme</w:t>
      </w:r>
    </w:p>
    <w:p w14:paraId="5A77D274" w14:textId="42499DD4" w:rsidR="00917715" w:rsidRPr="00A54C0A" w:rsidRDefault="00917715" w:rsidP="00917715">
      <w:pPr>
        <w:pStyle w:val="BodyTextIndent"/>
        <w:keepNext/>
        <w:pBdr>
          <w:top w:val="single" w:sz="2" w:space="1" w:color="004259"/>
        </w:pBdr>
        <w:ind w:left="1843" w:hanging="1276"/>
        <w:rPr>
          <w:rFonts w:cs="Arial"/>
          <w:b/>
          <w:bCs w:val="0"/>
          <w:color w:val="004259"/>
          <w:sz w:val="22"/>
        </w:rPr>
      </w:pPr>
      <w:r>
        <w:rPr>
          <w:b/>
          <w:bCs w:val="0"/>
          <w:color w:val="004259"/>
        </w:rPr>
        <w:t xml:space="preserve">ASTM International </w:t>
      </w:r>
    </w:p>
    <w:p w14:paraId="0BDC5266" w14:textId="3E85A521" w:rsidR="00917715" w:rsidRDefault="00917715" w:rsidP="00917715">
      <w:pPr>
        <w:pStyle w:val="BodyTextIndent"/>
      </w:pPr>
      <w:r w:rsidRPr="003E695D">
        <w:t>ASTM B265</w:t>
      </w:r>
      <w:r w:rsidRPr="003E695D">
        <w:tab/>
        <w:t xml:space="preserve">Standard Specification for Titanium and Titanium Alloy Strip, Sheet, and Plate </w:t>
      </w:r>
    </w:p>
    <w:p w14:paraId="0670DDD7" w14:textId="5A924A08" w:rsidR="00917715" w:rsidRPr="00A54C0A" w:rsidRDefault="00917715" w:rsidP="00917715">
      <w:pPr>
        <w:pStyle w:val="BodyTextIndent"/>
        <w:keepNext/>
        <w:pBdr>
          <w:top w:val="single" w:sz="2" w:space="1" w:color="004259"/>
        </w:pBdr>
        <w:ind w:left="1843" w:hanging="1276"/>
        <w:rPr>
          <w:rFonts w:cs="Arial"/>
          <w:b/>
          <w:bCs w:val="0"/>
          <w:color w:val="004259"/>
          <w:sz w:val="22"/>
        </w:rPr>
      </w:pPr>
      <w:r>
        <w:rPr>
          <w:b/>
          <w:bCs w:val="0"/>
          <w:color w:val="004259"/>
        </w:rPr>
        <w:lastRenderedPageBreak/>
        <w:t>Highways Agency</w:t>
      </w:r>
    </w:p>
    <w:p w14:paraId="415FAAE8" w14:textId="392F04A0" w:rsidR="00917715" w:rsidRPr="00917715" w:rsidRDefault="00917715" w:rsidP="00917715">
      <w:pPr>
        <w:pStyle w:val="BodyTextIndent"/>
        <w:ind w:left="2157" w:hanging="1590"/>
      </w:pPr>
      <w:r w:rsidRPr="00917715">
        <w:t>DB 2/12</w:t>
      </w:r>
      <w:r w:rsidRPr="00917715">
        <w:tab/>
      </w:r>
      <w:r>
        <w:tab/>
      </w:r>
      <w:r w:rsidRPr="00917715">
        <w:t>Design Manual for Roads and Bridges (DMRB) - Technical Approval of Highway Structures</w:t>
      </w:r>
    </w:p>
    <w:p w14:paraId="516337E0" w14:textId="1E2FAE75" w:rsidR="00D32834" w:rsidRPr="003E31BA" w:rsidRDefault="003F7623" w:rsidP="00751F63">
      <w:pPr>
        <w:pStyle w:val="Heading1"/>
      </w:pPr>
      <w:bookmarkStart w:id="16" w:name="_Toc42764447"/>
      <w:r w:rsidRPr="003E31BA">
        <w:t>Quality System Requirements</w:t>
      </w:r>
      <w:bookmarkEnd w:id="12"/>
      <w:bookmarkEnd w:id="13"/>
      <w:bookmarkEnd w:id="16"/>
    </w:p>
    <w:p w14:paraId="10107C0F" w14:textId="77777777" w:rsidR="00917715" w:rsidRPr="003E695D" w:rsidRDefault="00917715" w:rsidP="00DF1261">
      <w:pPr>
        <w:pStyle w:val="Bodynumbered1"/>
      </w:pPr>
      <w:bookmarkStart w:id="17" w:name="_Ref26533338"/>
      <w:bookmarkStart w:id="18" w:name="_Ref9599800"/>
      <w:r w:rsidRPr="003E695D">
        <w:t>The Contractor must prepare and implement a Quality Plan that includes:</w:t>
      </w:r>
      <w:bookmarkEnd w:id="17"/>
    </w:p>
    <w:p w14:paraId="63740285" w14:textId="4ABB5A5F" w:rsidR="00917715" w:rsidRPr="003E695D" w:rsidRDefault="00DF1261" w:rsidP="00C51744">
      <w:pPr>
        <w:pStyle w:val="Bodynumbered2"/>
        <w:numPr>
          <w:ilvl w:val="0"/>
          <w:numId w:val="22"/>
        </w:numPr>
        <w:ind w:left="924" w:hanging="357"/>
      </w:pPr>
      <w:r>
        <w:t>a p</w:t>
      </w:r>
      <w:r w:rsidRPr="003E695D">
        <w:t xml:space="preserve">reliminary </w:t>
      </w:r>
      <w:r w:rsidR="00917715" w:rsidRPr="003E695D">
        <w:t>design/description of the CP system</w:t>
      </w:r>
    </w:p>
    <w:p w14:paraId="7491958F" w14:textId="1086B9E5" w:rsidR="00917715" w:rsidRPr="003E695D" w:rsidRDefault="00DF1261" w:rsidP="00C51744">
      <w:pPr>
        <w:pStyle w:val="Bodynumbered2"/>
        <w:numPr>
          <w:ilvl w:val="0"/>
          <w:numId w:val="22"/>
        </w:numPr>
        <w:ind w:left="924" w:hanging="357"/>
      </w:pPr>
      <w:r>
        <w:t>p</w:t>
      </w:r>
      <w:r w:rsidRPr="003E695D">
        <w:t xml:space="preserve">rocedures </w:t>
      </w:r>
      <w:r w:rsidR="00917715" w:rsidRPr="003E695D">
        <w:t>and</w:t>
      </w:r>
      <w:r w:rsidR="00917715">
        <w:t xml:space="preserve"> </w:t>
      </w:r>
      <w:r w:rsidR="00917715" w:rsidRPr="003E695D">
        <w:t>Inspection and Test Plans (ITP</w:t>
      </w:r>
      <w:r>
        <w:t>s</w:t>
      </w:r>
      <w:r w:rsidR="00917715" w:rsidRPr="003E695D">
        <w:t>) for:</w:t>
      </w:r>
    </w:p>
    <w:p w14:paraId="102388B6" w14:textId="1B962F54" w:rsidR="00917715" w:rsidRPr="003E695D" w:rsidRDefault="00DF1261" w:rsidP="00DF1261">
      <w:pPr>
        <w:pStyle w:val="Bodynumbered3"/>
      </w:pPr>
      <w:r>
        <w:t>m</w:t>
      </w:r>
      <w:r w:rsidRPr="003E695D">
        <w:t xml:space="preserve">anaging </w:t>
      </w:r>
      <w:r w:rsidR="00917715" w:rsidRPr="003E695D">
        <w:t>the assessment of existing structures for CP and the design process (where this forms part of the Contract</w:t>
      </w:r>
      <w:proofErr w:type="gramStart"/>
      <w:r w:rsidR="00917715" w:rsidRPr="003E695D">
        <w:t>);</w:t>
      </w:r>
      <w:proofErr w:type="gramEnd"/>
    </w:p>
    <w:p w14:paraId="3E40680A" w14:textId="77777777" w:rsidR="00917715" w:rsidRPr="003E695D" w:rsidRDefault="00917715" w:rsidP="00DF1261">
      <w:pPr>
        <w:pStyle w:val="Bodynumbered3"/>
      </w:pPr>
      <w:r w:rsidRPr="003E695D">
        <w:t xml:space="preserve">CP System installation, including any concrete </w:t>
      </w:r>
      <w:proofErr w:type="gramStart"/>
      <w:r w:rsidRPr="003E695D">
        <w:t>repair;</w:t>
      </w:r>
      <w:proofErr w:type="gramEnd"/>
    </w:p>
    <w:p w14:paraId="47E40AC5" w14:textId="77777777" w:rsidR="00917715" w:rsidRPr="003E695D" w:rsidRDefault="00917715" w:rsidP="00DF1261">
      <w:pPr>
        <w:pStyle w:val="Bodynumbered3"/>
      </w:pPr>
      <w:r w:rsidRPr="003E695D">
        <w:t xml:space="preserve">CP System </w:t>
      </w:r>
      <w:proofErr w:type="gramStart"/>
      <w:r w:rsidRPr="003E695D">
        <w:t>commissioning;</w:t>
      </w:r>
      <w:proofErr w:type="gramEnd"/>
    </w:p>
    <w:p w14:paraId="127DF7D1" w14:textId="77777777" w:rsidR="00917715" w:rsidRPr="003E695D" w:rsidRDefault="00917715" w:rsidP="00DF1261">
      <w:pPr>
        <w:pStyle w:val="Bodynumbered3"/>
      </w:pPr>
      <w:r w:rsidRPr="003E695D">
        <w:t xml:space="preserve">CP System </w:t>
      </w:r>
      <w:proofErr w:type="gramStart"/>
      <w:r w:rsidRPr="003E695D">
        <w:t>monitoring;</w:t>
      </w:r>
      <w:proofErr w:type="gramEnd"/>
    </w:p>
    <w:p w14:paraId="0598D503" w14:textId="23CC5FC2" w:rsidR="00917715" w:rsidRPr="003E695D" w:rsidRDefault="00917715" w:rsidP="00C51744">
      <w:pPr>
        <w:pStyle w:val="Bodynumbered2"/>
        <w:numPr>
          <w:ilvl w:val="0"/>
          <w:numId w:val="22"/>
        </w:numPr>
        <w:ind w:left="924" w:hanging="357"/>
      </w:pPr>
      <w:bookmarkStart w:id="19" w:name="_Ref17204986"/>
      <w:r w:rsidRPr="003E695D">
        <w:t>details of all materials/equipment to be used, including the manufacturer’s datasheets, instructions and test results demonstrating compliance with this Specification; and</w:t>
      </w:r>
    </w:p>
    <w:p w14:paraId="53307D86" w14:textId="77777777" w:rsidR="00917715" w:rsidRPr="003E695D" w:rsidRDefault="00917715" w:rsidP="00C51744">
      <w:pPr>
        <w:pStyle w:val="Bodynumbered2"/>
        <w:numPr>
          <w:ilvl w:val="0"/>
          <w:numId w:val="22"/>
        </w:numPr>
        <w:ind w:left="924" w:hanging="357"/>
      </w:pPr>
      <w:r w:rsidRPr="003E695D">
        <w:t xml:space="preserve">details of the personnel, including the designer and independent reviewer, with evidence that they comply with the requirements of this Specification. </w:t>
      </w:r>
    </w:p>
    <w:p w14:paraId="064C68AE" w14:textId="77777777" w:rsidR="00917715" w:rsidRPr="003E695D" w:rsidRDefault="00917715" w:rsidP="00DF1261">
      <w:pPr>
        <w:pStyle w:val="Bodynumbered1"/>
      </w:pPr>
      <w:r w:rsidRPr="003E695D">
        <w:t>The procedures and ITPs must:</w:t>
      </w:r>
      <w:bookmarkEnd w:id="19"/>
    </w:p>
    <w:p w14:paraId="3C589D60" w14:textId="723A27A0" w:rsidR="00917715" w:rsidRPr="003E695D" w:rsidRDefault="00917715" w:rsidP="00C51744">
      <w:pPr>
        <w:pStyle w:val="Bodynumbered2"/>
        <w:numPr>
          <w:ilvl w:val="0"/>
          <w:numId w:val="23"/>
        </w:numPr>
        <w:ind w:left="924" w:hanging="357"/>
      </w:pPr>
      <w:r w:rsidRPr="003E695D">
        <w:t>cross reference all applicable Specification Clauses; and</w:t>
      </w:r>
    </w:p>
    <w:p w14:paraId="2E9A2E43" w14:textId="51D38089" w:rsidR="00917715" w:rsidRPr="003E695D" w:rsidRDefault="00917715" w:rsidP="00C51744">
      <w:pPr>
        <w:pStyle w:val="Bodynumbered2"/>
        <w:numPr>
          <w:ilvl w:val="0"/>
          <w:numId w:val="23"/>
        </w:numPr>
        <w:ind w:left="924" w:hanging="357"/>
      </w:pPr>
      <w:r w:rsidRPr="003E695D">
        <w:t>identify all performance requirements and Hold Points.</w:t>
      </w:r>
    </w:p>
    <w:tbl>
      <w:tblPr>
        <w:tblStyle w:val="TMTable"/>
        <w:tblW w:w="8931" w:type="dxa"/>
        <w:tblInd w:w="557" w:type="dxa"/>
        <w:tblLook w:val="04A0" w:firstRow="1" w:lastRow="0" w:firstColumn="1" w:lastColumn="0" w:noHBand="0" w:noVBand="1"/>
      </w:tblPr>
      <w:tblGrid>
        <w:gridCol w:w="1985"/>
        <w:gridCol w:w="6946"/>
      </w:tblGrid>
      <w:tr w:rsidR="003E31BA" w14:paraId="228520FD" w14:textId="77777777" w:rsidTr="0059043A">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5D5860C4" w14:textId="7F8FCC36" w:rsidR="003E31BA" w:rsidRPr="00FB025A" w:rsidRDefault="003E31BA" w:rsidP="00A65212">
            <w:pPr>
              <w:pStyle w:val="TableHeading"/>
              <w:rPr>
                <w:b/>
                <w:bCs/>
              </w:rPr>
            </w:pPr>
            <w:bookmarkStart w:id="20" w:name="_Hlk9589851"/>
            <w:bookmarkEnd w:id="18"/>
            <w:r w:rsidRPr="00FB025A">
              <w:rPr>
                <w:b/>
                <w:bCs/>
              </w:rPr>
              <w:t>HOLD POINT 1</w:t>
            </w:r>
          </w:p>
        </w:tc>
      </w:tr>
      <w:tr w:rsidR="003E31BA" w14:paraId="04018650" w14:textId="77777777" w:rsidTr="008B4D05">
        <w:tc>
          <w:tcPr>
            <w:tcW w:w="1985" w:type="dxa"/>
            <w:tcBorders>
              <w:bottom w:val="single" w:sz="4" w:space="0" w:color="FFFFFF" w:themeColor="background1"/>
            </w:tcBorders>
            <w:hideMark/>
          </w:tcPr>
          <w:p w14:paraId="684F3EF5" w14:textId="77777777" w:rsidR="003E31BA" w:rsidRPr="00FB025A" w:rsidRDefault="003E31BA" w:rsidP="00FB025A">
            <w:pPr>
              <w:pStyle w:val="TableBodyText"/>
            </w:pPr>
            <w:r w:rsidRPr="00FB025A">
              <w:t>Process Held</w:t>
            </w:r>
          </w:p>
        </w:tc>
        <w:tc>
          <w:tcPr>
            <w:tcW w:w="6946" w:type="dxa"/>
            <w:tcBorders>
              <w:bottom w:val="single" w:sz="4" w:space="0" w:color="FFFFFF" w:themeColor="background1"/>
            </w:tcBorders>
            <w:hideMark/>
          </w:tcPr>
          <w:p w14:paraId="432F2DEC" w14:textId="5A540177" w:rsidR="003E31BA" w:rsidRPr="00FB025A" w:rsidRDefault="003E31BA" w:rsidP="00FB025A">
            <w:pPr>
              <w:pStyle w:val="TableBodyText"/>
            </w:pPr>
            <w:r w:rsidRPr="00FB025A">
              <w:t xml:space="preserve">Commencement of </w:t>
            </w:r>
            <w:r w:rsidR="00DF1261">
              <w:t>system installation</w:t>
            </w:r>
            <w:r w:rsidR="00741C11" w:rsidRPr="00FB025A">
              <w:t>.</w:t>
            </w:r>
          </w:p>
        </w:tc>
      </w:tr>
      <w:tr w:rsidR="003E31BA" w14:paraId="6C79FAB1" w14:textId="77777777" w:rsidTr="008B4D05">
        <w:tc>
          <w:tcPr>
            <w:tcW w:w="1985" w:type="dxa"/>
            <w:tcBorders>
              <w:bottom w:val="single" w:sz="4" w:space="0" w:color="004259"/>
            </w:tcBorders>
            <w:hideMark/>
          </w:tcPr>
          <w:p w14:paraId="498A5ACB" w14:textId="77777777" w:rsidR="003E31BA" w:rsidRPr="00FB025A" w:rsidRDefault="003E31BA" w:rsidP="00FB025A">
            <w:pPr>
              <w:pStyle w:val="TableBodyText"/>
            </w:pPr>
            <w:r w:rsidRPr="00FB025A">
              <w:t>Submission Details</w:t>
            </w:r>
          </w:p>
        </w:tc>
        <w:tc>
          <w:tcPr>
            <w:tcW w:w="6946" w:type="dxa"/>
            <w:tcBorders>
              <w:bottom w:val="single" w:sz="4" w:space="0" w:color="004259"/>
            </w:tcBorders>
            <w:hideMark/>
          </w:tcPr>
          <w:p w14:paraId="5BC9EC45" w14:textId="534FFD1B" w:rsidR="003E31BA" w:rsidRPr="00FB025A" w:rsidRDefault="003E31BA" w:rsidP="00FB025A">
            <w:pPr>
              <w:pStyle w:val="TableBodyText"/>
            </w:pPr>
            <w:r w:rsidRPr="00FB025A">
              <w:t xml:space="preserve">The Quality Plan </w:t>
            </w:r>
            <w:bookmarkStart w:id="21" w:name="_Hlk3530642"/>
            <w:r w:rsidRPr="00FB025A">
              <w:t>must be provided at least 21 days prior to the</w:t>
            </w:r>
            <w:bookmarkEnd w:id="21"/>
            <w:r w:rsidR="0059043A">
              <w:t xml:space="preserve"> </w:t>
            </w:r>
            <w:r w:rsidRPr="00FB025A">
              <w:t xml:space="preserve">commencement of </w:t>
            </w:r>
            <w:r w:rsidR="00DF1261">
              <w:t>system installation</w:t>
            </w:r>
            <w:r w:rsidRPr="00FB025A">
              <w:t>.</w:t>
            </w:r>
          </w:p>
        </w:tc>
        <w:bookmarkEnd w:id="20"/>
      </w:tr>
    </w:tbl>
    <w:p w14:paraId="06B7984F" w14:textId="56E09DF0" w:rsidR="003F4501" w:rsidRDefault="00DF1261" w:rsidP="003E31BA">
      <w:pPr>
        <w:pStyle w:val="Heading1"/>
      </w:pPr>
      <w:bookmarkStart w:id="22" w:name="_Toc42764448"/>
      <w:bookmarkStart w:id="23" w:name="_Toc1138829"/>
      <w:bookmarkStart w:id="24" w:name="_Toc9850016"/>
      <w:bookmarkStart w:id="25" w:name="_Hlk9434043"/>
      <w:r>
        <w:t>Contractor Competency and Personnel</w:t>
      </w:r>
      <w:bookmarkEnd w:id="22"/>
    </w:p>
    <w:p w14:paraId="39F04564" w14:textId="77B56B93" w:rsidR="009206DD" w:rsidRPr="003E695D" w:rsidRDefault="009206DD" w:rsidP="009206DD">
      <w:pPr>
        <w:pStyle w:val="Bodynumbered1"/>
      </w:pPr>
      <w:r w:rsidRPr="003E695D">
        <w:t xml:space="preserve">The Contractor warrants that </w:t>
      </w:r>
      <w:r w:rsidRPr="0094005B">
        <w:t>it (</w:t>
      </w:r>
      <w:r w:rsidRPr="003E695D">
        <w:t xml:space="preserve">or the subcontractor, if the repair work is being undertaken by a subcontractor) </w:t>
      </w:r>
      <w:r w:rsidRPr="0094005B">
        <w:t xml:space="preserve">is </w:t>
      </w:r>
      <w:r w:rsidRPr="003E695D">
        <w:t xml:space="preserve">suitably skilled and experienced in undertaking the design, </w:t>
      </w:r>
      <w:proofErr w:type="gramStart"/>
      <w:r w:rsidRPr="003E695D">
        <w:t>installation</w:t>
      </w:r>
      <w:proofErr w:type="gramEnd"/>
      <w:r w:rsidRPr="003E695D">
        <w:t xml:space="preserve"> and commissioning of </w:t>
      </w:r>
      <w:r>
        <w:t>CP</w:t>
      </w:r>
      <w:r w:rsidRPr="003E695D">
        <w:t xml:space="preserve"> </w:t>
      </w:r>
      <w:r>
        <w:t>S</w:t>
      </w:r>
      <w:r w:rsidRPr="003E695D">
        <w:t>ystems.</w:t>
      </w:r>
    </w:p>
    <w:p w14:paraId="51A2E465" w14:textId="77777777" w:rsidR="009206DD" w:rsidRPr="003E695D" w:rsidRDefault="009206DD" w:rsidP="009206DD">
      <w:pPr>
        <w:pStyle w:val="Bodynumbered1"/>
      </w:pPr>
      <w:r w:rsidRPr="003E695D">
        <w:t>Personnel undertaking tasks in connection with this Specification must:</w:t>
      </w:r>
    </w:p>
    <w:p w14:paraId="2ACC4691" w14:textId="77777777" w:rsidR="008B4D05" w:rsidRDefault="009206DD" w:rsidP="008B4D05">
      <w:pPr>
        <w:pStyle w:val="Bodynumbered2"/>
        <w:numPr>
          <w:ilvl w:val="0"/>
          <w:numId w:val="43"/>
        </w:numPr>
        <w:ind w:left="851" w:hanging="284"/>
      </w:pPr>
      <w:r w:rsidRPr="003E695D">
        <w:t xml:space="preserve">satisfy the requirements of AS2832.5 Appendix </w:t>
      </w:r>
      <w:proofErr w:type="gramStart"/>
      <w:r w:rsidRPr="003E695D">
        <w:t>E;</w:t>
      </w:r>
      <w:proofErr w:type="gramEnd"/>
    </w:p>
    <w:p w14:paraId="60BAAE3C" w14:textId="77777777" w:rsidR="008B4D05" w:rsidRDefault="009206DD" w:rsidP="008B4D05">
      <w:pPr>
        <w:pStyle w:val="Bodynumbered2"/>
        <w:numPr>
          <w:ilvl w:val="0"/>
          <w:numId w:val="43"/>
        </w:numPr>
        <w:ind w:left="851" w:hanging="284"/>
      </w:pPr>
      <w:r w:rsidRPr="003E695D">
        <w:t>be assessed for competency in accordance with ISO 15257; and</w:t>
      </w:r>
    </w:p>
    <w:p w14:paraId="455EBFF0" w14:textId="4FEA0B27" w:rsidR="009206DD" w:rsidRPr="003E695D" w:rsidRDefault="009206DD" w:rsidP="008B4D05">
      <w:pPr>
        <w:pStyle w:val="Bodynumbered2"/>
        <w:numPr>
          <w:ilvl w:val="0"/>
          <w:numId w:val="43"/>
        </w:numPr>
        <w:ind w:left="851" w:hanging="284"/>
      </w:pPr>
      <w:r w:rsidRPr="003E695D">
        <w:t xml:space="preserve">only undertake tasks that are within their assessed level of competency. </w:t>
      </w:r>
    </w:p>
    <w:p w14:paraId="5EF63526" w14:textId="77777777" w:rsidR="009206DD" w:rsidRPr="003E695D" w:rsidRDefault="009206DD" w:rsidP="009206DD">
      <w:pPr>
        <w:pStyle w:val="Bodynumbered1"/>
      </w:pPr>
      <w:r w:rsidRPr="003E695D">
        <w:t xml:space="preserve">The site supervisor </w:t>
      </w:r>
      <w:proofErr w:type="gramStart"/>
      <w:r w:rsidRPr="003E695D">
        <w:t>must be present at all times</w:t>
      </w:r>
      <w:proofErr w:type="gramEnd"/>
      <w:r w:rsidRPr="003E695D">
        <w:t xml:space="preserve"> during the installation of CP components.</w:t>
      </w:r>
    </w:p>
    <w:p w14:paraId="407E1C67" w14:textId="0076E907" w:rsidR="003E31BA" w:rsidRDefault="009206DD" w:rsidP="003E31BA">
      <w:pPr>
        <w:pStyle w:val="Heading1"/>
      </w:pPr>
      <w:bookmarkStart w:id="26" w:name="_Toc42764449"/>
      <w:bookmarkStart w:id="27" w:name="_Ref15469889"/>
      <w:bookmarkStart w:id="28" w:name="_Hlk9598492"/>
      <w:r>
        <w:lastRenderedPageBreak/>
        <w:t>Assessment of Existing Structures for Cathodic Protection</w:t>
      </w:r>
      <w:bookmarkEnd w:id="26"/>
    </w:p>
    <w:p w14:paraId="3EDA350E" w14:textId="05ECDC0B" w:rsidR="00B069C3" w:rsidRPr="003E695D" w:rsidRDefault="00B069C3" w:rsidP="008B4D05">
      <w:pPr>
        <w:pStyle w:val="Bodynumbered1"/>
        <w:keepNext/>
      </w:pPr>
      <w:r w:rsidRPr="003E695D">
        <w:t xml:space="preserve">This Clause only applies to an existing structure where the Contractor is required to design the CP System and the Principal has not provided all the information listed in Clause </w:t>
      </w:r>
      <w:r w:rsidRPr="003E695D">
        <w:fldChar w:fldCharType="begin"/>
      </w:r>
      <w:r w:rsidRPr="003E695D">
        <w:instrText xml:space="preserve"> REF _Ref29383132 \r \h </w:instrText>
      </w:r>
      <w:r>
        <w:instrText xml:space="preserve"> \* MERGEFORMAT </w:instrText>
      </w:r>
      <w:r w:rsidRPr="003E695D">
        <w:fldChar w:fldCharType="separate"/>
      </w:r>
      <w:r>
        <w:t>6.2</w:t>
      </w:r>
      <w:r w:rsidRPr="003E695D">
        <w:fldChar w:fldCharType="end"/>
      </w:r>
      <w:r w:rsidRPr="003E695D">
        <w:t>.</w:t>
      </w:r>
    </w:p>
    <w:p w14:paraId="54321E58" w14:textId="6AC24C5D" w:rsidR="00B069C3" w:rsidRPr="003E695D" w:rsidRDefault="00B069C3" w:rsidP="00B069C3">
      <w:pPr>
        <w:pStyle w:val="Bodynumbered1"/>
      </w:pPr>
      <w:bookmarkStart w:id="29" w:name="_Ref29383132"/>
      <w:r w:rsidRPr="003E695D">
        <w:t xml:space="preserve">To confirm the suitability of the proposed CP System and provide design input, the Contractor must </w:t>
      </w:r>
      <w:r>
        <w:t xml:space="preserve">ensure that a Professional Engineer </w:t>
      </w:r>
      <w:r w:rsidRPr="003E695D">
        <w:t>undertake</w:t>
      </w:r>
      <w:r>
        <w:t>s</w:t>
      </w:r>
      <w:r w:rsidRPr="003E695D">
        <w:t xml:space="preserve"> a diagnostic investigation of the existing structure. The investigation must be undertaken on components which are representative</w:t>
      </w:r>
      <w:r>
        <w:t xml:space="preserve"> </w:t>
      </w:r>
      <w:r w:rsidRPr="003E695D">
        <w:t>of the structure and the cathodic protection exposure zones. At a minimum, the investigation must include:</w:t>
      </w:r>
      <w:bookmarkEnd w:id="29"/>
    </w:p>
    <w:p w14:paraId="21C30204" w14:textId="3EF7F1AB" w:rsidR="00B069C3" w:rsidRPr="003E695D" w:rsidRDefault="00EB2179" w:rsidP="00C51744">
      <w:pPr>
        <w:pStyle w:val="Bodynumbered2"/>
        <w:numPr>
          <w:ilvl w:val="0"/>
          <w:numId w:val="24"/>
        </w:numPr>
        <w:ind w:left="924" w:hanging="357"/>
      </w:pPr>
      <w:r>
        <w:t xml:space="preserve">a </w:t>
      </w:r>
      <w:r w:rsidR="00B069C3" w:rsidRPr="003E695D">
        <w:t xml:space="preserve">visual inspection of all defects such as cracks, honeycombing or poor construction joints including a comprehensive photographic </w:t>
      </w:r>
      <w:proofErr w:type="gramStart"/>
      <w:r w:rsidR="00B069C3" w:rsidRPr="003E695D">
        <w:t>record;</w:t>
      </w:r>
      <w:proofErr w:type="gramEnd"/>
    </w:p>
    <w:p w14:paraId="51312A72" w14:textId="5CDBC257" w:rsidR="00B069C3" w:rsidRPr="003E695D" w:rsidRDefault="00EB2179" w:rsidP="00B069C3">
      <w:pPr>
        <w:pStyle w:val="Bodynumbered2"/>
      </w:pPr>
      <w:r>
        <w:t xml:space="preserve">a </w:t>
      </w:r>
      <w:r w:rsidR="00B069C3" w:rsidRPr="003E695D">
        <w:t xml:space="preserve">delamination survey of the cover </w:t>
      </w:r>
      <w:proofErr w:type="gramStart"/>
      <w:r w:rsidR="00B069C3" w:rsidRPr="003E695D">
        <w:t>concrete;</w:t>
      </w:r>
      <w:proofErr w:type="gramEnd"/>
    </w:p>
    <w:p w14:paraId="66362CD5" w14:textId="77777777" w:rsidR="00B069C3" w:rsidRPr="003E695D" w:rsidRDefault="00B069C3" w:rsidP="00B069C3">
      <w:pPr>
        <w:pStyle w:val="Bodynumbered2"/>
      </w:pPr>
      <w:r w:rsidRPr="003E695D">
        <w:t xml:space="preserve">chloride determination at incremental depths and </w:t>
      </w:r>
      <w:proofErr w:type="gramStart"/>
      <w:r w:rsidRPr="003E695D">
        <w:t>analysis;</w:t>
      </w:r>
      <w:proofErr w:type="gramEnd"/>
    </w:p>
    <w:p w14:paraId="4762C3EA" w14:textId="77777777" w:rsidR="00B069C3" w:rsidRPr="003E695D" w:rsidRDefault="00B069C3" w:rsidP="00B069C3">
      <w:pPr>
        <w:pStyle w:val="Bodynumbered2"/>
      </w:pPr>
      <w:r w:rsidRPr="003E695D">
        <w:t xml:space="preserve">carbonation depth </w:t>
      </w:r>
      <w:proofErr w:type="gramStart"/>
      <w:r w:rsidRPr="003E695D">
        <w:t>measurement;</w:t>
      </w:r>
      <w:proofErr w:type="gramEnd"/>
    </w:p>
    <w:p w14:paraId="3302CE5C" w14:textId="77777777" w:rsidR="00B069C3" w:rsidRPr="003E695D" w:rsidRDefault="00B069C3" w:rsidP="00B069C3">
      <w:pPr>
        <w:pStyle w:val="Bodynumbered2"/>
      </w:pPr>
      <w:r w:rsidRPr="003E695D">
        <w:t xml:space="preserve">concrete </w:t>
      </w:r>
      <w:proofErr w:type="gramStart"/>
      <w:r w:rsidRPr="003E695D">
        <w:t>cover;</w:t>
      </w:r>
      <w:proofErr w:type="gramEnd"/>
    </w:p>
    <w:p w14:paraId="0DB37DE9" w14:textId="4E193DEE" w:rsidR="00B069C3" w:rsidRPr="003E695D" w:rsidRDefault="00EB2179" w:rsidP="00B069C3">
      <w:pPr>
        <w:pStyle w:val="Bodynumbered2"/>
      </w:pPr>
      <w:r>
        <w:t xml:space="preserve">an </w:t>
      </w:r>
      <w:r w:rsidR="00B069C3" w:rsidRPr="003E695D">
        <w:t xml:space="preserve">alkali aggregate reaction (AAR) assessment, including any </w:t>
      </w:r>
      <w:proofErr w:type="gramStart"/>
      <w:r w:rsidR="00B069C3" w:rsidRPr="003E695D">
        <w:t>long term</w:t>
      </w:r>
      <w:proofErr w:type="gramEnd"/>
      <w:r w:rsidR="00B069C3" w:rsidRPr="003E695D">
        <w:t xml:space="preserve"> residual effects of AAR if any over the longer term;</w:t>
      </w:r>
    </w:p>
    <w:p w14:paraId="39F208FF" w14:textId="77777777" w:rsidR="00B069C3" w:rsidRPr="003E695D" w:rsidRDefault="00B069C3" w:rsidP="00B069C3">
      <w:pPr>
        <w:pStyle w:val="Bodynumbered2"/>
      </w:pPr>
      <w:r w:rsidRPr="003E695D">
        <w:t>steel reinforcement continuity:</w:t>
      </w:r>
    </w:p>
    <w:p w14:paraId="154FDEB4" w14:textId="2020364E" w:rsidR="00B069C3" w:rsidRPr="003E695D" w:rsidRDefault="00B069C3" w:rsidP="00C51744">
      <w:pPr>
        <w:pStyle w:val="Bodynumbered2"/>
        <w:numPr>
          <w:ilvl w:val="0"/>
          <w:numId w:val="25"/>
        </w:numPr>
        <w:ind w:left="1418" w:hanging="425"/>
      </w:pPr>
      <w:r w:rsidRPr="003E695D">
        <w:t>continuity between elements of the structure within each zone of the proposed CP System,</w:t>
      </w:r>
    </w:p>
    <w:p w14:paraId="341F5E7B" w14:textId="73C01752" w:rsidR="00B069C3" w:rsidRPr="003E695D" w:rsidRDefault="00AD78ED" w:rsidP="00AD78ED">
      <w:pPr>
        <w:pStyle w:val="Bodynumbered3"/>
        <w:numPr>
          <w:ilvl w:val="0"/>
          <w:numId w:val="0"/>
        </w:numPr>
        <w:ind w:left="1418" w:hanging="425"/>
      </w:pPr>
      <w:r>
        <w:t>ii)</w:t>
      </w:r>
      <w:r>
        <w:tab/>
      </w:r>
      <w:r w:rsidR="00B069C3" w:rsidRPr="003E695D">
        <w:t xml:space="preserve">continuity of metallic items, other than reinforcement (e.g. bearing plates), to the reinforcement </w:t>
      </w:r>
      <w:proofErr w:type="gramStart"/>
      <w:r w:rsidR="00B069C3" w:rsidRPr="003E695D">
        <w:t>itself;</w:t>
      </w:r>
      <w:proofErr w:type="gramEnd"/>
    </w:p>
    <w:p w14:paraId="32786C47" w14:textId="381ED880" w:rsidR="00B069C3" w:rsidRPr="003E695D" w:rsidRDefault="00B069C3" w:rsidP="00C51744">
      <w:pPr>
        <w:pStyle w:val="Bodynumbered2"/>
        <w:numPr>
          <w:ilvl w:val="0"/>
          <w:numId w:val="26"/>
        </w:numPr>
        <w:ind w:left="924" w:hanging="357"/>
      </w:pPr>
      <w:r w:rsidRPr="003E695D">
        <w:t xml:space="preserve">potential </w:t>
      </w:r>
      <w:proofErr w:type="gramStart"/>
      <w:r w:rsidRPr="003E695D">
        <w:t>mapping;</w:t>
      </w:r>
      <w:proofErr w:type="gramEnd"/>
    </w:p>
    <w:p w14:paraId="50DEA03B" w14:textId="77777777" w:rsidR="00B069C3" w:rsidRPr="003E695D" w:rsidRDefault="00B069C3" w:rsidP="00B069C3">
      <w:pPr>
        <w:pStyle w:val="Bodynumbered2"/>
      </w:pPr>
      <w:r w:rsidRPr="003E695D">
        <w:t xml:space="preserve">concrete electrical </w:t>
      </w:r>
      <w:proofErr w:type="gramStart"/>
      <w:r w:rsidRPr="003E695D">
        <w:t>resistivity;</w:t>
      </w:r>
      <w:proofErr w:type="gramEnd"/>
    </w:p>
    <w:p w14:paraId="07B5D95E" w14:textId="77777777" w:rsidR="00B069C3" w:rsidRPr="003E695D" w:rsidRDefault="00B069C3" w:rsidP="00B069C3">
      <w:pPr>
        <w:pStyle w:val="Bodynumbered2"/>
      </w:pPr>
      <w:r w:rsidRPr="003E695D">
        <w:t>corrosion rate measurement; and</w:t>
      </w:r>
    </w:p>
    <w:p w14:paraId="6660AE22" w14:textId="77777777" w:rsidR="00B069C3" w:rsidRPr="003E695D" w:rsidRDefault="00B069C3" w:rsidP="00B069C3">
      <w:pPr>
        <w:pStyle w:val="Bodynumbered2"/>
      </w:pPr>
      <w:r w:rsidRPr="003E695D">
        <w:t>compressive strength of concrete.</w:t>
      </w:r>
    </w:p>
    <w:p w14:paraId="4B046A9E" w14:textId="261392AF" w:rsidR="00AE43B9" w:rsidRDefault="00AD78ED" w:rsidP="003E31BA">
      <w:pPr>
        <w:pStyle w:val="Heading1"/>
      </w:pPr>
      <w:bookmarkStart w:id="30" w:name="_Toc42764450"/>
      <w:r>
        <w:t>Cathodic Protection System P</w:t>
      </w:r>
      <w:r w:rsidR="00A65212">
        <w:t>e</w:t>
      </w:r>
      <w:r>
        <w:t>rformance Criteria</w:t>
      </w:r>
      <w:bookmarkEnd w:id="30"/>
    </w:p>
    <w:p w14:paraId="5184BD68" w14:textId="77777777" w:rsidR="00AD78ED" w:rsidRPr="003E695D" w:rsidRDefault="00AD78ED" w:rsidP="00AD78ED">
      <w:pPr>
        <w:pStyle w:val="Bodynumbered1"/>
      </w:pPr>
      <w:r w:rsidRPr="003E695D">
        <w:t>The Contractor must design (where this is included in the Contract), install and commission the CP System in accordance with ISO 12696, AS 2832.5</w:t>
      </w:r>
      <w:r>
        <w:t xml:space="preserve"> and </w:t>
      </w:r>
      <w:r w:rsidRPr="003E695D">
        <w:t>this Specification</w:t>
      </w:r>
      <w:r>
        <w:t xml:space="preserve">. A CP System installed in a new structure must also comply with </w:t>
      </w:r>
      <w:r w:rsidRPr="003E695D">
        <w:t>AS 5100.8.</w:t>
      </w:r>
    </w:p>
    <w:p w14:paraId="6C632DE6" w14:textId="77777777" w:rsidR="00AD78ED" w:rsidRPr="003E695D" w:rsidRDefault="00AD78ED" w:rsidP="00AD78ED">
      <w:pPr>
        <w:pStyle w:val="Bodynumbered1"/>
      </w:pPr>
      <w:r w:rsidRPr="003E695D">
        <w:t>Satisfactory polarisation of the steel reinforcement in accordance with these protection criteria must be achieved within 26 weeks of the date of first energising the CP System for all zones.</w:t>
      </w:r>
    </w:p>
    <w:p w14:paraId="33E4B8B5" w14:textId="0A024D72" w:rsidR="00AD78ED" w:rsidRPr="003E695D" w:rsidRDefault="00AD78ED" w:rsidP="00AD78ED">
      <w:pPr>
        <w:pStyle w:val="Bodynumbered1"/>
      </w:pPr>
      <w:r w:rsidRPr="003E695D">
        <w:t>Further to Clause AS2832.5 Clause 2.3, if any</w:t>
      </w:r>
      <w:r>
        <w:t xml:space="preserve"> </w:t>
      </w:r>
      <w:r w:rsidRPr="003E695D">
        <w:t>of</w:t>
      </w:r>
      <w:r>
        <w:t xml:space="preserve"> </w:t>
      </w:r>
      <w:r w:rsidRPr="003E695D">
        <w:t>the</w:t>
      </w:r>
      <w:r>
        <w:t xml:space="preserve"> </w:t>
      </w:r>
      <w:r w:rsidRPr="003E695D">
        <w:t>monitoring</w:t>
      </w:r>
      <w:r>
        <w:t xml:space="preserve"> </w:t>
      </w:r>
      <w:r w:rsidRPr="003E695D">
        <w:t>sensors</w:t>
      </w:r>
      <w:r>
        <w:t xml:space="preserve"> </w:t>
      </w:r>
      <w:r w:rsidRPr="003E695D">
        <w:t>do</w:t>
      </w:r>
      <w:r>
        <w:t xml:space="preserve"> </w:t>
      </w:r>
      <w:r w:rsidRPr="003E695D">
        <w:t>not</w:t>
      </w:r>
      <w:r>
        <w:t xml:space="preserve"> </w:t>
      </w:r>
      <w:r w:rsidRPr="003E695D">
        <w:t>confirm adequacy</w:t>
      </w:r>
      <w:r>
        <w:t xml:space="preserve"> </w:t>
      </w:r>
      <w:r w:rsidRPr="003E695D">
        <w:t>of</w:t>
      </w:r>
      <w:r>
        <w:t xml:space="preserve"> </w:t>
      </w:r>
      <w:r w:rsidRPr="003E695D">
        <w:t>the CP system,</w:t>
      </w:r>
      <w:r>
        <w:t xml:space="preserve"> </w:t>
      </w:r>
      <w:r w:rsidRPr="003E695D">
        <w:t xml:space="preserve">the Contractor must prepare a procedure/plan for additional testing and submit calculations estimating the corrosion rate in accordance with </w:t>
      </w:r>
      <w:bookmarkStart w:id="31" w:name="_Hlk26535940"/>
      <w:r w:rsidRPr="003E695D">
        <w:t xml:space="preserve">ISO 12696 </w:t>
      </w:r>
      <w:bookmarkEnd w:id="31"/>
      <w:r w:rsidRPr="003E695D">
        <w:t>Notes 9 and 10.</w:t>
      </w:r>
    </w:p>
    <w:p w14:paraId="691843D9" w14:textId="069F813D" w:rsidR="008D01EF" w:rsidRDefault="00AD78ED" w:rsidP="003E31BA">
      <w:pPr>
        <w:pStyle w:val="Heading1"/>
      </w:pPr>
      <w:bookmarkStart w:id="32" w:name="13.1_General"/>
      <w:bookmarkStart w:id="33" w:name="13.2_Test_and_Inspection_Reports"/>
      <w:bookmarkStart w:id="34" w:name="_Toc42764451"/>
      <w:bookmarkEnd w:id="27"/>
      <w:bookmarkEnd w:id="28"/>
      <w:bookmarkEnd w:id="23"/>
      <w:bookmarkEnd w:id="24"/>
      <w:bookmarkEnd w:id="32"/>
      <w:bookmarkEnd w:id="33"/>
      <w:r>
        <w:t>Design of the Cathodic Protection System</w:t>
      </w:r>
      <w:bookmarkEnd w:id="34"/>
    </w:p>
    <w:p w14:paraId="2425840E" w14:textId="693C7BD1" w:rsidR="00AD78ED" w:rsidRPr="003E695D" w:rsidRDefault="00AD78ED" w:rsidP="00AD78ED">
      <w:pPr>
        <w:pStyle w:val="Bodynumbered1"/>
      </w:pPr>
      <w:bookmarkStart w:id="35" w:name="_Ref17108956"/>
      <w:r w:rsidRPr="003E695D">
        <w:t xml:space="preserve">Unless the Principal has provided a design of the CP </w:t>
      </w:r>
      <w:r w:rsidR="001E0B62">
        <w:t>S</w:t>
      </w:r>
      <w:r w:rsidR="00197383" w:rsidRPr="003E695D">
        <w:t>ystem</w:t>
      </w:r>
      <w:r w:rsidRPr="003E695D">
        <w:t xml:space="preserve">, the Contractor must design </w:t>
      </w:r>
      <w:r w:rsidR="00197383">
        <w:t>it</w:t>
      </w:r>
      <w:r w:rsidR="00197383" w:rsidRPr="003E695D">
        <w:t xml:space="preserve"> </w:t>
      </w:r>
      <w:r w:rsidRPr="003E695D">
        <w:t xml:space="preserve">in accordance with </w:t>
      </w:r>
      <w:bookmarkEnd w:id="35"/>
      <w:r w:rsidRPr="003E695D">
        <w:t>AS 5100.8 Appendix B6 and AS 5100.8 Appendix B8.</w:t>
      </w:r>
    </w:p>
    <w:p w14:paraId="4E47D3AB" w14:textId="5066F19E" w:rsidR="00AD78ED" w:rsidRPr="003E695D" w:rsidRDefault="00AD78ED" w:rsidP="00AD78ED">
      <w:pPr>
        <w:pStyle w:val="Bodynumbered1"/>
      </w:pPr>
      <w:r w:rsidRPr="003E695D">
        <w:t xml:space="preserve">The exposure zones described in AS5100.8 Appendix B5 Cathodic Protection Exposure Zones must be considered in the design of the CP </w:t>
      </w:r>
      <w:r w:rsidR="00197383">
        <w:t>S</w:t>
      </w:r>
      <w:r w:rsidR="00197383" w:rsidRPr="003E695D">
        <w:t>ystem</w:t>
      </w:r>
      <w:r w:rsidRPr="003E695D">
        <w:t>.</w:t>
      </w:r>
    </w:p>
    <w:p w14:paraId="302DB084" w14:textId="4A0414FB" w:rsidR="00AD78ED" w:rsidRDefault="00AD78ED" w:rsidP="00AD78ED">
      <w:pPr>
        <w:pStyle w:val="Bodynumbered1"/>
      </w:pPr>
      <w:r w:rsidRPr="003E695D">
        <w:t>The Contractor must provide the Principal with a copy of all documentation referenced in AS2832.5 Clause 4.2.1.</w:t>
      </w:r>
    </w:p>
    <w:p w14:paraId="112EB765" w14:textId="60D4B466" w:rsidR="000C4621" w:rsidRPr="00DF6406" w:rsidRDefault="00AD78ED" w:rsidP="000C4621">
      <w:pPr>
        <w:pStyle w:val="Heading1"/>
      </w:pPr>
      <w:bookmarkStart w:id="36" w:name="_Toc42764452"/>
      <w:bookmarkEnd w:id="25"/>
      <w:r>
        <w:lastRenderedPageBreak/>
        <w:t>Design Verification and Certification</w:t>
      </w:r>
      <w:bookmarkEnd w:id="36"/>
    </w:p>
    <w:p w14:paraId="34985D13" w14:textId="77777777" w:rsidR="00AD78ED" w:rsidRPr="003E695D" w:rsidRDefault="00AD78ED" w:rsidP="008B4D05">
      <w:pPr>
        <w:pStyle w:val="Bodynumbered1"/>
      </w:pPr>
      <w:r w:rsidRPr="003E695D">
        <w:t xml:space="preserve">The Contractor must ensure that </w:t>
      </w:r>
      <w:bookmarkStart w:id="37" w:name="_Hlk22235569"/>
      <w:r w:rsidRPr="003E695D">
        <w:t>the design drawings and documentation have been independently reviewed in accordance with AS5100.8 Appendix B7</w:t>
      </w:r>
      <w:r w:rsidRPr="003E695D">
        <w:rPr>
          <w:i/>
          <w:iCs/>
        </w:rPr>
        <w:t xml:space="preserve"> </w:t>
      </w:r>
      <w:r w:rsidRPr="003E695D">
        <w:t xml:space="preserve">and certified </w:t>
      </w:r>
      <w:bookmarkEnd w:id="37"/>
      <w:r w:rsidRPr="003E695D">
        <w:t>as conforming to this Specification</w:t>
      </w:r>
      <w:r>
        <w:t xml:space="preserve"> by a Professional Engineer</w:t>
      </w:r>
      <w:r w:rsidRPr="003E695D">
        <w:t>.</w:t>
      </w:r>
    </w:p>
    <w:p w14:paraId="5437766C" w14:textId="0E718846" w:rsidR="00AD78ED" w:rsidRPr="003E695D" w:rsidRDefault="00AD78ED" w:rsidP="008B4D05">
      <w:pPr>
        <w:pStyle w:val="Bodynumbered1"/>
      </w:pPr>
      <w:bookmarkStart w:id="38" w:name="_Hlk17103452"/>
      <w:r w:rsidRPr="003E695D">
        <w:t xml:space="preserve">The independent reviewer </w:t>
      </w:r>
      <w:bookmarkEnd w:id="38"/>
      <w:r w:rsidRPr="003E695D">
        <w:t>must be a person who has not participated in any aspect of the design and is free of any conflict of interest with the Contractor</w:t>
      </w:r>
      <w:r w:rsidR="00197383">
        <w:t>.</w:t>
      </w:r>
    </w:p>
    <w:p w14:paraId="6EC6E2E0" w14:textId="77777777" w:rsidR="00AD78ED" w:rsidRPr="003E695D" w:rsidRDefault="00AD78ED" w:rsidP="008B4D05">
      <w:pPr>
        <w:pStyle w:val="Bodynumbered1"/>
      </w:pPr>
      <w:bookmarkStart w:id="39" w:name="_Ref26533417"/>
      <w:r w:rsidRPr="003E695D">
        <w:t>The certificate must generally be in the format specified in BD 2/12 Annexure C and must not be qualified in any way.</w:t>
      </w:r>
      <w:bookmarkEnd w:id="39"/>
    </w:p>
    <w:tbl>
      <w:tblPr>
        <w:tblStyle w:val="TMTable1"/>
        <w:tblW w:w="8931" w:type="dxa"/>
        <w:tblInd w:w="562" w:type="dxa"/>
        <w:tblLook w:val="04A0" w:firstRow="1" w:lastRow="0" w:firstColumn="1" w:lastColumn="0" w:noHBand="0" w:noVBand="1"/>
      </w:tblPr>
      <w:tblGrid>
        <w:gridCol w:w="1980"/>
        <w:gridCol w:w="6951"/>
      </w:tblGrid>
      <w:tr w:rsidR="00B069C3" w:rsidRPr="00F4166E" w14:paraId="417279EC" w14:textId="77777777" w:rsidTr="008B4D05">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733B3523" w14:textId="77777777" w:rsidR="00B069C3" w:rsidRPr="00FB025A" w:rsidRDefault="00B069C3" w:rsidP="000D0CD1">
            <w:pPr>
              <w:pStyle w:val="TableHeading"/>
            </w:pPr>
            <w:r w:rsidRPr="00FB025A">
              <w:rPr>
                <w:b/>
                <w:bCs/>
              </w:rPr>
              <w:t>HOLD POINT 2</w:t>
            </w:r>
          </w:p>
        </w:tc>
      </w:tr>
      <w:tr w:rsidR="00B069C3" w:rsidRPr="00F4166E" w14:paraId="6A77ACDB" w14:textId="77777777" w:rsidTr="008B4D05">
        <w:tc>
          <w:tcPr>
            <w:tcW w:w="1980" w:type="dxa"/>
            <w:tcBorders>
              <w:bottom w:val="single" w:sz="4" w:space="0" w:color="FFFFFF" w:themeColor="background1"/>
            </w:tcBorders>
            <w:hideMark/>
          </w:tcPr>
          <w:p w14:paraId="5FBC3676" w14:textId="77777777" w:rsidR="00B069C3" w:rsidRPr="00A65212" w:rsidRDefault="00B069C3" w:rsidP="000D0CD1">
            <w:pPr>
              <w:pStyle w:val="TableBodyText"/>
              <w:rPr>
                <w:b/>
              </w:rPr>
            </w:pPr>
            <w:r w:rsidRPr="00A65212">
              <w:t>Process Held</w:t>
            </w:r>
          </w:p>
        </w:tc>
        <w:tc>
          <w:tcPr>
            <w:tcW w:w="6951" w:type="dxa"/>
            <w:tcBorders>
              <w:bottom w:val="single" w:sz="4" w:space="0" w:color="FFFFFF" w:themeColor="background1"/>
            </w:tcBorders>
            <w:hideMark/>
          </w:tcPr>
          <w:p w14:paraId="52824401" w14:textId="04530204" w:rsidR="00B069C3" w:rsidRPr="00A65212" w:rsidRDefault="00B069C3" w:rsidP="000D0CD1">
            <w:pPr>
              <w:pStyle w:val="TableBodyText"/>
              <w:rPr>
                <w:b/>
              </w:rPr>
            </w:pPr>
            <w:r w:rsidRPr="00A65212">
              <w:t xml:space="preserve">Commencement </w:t>
            </w:r>
            <w:r w:rsidR="00AD78ED" w:rsidRPr="003E695D">
              <w:t>of installation of the CP System</w:t>
            </w:r>
            <w:r w:rsidRPr="00A65212">
              <w:t>.</w:t>
            </w:r>
          </w:p>
        </w:tc>
      </w:tr>
      <w:tr w:rsidR="00B069C3" w:rsidRPr="00F4166E" w14:paraId="22F1ACBF" w14:textId="77777777" w:rsidTr="008B4D05">
        <w:tc>
          <w:tcPr>
            <w:tcW w:w="1980" w:type="dxa"/>
            <w:tcBorders>
              <w:bottom w:val="single" w:sz="4" w:space="0" w:color="004259"/>
            </w:tcBorders>
            <w:hideMark/>
          </w:tcPr>
          <w:p w14:paraId="0C2F4D3D" w14:textId="77777777" w:rsidR="00B069C3" w:rsidRPr="00A65212" w:rsidRDefault="00B069C3" w:rsidP="000D0CD1">
            <w:pPr>
              <w:pStyle w:val="TableBodyText"/>
            </w:pPr>
            <w:r w:rsidRPr="00A65212">
              <w:t>Submission Details</w:t>
            </w:r>
          </w:p>
        </w:tc>
        <w:tc>
          <w:tcPr>
            <w:tcW w:w="6951" w:type="dxa"/>
            <w:tcBorders>
              <w:bottom w:val="single" w:sz="4" w:space="0" w:color="004259"/>
            </w:tcBorders>
            <w:hideMark/>
          </w:tcPr>
          <w:p w14:paraId="0DB2E46C" w14:textId="15B62BE1" w:rsidR="00B069C3" w:rsidRPr="00A65212" w:rsidRDefault="00AD78ED" w:rsidP="000D0CD1">
            <w:pPr>
              <w:pStyle w:val="TableBodyText"/>
            </w:pPr>
            <w:r w:rsidRPr="003E695D">
              <w:t xml:space="preserve">Submission of the design drawings/documentation and independent certification must be provided at least 21 days prior to the commencement of the installation of the CP </w:t>
            </w:r>
            <w:r>
              <w:t>S</w:t>
            </w:r>
            <w:r w:rsidRPr="003E695D">
              <w:t>ystem</w:t>
            </w:r>
            <w:r w:rsidR="00B069C3" w:rsidRPr="00A65212">
              <w:t>.</w:t>
            </w:r>
          </w:p>
        </w:tc>
      </w:tr>
    </w:tbl>
    <w:p w14:paraId="12240AC8" w14:textId="505BB5C5" w:rsidR="00B069C3" w:rsidRDefault="00197383" w:rsidP="00197383">
      <w:pPr>
        <w:pStyle w:val="Heading1"/>
      </w:pPr>
      <w:bookmarkStart w:id="40" w:name="_Toc42764453"/>
      <w:r>
        <w:t>Cathodic Protection System Requirements</w:t>
      </w:r>
      <w:bookmarkEnd w:id="40"/>
    </w:p>
    <w:p w14:paraId="5BED2D95" w14:textId="298871D2" w:rsidR="00197383" w:rsidRDefault="00197383" w:rsidP="00197383">
      <w:pPr>
        <w:pStyle w:val="Heading2"/>
      </w:pPr>
      <w:bookmarkStart w:id="41" w:name="_Toc42764454"/>
      <w:bookmarkStart w:id="42" w:name="_Hlk17109641"/>
      <w:bookmarkStart w:id="43" w:name="_Ref17056911"/>
      <w:r w:rsidRPr="003E695D">
        <w:t>Activated Mixed Metal Oxide Titanium Anodes</w:t>
      </w:r>
      <w:bookmarkEnd w:id="41"/>
    </w:p>
    <w:p w14:paraId="1A55AD3C" w14:textId="7DF18FD7" w:rsidR="00E911C0" w:rsidRPr="003E695D" w:rsidRDefault="00E911C0" w:rsidP="00E911C0">
      <w:pPr>
        <w:pStyle w:val="Bodynumbered1"/>
      </w:pPr>
      <w:bookmarkStart w:id="44" w:name="_Ref35338248"/>
      <w:r w:rsidRPr="003E695D">
        <w:t>All anode material embedded within cementitious material must be activated mixed metal oxide coated titanium (MMO/</w:t>
      </w:r>
      <w:proofErr w:type="spellStart"/>
      <w:r w:rsidRPr="003E695D">
        <w:t>Ti</w:t>
      </w:r>
      <w:proofErr w:type="spellEnd"/>
      <w:r w:rsidRPr="003E695D">
        <w:t>) in mesh or solid ribbon or similar mesh, grid or tube form that can be installed on the concrete surface, recessed in cover concrete, or embedded within a new or existing structure.</w:t>
      </w:r>
      <w:bookmarkEnd w:id="44"/>
      <w:r w:rsidRPr="003E695D">
        <w:t xml:space="preserve"> </w:t>
      </w:r>
    </w:p>
    <w:tbl>
      <w:tblPr>
        <w:tblStyle w:val="TMTable1"/>
        <w:tblW w:w="9072" w:type="dxa"/>
        <w:tblInd w:w="557" w:type="dxa"/>
        <w:tblLook w:val="04A0" w:firstRow="1" w:lastRow="0" w:firstColumn="1" w:lastColumn="0" w:noHBand="0" w:noVBand="1"/>
      </w:tblPr>
      <w:tblGrid>
        <w:gridCol w:w="1423"/>
        <w:gridCol w:w="7649"/>
      </w:tblGrid>
      <w:tr w:rsidR="00E911C0" w:rsidRPr="00F4166E" w14:paraId="2BC38B06" w14:textId="77777777" w:rsidTr="00F44911">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63E38DCB" w14:textId="319ECE2E" w:rsidR="00E911C0" w:rsidRPr="00FB025A" w:rsidRDefault="00E911C0" w:rsidP="00F44911">
            <w:pPr>
              <w:pStyle w:val="TableHeading"/>
            </w:pPr>
            <w:r>
              <w:rPr>
                <w:b/>
                <w:bCs/>
              </w:rPr>
              <w:t>WITNESS</w:t>
            </w:r>
            <w:r w:rsidRPr="00FB025A">
              <w:rPr>
                <w:b/>
                <w:bCs/>
              </w:rPr>
              <w:t xml:space="preserve"> POINT </w:t>
            </w:r>
            <w:r>
              <w:rPr>
                <w:b/>
                <w:bCs/>
              </w:rPr>
              <w:t>1</w:t>
            </w:r>
          </w:p>
        </w:tc>
      </w:tr>
      <w:tr w:rsidR="00E911C0" w:rsidRPr="00F4166E" w14:paraId="6D01E630" w14:textId="77777777" w:rsidTr="00F04935">
        <w:tc>
          <w:tcPr>
            <w:tcW w:w="1423" w:type="dxa"/>
            <w:tcBorders>
              <w:bottom w:val="single" w:sz="4" w:space="0" w:color="FFFFFF" w:themeColor="background1"/>
            </w:tcBorders>
            <w:hideMark/>
          </w:tcPr>
          <w:p w14:paraId="07B93CB3" w14:textId="34588ABC" w:rsidR="00E911C0" w:rsidRPr="00A65212" w:rsidRDefault="00E911C0" w:rsidP="00F44911">
            <w:pPr>
              <w:pStyle w:val="TableBodyText"/>
              <w:rPr>
                <w:b/>
              </w:rPr>
            </w:pPr>
            <w:r w:rsidRPr="00A65212">
              <w:t xml:space="preserve">Process </w:t>
            </w:r>
          </w:p>
        </w:tc>
        <w:tc>
          <w:tcPr>
            <w:tcW w:w="7649" w:type="dxa"/>
            <w:tcBorders>
              <w:bottom w:val="single" w:sz="4" w:space="0" w:color="FFFFFF" w:themeColor="background1"/>
            </w:tcBorders>
            <w:hideMark/>
          </w:tcPr>
          <w:p w14:paraId="685A587F" w14:textId="6554D84D" w:rsidR="00E911C0" w:rsidRPr="00A65212" w:rsidRDefault="00E911C0" w:rsidP="00F44911">
            <w:pPr>
              <w:pStyle w:val="TableBodyText"/>
              <w:rPr>
                <w:b/>
              </w:rPr>
            </w:pPr>
            <w:r>
              <w:t>Installation of anode</w:t>
            </w:r>
            <w:r w:rsidRPr="00A65212">
              <w:t>.</w:t>
            </w:r>
          </w:p>
        </w:tc>
      </w:tr>
      <w:tr w:rsidR="00E911C0" w:rsidRPr="00F4166E" w14:paraId="6429BE7A" w14:textId="77777777" w:rsidTr="00F04935">
        <w:tc>
          <w:tcPr>
            <w:tcW w:w="1423" w:type="dxa"/>
            <w:tcBorders>
              <w:bottom w:val="single" w:sz="4" w:space="0" w:color="004259"/>
            </w:tcBorders>
            <w:hideMark/>
          </w:tcPr>
          <w:p w14:paraId="7CE8A869" w14:textId="6CED5923" w:rsidR="00E911C0" w:rsidRPr="00A65212" w:rsidRDefault="00E911C0" w:rsidP="00F44911">
            <w:pPr>
              <w:pStyle w:val="TableBodyText"/>
            </w:pPr>
            <w:r>
              <w:t>Notification</w:t>
            </w:r>
          </w:p>
        </w:tc>
        <w:tc>
          <w:tcPr>
            <w:tcW w:w="7649" w:type="dxa"/>
            <w:tcBorders>
              <w:bottom w:val="single" w:sz="4" w:space="0" w:color="004259"/>
            </w:tcBorders>
            <w:hideMark/>
          </w:tcPr>
          <w:p w14:paraId="0491B06B" w14:textId="1D87C531" w:rsidR="00E911C0" w:rsidRPr="00A65212" w:rsidRDefault="00E911C0" w:rsidP="00F44911">
            <w:pPr>
              <w:pStyle w:val="TableBodyText"/>
            </w:pPr>
            <w:r w:rsidRPr="00DC6D39">
              <w:t xml:space="preserve">At least one working day (not less than 24 hours) prior to the </w:t>
            </w:r>
            <w:r>
              <w:t>installation of each anode</w:t>
            </w:r>
            <w:r w:rsidRPr="00A65212">
              <w:t>.</w:t>
            </w:r>
          </w:p>
        </w:tc>
      </w:tr>
    </w:tbl>
    <w:bookmarkEnd w:id="42"/>
    <w:p w14:paraId="5ABC4CB4" w14:textId="77777777" w:rsidR="00197383" w:rsidRPr="003E695D" w:rsidRDefault="00197383" w:rsidP="00E911C0">
      <w:pPr>
        <w:pStyle w:val="Bodynumbered1"/>
      </w:pPr>
      <w:r w:rsidRPr="003E695D">
        <w:t>Sufficient anode material must be installed to provide the necessary current to achieve full cathodic protection in accordance with AS 2832.5 while maintaining a current density on the anode surface of no more than 110 mA/m</w:t>
      </w:r>
      <w:r w:rsidRPr="003E695D">
        <w:rPr>
          <w:vertAlign w:val="superscript"/>
        </w:rPr>
        <w:t>2</w:t>
      </w:r>
      <w:r w:rsidRPr="003E695D">
        <w:t>.</w:t>
      </w:r>
    </w:p>
    <w:p w14:paraId="04D77873" w14:textId="77777777" w:rsidR="00197383" w:rsidRPr="003E695D" w:rsidRDefault="00197383" w:rsidP="00E911C0">
      <w:pPr>
        <w:pStyle w:val="Bodynumbered1"/>
      </w:pPr>
      <w:r w:rsidRPr="003E695D">
        <w:t>All titanium used for connecting the anode material must be Grade 1 titanium conforming to ASTM B265 and certified to pass NACE TM0294 assessment.</w:t>
      </w:r>
    </w:p>
    <w:p w14:paraId="59348C32" w14:textId="77777777" w:rsidR="00197383" w:rsidRPr="003E695D" w:rsidRDefault="00197383" w:rsidP="00E911C0">
      <w:pPr>
        <w:pStyle w:val="Bodynumbered1"/>
      </w:pPr>
      <w:r w:rsidRPr="003E695D">
        <w:t xml:space="preserve">The anode material and the titanium feeder strips must be electrically isolated from any reinforcing steel, any embedded metal </w:t>
      </w:r>
      <w:proofErr w:type="gramStart"/>
      <w:r w:rsidRPr="003E695D">
        <w:t>work</w:t>
      </w:r>
      <w:proofErr w:type="gramEnd"/>
      <w:r w:rsidRPr="003E695D">
        <w:t xml:space="preserve"> or any conductor in contact with any embedded metals, when installed, after cementitious material placement and after curing.</w:t>
      </w:r>
      <w:r>
        <w:t xml:space="preserve"> </w:t>
      </w:r>
    </w:p>
    <w:p w14:paraId="4FF351C0" w14:textId="77777777" w:rsidR="00197383" w:rsidRPr="003E695D" w:rsidRDefault="00197383" w:rsidP="00E911C0">
      <w:pPr>
        <w:pStyle w:val="Bodynumbered1"/>
      </w:pPr>
      <w:r w:rsidRPr="003E695D">
        <w:t>The method of isolation must be detailed in the design and independently reviewed in accordance with this Specification.</w:t>
      </w:r>
    </w:p>
    <w:p w14:paraId="449408B1" w14:textId="77777777" w:rsidR="00197383" w:rsidRPr="003E695D" w:rsidRDefault="00197383" w:rsidP="00E911C0">
      <w:pPr>
        <w:pStyle w:val="Bodynumbered1"/>
      </w:pPr>
      <w:r w:rsidRPr="003E695D">
        <w:t>The separation between the MMO/</w:t>
      </w:r>
      <w:proofErr w:type="spellStart"/>
      <w:r w:rsidRPr="003E695D">
        <w:t>Ti</w:t>
      </w:r>
      <w:proofErr w:type="spellEnd"/>
      <w:r w:rsidRPr="003E695D">
        <w:t xml:space="preserve"> anode material (including the titanium feeder or connecting strip) and reinforcement must not be less than 15 mm.</w:t>
      </w:r>
    </w:p>
    <w:p w14:paraId="7E1E5540" w14:textId="039C5DC7" w:rsidR="00197383" w:rsidRPr="003E695D" w:rsidRDefault="00197383" w:rsidP="00E911C0">
      <w:pPr>
        <w:pStyle w:val="Bodynumbered1"/>
      </w:pPr>
      <w:r w:rsidRPr="003E695D">
        <w:t xml:space="preserve">The depth of cover concrete over the reinforcing steel beneath each cable slot, adjacent to core holes or beneath the final location of the anode material and the titanium feeder strips must be measured and </w:t>
      </w:r>
      <w:r w:rsidR="001E0B62">
        <w:t xml:space="preserve">the </w:t>
      </w:r>
      <w:r w:rsidRPr="003E695D">
        <w:t>results include</w:t>
      </w:r>
      <w:r w:rsidR="00B669BF">
        <w:t>d</w:t>
      </w:r>
      <w:r w:rsidRPr="003E695D">
        <w:t xml:space="preserve"> in the Commissioning Report.</w:t>
      </w:r>
      <w:r>
        <w:t xml:space="preserve"> </w:t>
      </w:r>
    </w:p>
    <w:p w14:paraId="6CB9681E" w14:textId="77777777" w:rsidR="00197383" w:rsidRPr="003E695D" w:rsidRDefault="00197383" w:rsidP="00E911C0">
      <w:pPr>
        <w:pStyle w:val="Bodynumbered1"/>
      </w:pPr>
      <w:r w:rsidRPr="003E695D">
        <w:lastRenderedPageBreak/>
        <w:t xml:space="preserve">Where </w:t>
      </w:r>
      <w:bookmarkStart w:id="45" w:name="_Hlk26526858"/>
      <w:r w:rsidRPr="003E695D">
        <w:t xml:space="preserve">anode ribbon mesh </w:t>
      </w:r>
      <w:bookmarkEnd w:id="45"/>
      <w:r w:rsidRPr="003E695D">
        <w:t>is to be installed in slots within the cover concrete, the anode ribbon mesh must be installed within horizontal slots cut 8 mm wide x 40 mm deep along the full width of the concrete component as specified in the design.</w:t>
      </w:r>
    </w:p>
    <w:p w14:paraId="1FDC2815" w14:textId="77777777" w:rsidR="00197383" w:rsidRPr="003E695D" w:rsidRDefault="00197383" w:rsidP="00E911C0">
      <w:pPr>
        <w:pStyle w:val="Bodynumbered1"/>
      </w:pPr>
      <w:bookmarkStart w:id="46" w:name="_Ref35338272"/>
      <w:r w:rsidRPr="003E695D">
        <w:t xml:space="preserve">Unless specified otherwise in the design, the anode ribbon mesh must be placed </w:t>
      </w:r>
      <w:r w:rsidRPr="003E695D">
        <w:rPr>
          <w:rFonts w:hint="eastAsia"/>
        </w:rPr>
        <w:t xml:space="preserve">flat </w:t>
      </w:r>
      <w:r w:rsidRPr="003E695D">
        <w:t>o</w:t>
      </w:r>
      <w:r w:rsidRPr="003E695D">
        <w:rPr>
          <w:rFonts w:hint="eastAsia"/>
        </w:rPr>
        <w:t xml:space="preserve">nto the surface </w:t>
      </w:r>
      <w:r w:rsidRPr="003E695D">
        <w:t xml:space="preserve">with </w:t>
      </w:r>
      <w:r w:rsidRPr="003E695D">
        <w:rPr>
          <w:rFonts w:hint="eastAsia"/>
        </w:rPr>
        <w:t>at least</w:t>
      </w:r>
      <w:r w:rsidRPr="003E695D">
        <w:t>:</w:t>
      </w:r>
      <w:bookmarkEnd w:id="46"/>
    </w:p>
    <w:p w14:paraId="5BFA77BB" w14:textId="18501B6F" w:rsidR="00197383" w:rsidRPr="003E695D" w:rsidRDefault="00197383" w:rsidP="00C51744">
      <w:pPr>
        <w:pStyle w:val="Bodynumbered2"/>
        <w:numPr>
          <w:ilvl w:val="0"/>
          <w:numId w:val="27"/>
        </w:numPr>
        <w:ind w:left="924" w:hanging="357"/>
      </w:pPr>
      <w:r w:rsidRPr="003E695D">
        <w:rPr>
          <w:rFonts w:hint="eastAsia"/>
        </w:rPr>
        <w:t>10</w:t>
      </w:r>
      <w:r w:rsidR="00B669BF">
        <w:t xml:space="preserve"> </w:t>
      </w:r>
      <w:r w:rsidRPr="003E695D">
        <w:rPr>
          <w:rFonts w:hint="eastAsia"/>
        </w:rPr>
        <w:t xml:space="preserve">mm </w:t>
      </w:r>
      <w:proofErr w:type="gramStart"/>
      <w:r w:rsidRPr="003E695D">
        <w:rPr>
          <w:rFonts w:hint="eastAsia"/>
        </w:rPr>
        <w:t>bedding</w:t>
      </w:r>
      <w:r w:rsidR="00B669BF">
        <w:t>;</w:t>
      </w:r>
      <w:proofErr w:type="gramEnd"/>
      <w:r w:rsidR="00B669BF" w:rsidRPr="003E695D">
        <w:rPr>
          <w:rFonts w:hint="eastAsia"/>
        </w:rPr>
        <w:t xml:space="preserve"> </w:t>
      </w:r>
    </w:p>
    <w:p w14:paraId="32D0336D" w14:textId="27AF5C82" w:rsidR="00197383" w:rsidRPr="003E695D" w:rsidRDefault="00197383" w:rsidP="00E911C0">
      <w:pPr>
        <w:pStyle w:val="Bodynumbered2"/>
      </w:pPr>
      <w:r w:rsidRPr="003E695D">
        <w:rPr>
          <w:rFonts w:hint="eastAsia"/>
        </w:rPr>
        <w:t>5</w:t>
      </w:r>
      <w:r w:rsidR="00B669BF">
        <w:t xml:space="preserve"> </w:t>
      </w:r>
      <w:r w:rsidRPr="003E695D">
        <w:rPr>
          <w:rFonts w:hint="eastAsia"/>
        </w:rPr>
        <w:t xml:space="preserve">mm </w:t>
      </w:r>
      <w:r w:rsidRPr="003E695D">
        <w:t xml:space="preserve">bedding at the sides; and </w:t>
      </w:r>
    </w:p>
    <w:p w14:paraId="7851A50D" w14:textId="0D7C9C47" w:rsidR="00197383" w:rsidRPr="003E695D" w:rsidRDefault="00197383" w:rsidP="00E911C0">
      <w:pPr>
        <w:pStyle w:val="Bodynumbered2"/>
      </w:pPr>
      <w:r w:rsidRPr="003E695D">
        <w:rPr>
          <w:rFonts w:hint="eastAsia"/>
        </w:rPr>
        <w:t>20</w:t>
      </w:r>
      <w:r w:rsidR="00B669BF">
        <w:t xml:space="preserve"> </w:t>
      </w:r>
      <w:r w:rsidRPr="003E695D">
        <w:rPr>
          <w:rFonts w:hint="eastAsia"/>
        </w:rPr>
        <w:t xml:space="preserve">mm cover. </w:t>
      </w:r>
    </w:p>
    <w:p w14:paraId="6F35D65C" w14:textId="43D5DA70" w:rsidR="00197383" w:rsidRPr="003E695D" w:rsidRDefault="003704C4" w:rsidP="003704C4">
      <w:pPr>
        <w:pStyle w:val="Bodynumbered1"/>
      </w:pPr>
      <w:r w:rsidRPr="003704C4">
        <w:t>The anode ribbon mesh must be covered by a crack-accommodating cementitious waterproofing capping. The capping must extend at least 50 mm past the slot in all directions and be finished with a feather edge.</w:t>
      </w:r>
    </w:p>
    <w:p w14:paraId="7F6D8453" w14:textId="77777777" w:rsidR="00197383" w:rsidRPr="003E695D" w:rsidRDefault="00197383" w:rsidP="00E911C0">
      <w:pPr>
        <w:pStyle w:val="Heading2"/>
      </w:pPr>
      <w:bookmarkStart w:id="47" w:name="_Toc42764455"/>
      <w:r w:rsidRPr="003E695D">
        <w:t>Connection of the Anodes</w:t>
      </w:r>
      <w:bookmarkEnd w:id="47"/>
    </w:p>
    <w:p w14:paraId="277A5C90" w14:textId="77777777" w:rsidR="00197383" w:rsidRPr="003E695D" w:rsidRDefault="00197383" w:rsidP="00E911C0">
      <w:pPr>
        <w:pStyle w:val="Bodynumbered1"/>
      </w:pPr>
      <w:r w:rsidRPr="003E695D">
        <w:t>Each individual anode material must be spot welded to a 12 mm wide x 1 mm thick grade 1 titanium strip with a minimum of three spots.</w:t>
      </w:r>
    </w:p>
    <w:p w14:paraId="1C3DD642" w14:textId="37CB8895" w:rsidR="00197383" w:rsidRPr="003E695D" w:rsidRDefault="00197383" w:rsidP="00E911C0">
      <w:pPr>
        <w:pStyle w:val="Bodynumbered1"/>
      </w:pPr>
      <w:r w:rsidRPr="003E695D">
        <w:t>For connections of mesh anodes 12 mm wide x 1 mm thick</w:t>
      </w:r>
      <w:r w:rsidR="00B669BF">
        <w:t>,</w:t>
      </w:r>
      <w:r w:rsidRPr="003E695D">
        <w:t xml:space="preserve"> grade 1 titanium strip must be spot welded to the full perimeter of </w:t>
      </w:r>
      <w:r w:rsidR="00B669BF">
        <w:t xml:space="preserve">the </w:t>
      </w:r>
      <w:r w:rsidRPr="003E695D">
        <w:t>anode mesh panels.</w:t>
      </w:r>
      <w:r>
        <w:t xml:space="preserve"> </w:t>
      </w:r>
      <w:r w:rsidRPr="003E695D">
        <w:t>Connections that are required by the design between anode mesh panels within the same zone must be made by at least two titanium strips spot welded to the perimeter strip.</w:t>
      </w:r>
      <w:r>
        <w:t xml:space="preserve"> </w:t>
      </w:r>
      <w:r w:rsidRPr="003E695D">
        <w:t>Each anode mesh zone must be spot welded to a 12 mm wide x 1 mm thick grade 1 titanium strip at each end.</w:t>
      </w:r>
    </w:p>
    <w:p w14:paraId="0B516291" w14:textId="54392D6A" w:rsidR="00197383" w:rsidRPr="003E695D" w:rsidRDefault="00197383" w:rsidP="00E911C0">
      <w:pPr>
        <w:pStyle w:val="Bodynumbered1"/>
      </w:pPr>
      <w:r w:rsidRPr="003E695D">
        <w:t>Each of the titanium strips at each end must be connected to a 1.5 mm</w:t>
      </w:r>
      <w:r w:rsidRPr="003E695D">
        <w:rPr>
          <w:vertAlign w:val="superscript"/>
        </w:rPr>
        <w:t>2</w:t>
      </w:r>
      <w:r w:rsidRPr="003E695D">
        <w:t xml:space="preserve"> flexible copper cored cable, XLPE double insulated, which extends to a junction box mounted as shown on the drawings and/or as stated in this </w:t>
      </w:r>
      <w:r w:rsidR="00B669BF">
        <w:t>S</w:t>
      </w:r>
      <w:r w:rsidR="00B669BF" w:rsidRPr="003E695D">
        <w:t>pecification</w:t>
      </w:r>
      <w:r w:rsidRPr="003E695D">
        <w:t>.</w:t>
      </w:r>
      <w:r>
        <w:t xml:space="preserve"> </w:t>
      </w:r>
    </w:p>
    <w:p w14:paraId="4C3F1E2E" w14:textId="4D552862" w:rsidR="00197383" w:rsidRPr="003E695D" w:rsidRDefault="00197383" w:rsidP="00E911C0">
      <w:pPr>
        <w:pStyle w:val="Bodynumbered1"/>
      </w:pPr>
      <w:r w:rsidRPr="003E695D">
        <w:t xml:space="preserve">All surface mounted conduits must be supported using grade 316 stainless steel full saddles and 316 stainless steel screws </w:t>
      </w:r>
      <w:r w:rsidR="00B669BF">
        <w:t xml:space="preserve">screwed </w:t>
      </w:r>
      <w:r w:rsidRPr="003E695D">
        <w:t>into insulating plugs.</w:t>
      </w:r>
      <w:r>
        <w:t xml:space="preserve"> </w:t>
      </w:r>
      <w:r w:rsidRPr="003E695D">
        <w:t>The length of the insulated plugs must exceed the depth of the screws by at least 5 mm.</w:t>
      </w:r>
    </w:p>
    <w:p w14:paraId="2C75ABD2" w14:textId="77777777" w:rsidR="00197383" w:rsidRPr="003E695D" w:rsidRDefault="00197383" w:rsidP="00E911C0">
      <w:pPr>
        <w:pStyle w:val="Bodynumbered1"/>
      </w:pPr>
      <w:r w:rsidRPr="003E695D">
        <w:t xml:space="preserve">Connection between the titanium strip and copper cored cable must utilise a 6 mm diameter hole drilled centrally through the strip, suitably sized copper crimp lug and 6 mm stainless steel set screw, </w:t>
      </w:r>
      <w:proofErr w:type="gramStart"/>
      <w:r w:rsidRPr="003E695D">
        <w:t>nut</w:t>
      </w:r>
      <w:proofErr w:type="gramEnd"/>
      <w:r w:rsidRPr="003E695D">
        <w:t xml:space="preserve"> and washers.</w:t>
      </w:r>
      <w:r>
        <w:t xml:space="preserve"> </w:t>
      </w:r>
      <w:r w:rsidRPr="003E695D">
        <w:t>The completed bolted connection must be fitted with a PVC former and encapsulated with electrical grade epoxy casting compound.</w:t>
      </w:r>
    </w:p>
    <w:p w14:paraId="394D5A5A" w14:textId="35DFDFD6" w:rsidR="00197383" w:rsidRDefault="00197383" w:rsidP="00E911C0">
      <w:pPr>
        <w:pStyle w:val="Bodynumbered1"/>
      </w:pPr>
      <w:bookmarkStart w:id="48" w:name="_Ref17104516"/>
      <w:r w:rsidRPr="003E695D">
        <w:t xml:space="preserve">The electrical grade epoxy casting compound material used for encapsulating connections must have the minimum properties specified </w:t>
      </w:r>
      <w:r w:rsidR="001D3242">
        <w:t xml:space="preserve">in </w:t>
      </w:r>
      <w:r w:rsidRPr="003E695D">
        <w:rPr>
          <w:rFonts w:cs="Arial"/>
        </w:rPr>
        <w:t xml:space="preserve">Table </w:t>
      </w:r>
      <w:r w:rsidRPr="003E695D">
        <w:rPr>
          <w:rFonts w:cs="Arial"/>
        </w:rPr>
        <w:fldChar w:fldCharType="begin"/>
      </w:r>
      <w:r w:rsidRPr="003E695D">
        <w:rPr>
          <w:rFonts w:cs="Arial"/>
        </w:rPr>
        <w:instrText xml:space="preserve"> REF _Ref17104516 \r \h  \* MERGEFORMAT </w:instrText>
      </w:r>
      <w:r w:rsidRPr="003E695D">
        <w:rPr>
          <w:rFonts w:cs="Arial"/>
        </w:rPr>
      </w:r>
      <w:r w:rsidRPr="003E695D">
        <w:rPr>
          <w:rFonts w:cs="Arial"/>
        </w:rPr>
        <w:fldChar w:fldCharType="separate"/>
      </w:r>
      <w:r>
        <w:rPr>
          <w:rFonts w:cs="Arial"/>
        </w:rPr>
        <w:t>10.16</w:t>
      </w:r>
      <w:r w:rsidRPr="003E695D">
        <w:rPr>
          <w:rFonts w:cs="Arial"/>
        </w:rPr>
        <w:fldChar w:fldCharType="end"/>
      </w:r>
      <w:r w:rsidRPr="003E695D">
        <w:rPr>
          <w:rFonts w:cs="Arial"/>
        </w:rPr>
        <w:t xml:space="preserve"> </w:t>
      </w:r>
      <w:r w:rsidRPr="003E695D">
        <w:t xml:space="preserve">as demonstrated </w:t>
      </w:r>
      <w:r w:rsidR="001D3242">
        <w:t>in</w:t>
      </w:r>
      <w:r w:rsidR="001D3242" w:rsidRPr="003E695D">
        <w:t xml:space="preserve"> </w:t>
      </w:r>
      <w:r w:rsidRPr="003E695D">
        <w:t>the product data sheet:</w:t>
      </w:r>
      <w:bookmarkEnd w:id="48"/>
    </w:p>
    <w:p w14:paraId="689AE60A" w14:textId="4604F52F" w:rsidR="00F04935" w:rsidRPr="003E695D" w:rsidRDefault="00F04935" w:rsidP="00F04935">
      <w:pPr>
        <w:pStyle w:val="Caption"/>
      </w:pPr>
      <w:bookmarkStart w:id="49" w:name="_Hlk17104542"/>
      <w:r w:rsidRPr="003E695D">
        <w:t xml:space="preserve">Table </w:t>
      </w:r>
      <w:r w:rsidRPr="003E695D">
        <w:fldChar w:fldCharType="begin"/>
      </w:r>
      <w:r w:rsidRPr="003E695D">
        <w:instrText xml:space="preserve"> REF _Ref17104516 \r \h  \* MERGEFORMAT </w:instrText>
      </w:r>
      <w:r w:rsidRPr="003E695D">
        <w:fldChar w:fldCharType="separate"/>
      </w:r>
      <w:r>
        <w:t>10.16</w:t>
      </w:r>
      <w:r w:rsidRPr="003E695D">
        <w:fldChar w:fldCharType="end"/>
      </w:r>
      <w:bookmarkEnd w:id="49"/>
      <w:r>
        <w:t xml:space="preserve">: Minimum properties for </w:t>
      </w:r>
      <w:r w:rsidRPr="00F04935">
        <w:t>electrical grade epoxy casting compound material</w:t>
      </w:r>
    </w:p>
    <w:tbl>
      <w:tblPr>
        <w:tblStyle w:val="TMTable"/>
        <w:tblW w:w="8232" w:type="dxa"/>
        <w:tblInd w:w="557" w:type="dxa"/>
        <w:tblLayout w:type="fixed"/>
        <w:tblLook w:val="01E0" w:firstRow="1" w:lastRow="1" w:firstColumn="1" w:lastColumn="1" w:noHBand="0" w:noVBand="0"/>
      </w:tblPr>
      <w:tblGrid>
        <w:gridCol w:w="3402"/>
        <w:gridCol w:w="4830"/>
      </w:tblGrid>
      <w:tr w:rsidR="00197383" w:rsidRPr="003E695D" w14:paraId="15207900" w14:textId="77777777" w:rsidTr="00F04935">
        <w:trPr>
          <w:cnfStyle w:val="100000000000" w:firstRow="1" w:lastRow="0" w:firstColumn="0" w:lastColumn="0" w:oddVBand="0" w:evenVBand="0" w:oddHBand="0" w:evenHBand="0" w:firstRowFirstColumn="0" w:firstRowLastColumn="0" w:lastRowFirstColumn="0" w:lastRowLastColumn="0"/>
        </w:trPr>
        <w:tc>
          <w:tcPr>
            <w:tcW w:w="3402" w:type="dxa"/>
          </w:tcPr>
          <w:p w14:paraId="54A5FB9A" w14:textId="77777777" w:rsidR="00197383" w:rsidRPr="003E695D" w:rsidRDefault="00197383" w:rsidP="00E911C0">
            <w:pPr>
              <w:pStyle w:val="TableHeading"/>
              <w:rPr>
                <w:b/>
                <w:bCs/>
              </w:rPr>
            </w:pPr>
            <w:r w:rsidRPr="003E695D">
              <w:rPr>
                <w:b/>
                <w:bCs/>
              </w:rPr>
              <w:t>Property</w:t>
            </w:r>
          </w:p>
        </w:tc>
        <w:tc>
          <w:tcPr>
            <w:tcW w:w="4830" w:type="dxa"/>
          </w:tcPr>
          <w:p w14:paraId="7EB23176" w14:textId="77777777" w:rsidR="00197383" w:rsidRPr="003E695D" w:rsidRDefault="00197383" w:rsidP="00E911C0">
            <w:pPr>
              <w:pStyle w:val="TableHeading"/>
              <w:rPr>
                <w:b/>
                <w:bCs/>
              </w:rPr>
            </w:pPr>
            <w:r w:rsidRPr="003E695D">
              <w:rPr>
                <w:b/>
                <w:bCs/>
              </w:rPr>
              <w:t>Minimum Value</w:t>
            </w:r>
          </w:p>
        </w:tc>
      </w:tr>
      <w:tr w:rsidR="00197383" w:rsidRPr="003E695D" w14:paraId="10E7B36C" w14:textId="77777777" w:rsidTr="00F04935">
        <w:tc>
          <w:tcPr>
            <w:tcW w:w="3402" w:type="dxa"/>
          </w:tcPr>
          <w:p w14:paraId="19CEB5AA" w14:textId="77777777" w:rsidR="00197383" w:rsidRPr="003E695D" w:rsidRDefault="00197383" w:rsidP="00E911C0">
            <w:pPr>
              <w:pStyle w:val="TableBodyText"/>
            </w:pPr>
            <w:r w:rsidRPr="003E695D">
              <w:t>Thermal Conductivity</w:t>
            </w:r>
            <w:r w:rsidRPr="003E695D">
              <w:tab/>
            </w:r>
          </w:p>
        </w:tc>
        <w:tc>
          <w:tcPr>
            <w:tcW w:w="4830" w:type="dxa"/>
          </w:tcPr>
          <w:p w14:paraId="2A1C0B3C" w14:textId="77777777" w:rsidR="00197383" w:rsidRPr="003E695D" w:rsidRDefault="00197383" w:rsidP="00E911C0">
            <w:pPr>
              <w:pStyle w:val="TableBodyText"/>
              <w:rPr>
                <w:rFonts w:cs="Arial"/>
              </w:rPr>
            </w:pPr>
            <w:r w:rsidRPr="003E695D">
              <w:t>0.66 W</w:t>
            </w:r>
            <w:proofErr w:type="gramStart"/>
            <w:r w:rsidRPr="003E695D">
              <w:t>/(</w:t>
            </w:r>
            <w:proofErr w:type="spellStart"/>
            <w:proofErr w:type="gramEnd"/>
            <w:r w:rsidRPr="003E695D">
              <w:t>m.K</w:t>
            </w:r>
            <w:proofErr w:type="spellEnd"/>
            <w:r w:rsidRPr="003E695D">
              <w:t>)</w:t>
            </w:r>
          </w:p>
        </w:tc>
      </w:tr>
      <w:tr w:rsidR="00197383" w:rsidRPr="003E695D" w14:paraId="48A1857C" w14:textId="77777777" w:rsidTr="00F04935">
        <w:tc>
          <w:tcPr>
            <w:tcW w:w="3402" w:type="dxa"/>
          </w:tcPr>
          <w:p w14:paraId="23DAF9AC" w14:textId="77777777" w:rsidR="00197383" w:rsidRPr="003E695D" w:rsidRDefault="00197383" w:rsidP="00E911C0">
            <w:pPr>
              <w:pStyle w:val="TableBodyText"/>
            </w:pPr>
            <w:r w:rsidRPr="003E695D">
              <w:t>Thermal Expansion (Linear)</w:t>
            </w:r>
          </w:p>
        </w:tc>
        <w:tc>
          <w:tcPr>
            <w:tcW w:w="4830" w:type="dxa"/>
          </w:tcPr>
          <w:p w14:paraId="22A9013F" w14:textId="77777777" w:rsidR="00197383" w:rsidRPr="003E695D" w:rsidRDefault="00197383" w:rsidP="00E911C0">
            <w:pPr>
              <w:pStyle w:val="TableBodyText"/>
              <w:rPr>
                <w:rFonts w:cs="Arial"/>
              </w:rPr>
            </w:pPr>
            <w:r w:rsidRPr="003E695D">
              <w:t>1 x 10</w:t>
            </w:r>
            <w:r w:rsidRPr="003E695D">
              <w:rPr>
                <w:vertAlign w:val="superscript"/>
              </w:rPr>
              <w:t>-5</w:t>
            </w:r>
            <w:r w:rsidRPr="003E695D">
              <w:t xml:space="preserve"> K</w:t>
            </w:r>
            <w:r w:rsidRPr="003E695D">
              <w:rPr>
                <w:vertAlign w:val="superscript"/>
              </w:rPr>
              <w:t>-1</w:t>
            </w:r>
          </w:p>
        </w:tc>
      </w:tr>
      <w:tr w:rsidR="00197383" w:rsidRPr="003E695D" w14:paraId="1F71A592" w14:textId="77777777" w:rsidTr="00F04935">
        <w:tc>
          <w:tcPr>
            <w:tcW w:w="3402" w:type="dxa"/>
          </w:tcPr>
          <w:p w14:paraId="778AB757" w14:textId="77777777" w:rsidR="00197383" w:rsidRPr="003E695D" w:rsidRDefault="00197383" w:rsidP="00E911C0">
            <w:pPr>
              <w:pStyle w:val="TableBodyText"/>
            </w:pPr>
            <w:proofErr w:type="spellStart"/>
            <w:r w:rsidRPr="003E695D">
              <w:t>Barcol</w:t>
            </w:r>
            <w:proofErr w:type="spellEnd"/>
            <w:r w:rsidRPr="003E695D">
              <w:t xml:space="preserve"> Hardness</w:t>
            </w:r>
          </w:p>
        </w:tc>
        <w:tc>
          <w:tcPr>
            <w:tcW w:w="4830" w:type="dxa"/>
          </w:tcPr>
          <w:p w14:paraId="1FA887E2" w14:textId="77777777" w:rsidR="00197383" w:rsidRPr="003E695D" w:rsidRDefault="00197383" w:rsidP="00E911C0">
            <w:pPr>
              <w:pStyle w:val="TableBodyText"/>
              <w:rPr>
                <w:rFonts w:cs="Arial"/>
              </w:rPr>
            </w:pPr>
            <w:r w:rsidRPr="003E695D">
              <w:t>25</w:t>
            </w:r>
          </w:p>
        </w:tc>
      </w:tr>
      <w:tr w:rsidR="00197383" w:rsidRPr="003E695D" w14:paraId="3F7A82D3" w14:textId="77777777" w:rsidTr="00F04935">
        <w:tc>
          <w:tcPr>
            <w:tcW w:w="3402" w:type="dxa"/>
          </w:tcPr>
          <w:p w14:paraId="65E99BEB" w14:textId="77777777" w:rsidR="00197383" w:rsidRPr="003E695D" w:rsidRDefault="00197383" w:rsidP="00E911C0">
            <w:pPr>
              <w:pStyle w:val="TableBodyText"/>
            </w:pPr>
            <w:r w:rsidRPr="003E695D">
              <w:t>Heat Deflection Temperature</w:t>
            </w:r>
          </w:p>
        </w:tc>
        <w:tc>
          <w:tcPr>
            <w:tcW w:w="4830" w:type="dxa"/>
          </w:tcPr>
          <w:p w14:paraId="4E0F63F5" w14:textId="77777777" w:rsidR="00197383" w:rsidRPr="003E695D" w:rsidRDefault="00197383" w:rsidP="00E911C0">
            <w:pPr>
              <w:pStyle w:val="TableBodyText"/>
              <w:rPr>
                <w:rFonts w:cs="Arial"/>
              </w:rPr>
            </w:pPr>
            <w:r w:rsidRPr="003E695D">
              <w:t>50ºC</w:t>
            </w:r>
          </w:p>
        </w:tc>
      </w:tr>
      <w:tr w:rsidR="00197383" w:rsidRPr="003E695D" w14:paraId="07C1A53D" w14:textId="77777777" w:rsidTr="00F04935">
        <w:tc>
          <w:tcPr>
            <w:tcW w:w="3402" w:type="dxa"/>
          </w:tcPr>
          <w:p w14:paraId="59F9A3CE" w14:textId="77777777" w:rsidR="00197383" w:rsidRPr="003E695D" w:rsidRDefault="00197383" w:rsidP="00E911C0">
            <w:pPr>
              <w:pStyle w:val="TableBodyText"/>
            </w:pPr>
            <w:r w:rsidRPr="003E695D">
              <w:t>Volume Resistivity</w:t>
            </w:r>
          </w:p>
        </w:tc>
        <w:tc>
          <w:tcPr>
            <w:tcW w:w="4830" w:type="dxa"/>
          </w:tcPr>
          <w:p w14:paraId="590DF6CB" w14:textId="77777777" w:rsidR="00197383" w:rsidRPr="003E695D" w:rsidRDefault="00197383" w:rsidP="00E911C0">
            <w:pPr>
              <w:pStyle w:val="TableBodyText"/>
              <w:rPr>
                <w:rFonts w:cs="Arial"/>
              </w:rPr>
            </w:pPr>
            <w:r w:rsidRPr="003E695D">
              <w:t>1014 ohm.cm at 25ºC</w:t>
            </w:r>
          </w:p>
        </w:tc>
      </w:tr>
      <w:tr w:rsidR="00197383" w:rsidRPr="003E695D" w14:paraId="69F381FD" w14:textId="77777777" w:rsidTr="00F04935">
        <w:tc>
          <w:tcPr>
            <w:tcW w:w="3402" w:type="dxa"/>
          </w:tcPr>
          <w:p w14:paraId="2AECC052" w14:textId="77777777" w:rsidR="00197383" w:rsidRPr="003E695D" w:rsidRDefault="00197383" w:rsidP="00E911C0">
            <w:pPr>
              <w:pStyle w:val="TableBodyText"/>
            </w:pPr>
            <w:r w:rsidRPr="003E695D">
              <w:t>Dielectric Constant</w:t>
            </w:r>
          </w:p>
        </w:tc>
        <w:tc>
          <w:tcPr>
            <w:tcW w:w="4830" w:type="dxa"/>
          </w:tcPr>
          <w:p w14:paraId="579AD53E" w14:textId="77777777" w:rsidR="00197383" w:rsidRPr="003E695D" w:rsidRDefault="00197383" w:rsidP="00E911C0">
            <w:pPr>
              <w:pStyle w:val="TableBodyText"/>
              <w:rPr>
                <w:rFonts w:cs="Arial"/>
              </w:rPr>
            </w:pPr>
            <w:r w:rsidRPr="003E695D">
              <w:t>3.28</w:t>
            </w:r>
          </w:p>
        </w:tc>
      </w:tr>
      <w:tr w:rsidR="00197383" w:rsidRPr="003E695D" w14:paraId="5B5C654A" w14:textId="77777777" w:rsidTr="00F04935">
        <w:tc>
          <w:tcPr>
            <w:tcW w:w="3402" w:type="dxa"/>
          </w:tcPr>
          <w:p w14:paraId="3DCEB847" w14:textId="77777777" w:rsidR="00197383" w:rsidRPr="003E695D" w:rsidRDefault="00197383" w:rsidP="00E911C0">
            <w:pPr>
              <w:pStyle w:val="TableBodyText"/>
            </w:pPr>
            <w:r w:rsidRPr="003E695D">
              <w:t>Power Factor</w:t>
            </w:r>
          </w:p>
        </w:tc>
        <w:tc>
          <w:tcPr>
            <w:tcW w:w="4830" w:type="dxa"/>
          </w:tcPr>
          <w:p w14:paraId="3E804ED0" w14:textId="77777777" w:rsidR="00197383" w:rsidRPr="003E695D" w:rsidRDefault="00197383" w:rsidP="00E911C0">
            <w:pPr>
              <w:pStyle w:val="TableBodyText"/>
              <w:rPr>
                <w:rFonts w:cs="Arial"/>
              </w:rPr>
            </w:pPr>
            <w:r w:rsidRPr="003E695D">
              <w:t>0.015</w:t>
            </w:r>
          </w:p>
        </w:tc>
      </w:tr>
    </w:tbl>
    <w:p w14:paraId="02A6BF06" w14:textId="77777777" w:rsidR="00197383" w:rsidRPr="003E695D" w:rsidRDefault="00197383" w:rsidP="00E911C0">
      <w:pPr>
        <w:pStyle w:val="Bodynumbered1"/>
      </w:pPr>
      <w:r w:rsidRPr="003E695D">
        <w:t>Cables must run vertically up columns and other vertical concrete components within a cable slot and cables must be backfilled to ensure a minimum cover over the cables of 25 mm.</w:t>
      </w:r>
    </w:p>
    <w:p w14:paraId="51FAF550" w14:textId="1B72FFDA" w:rsidR="00197383" w:rsidRPr="003E695D" w:rsidRDefault="00197383" w:rsidP="00E911C0">
      <w:pPr>
        <w:pStyle w:val="Bodynumbered1"/>
      </w:pPr>
      <w:r w:rsidRPr="003E695D">
        <w:lastRenderedPageBreak/>
        <w:t xml:space="preserve">All items including cables and titanium strips must be embedded </w:t>
      </w:r>
      <w:r w:rsidR="001D3242">
        <w:t>in</w:t>
      </w:r>
      <w:r w:rsidRPr="003E695D">
        <w:t xml:space="preserve"> locations where components are out of reach of potential damage or vandalism.</w:t>
      </w:r>
    </w:p>
    <w:p w14:paraId="23A1D762" w14:textId="77777777" w:rsidR="00197383" w:rsidRPr="003E695D" w:rsidRDefault="00197383" w:rsidP="00E911C0">
      <w:pPr>
        <w:pStyle w:val="Heading2"/>
      </w:pPr>
      <w:bookmarkStart w:id="50" w:name="_Toc42764456"/>
      <w:r w:rsidRPr="003E695D">
        <w:t>Backfilling of Core Holes and Slots</w:t>
      </w:r>
      <w:bookmarkEnd w:id="50"/>
    </w:p>
    <w:p w14:paraId="5C21C1B0" w14:textId="25CE04F8" w:rsidR="000032DA" w:rsidRPr="003E695D" w:rsidRDefault="00197383" w:rsidP="000032DA">
      <w:pPr>
        <w:pStyle w:val="Bodynumbered1"/>
      </w:pPr>
      <w:r w:rsidRPr="003E695D">
        <w:t>Internal anode core holes, anode slots, connections and cable slots must be backfilled with a single component proprietary cementitious mortar in accordance with ATS 5340. The backfill mortar must be compatible for use with cathodic protection, acid resistant, and of proven suitability and durability. Unless specified otherwise, the compressive strength must be greater than</w:t>
      </w:r>
      <w:r>
        <w:t xml:space="preserve"> </w:t>
      </w:r>
      <w:r w:rsidRPr="003E695D">
        <w:t>23 MPa at 28 days and the electrical resistivity must be less than 15,000 </w:t>
      </w:r>
      <w:r w:rsidR="000032DA" w:rsidRPr="003E695D">
        <w:t>Ω</w:t>
      </w:r>
      <w:r w:rsidR="000032DA">
        <w:t>.</w:t>
      </w:r>
      <w:r w:rsidR="001D3242">
        <w:t>c</w:t>
      </w:r>
      <w:r w:rsidR="000032DA" w:rsidRPr="003E695D">
        <w:t>m</w:t>
      </w:r>
      <w:r w:rsidRPr="003E695D">
        <w:t>.</w:t>
      </w:r>
    </w:p>
    <w:tbl>
      <w:tblPr>
        <w:tblStyle w:val="TMTable1"/>
        <w:tblW w:w="9072" w:type="dxa"/>
        <w:tblInd w:w="557" w:type="dxa"/>
        <w:tblLook w:val="04A0" w:firstRow="1" w:lastRow="0" w:firstColumn="1" w:lastColumn="0" w:noHBand="0" w:noVBand="1"/>
      </w:tblPr>
      <w:tblGrid>
        <w:gridCol w:w="1985"/>
        <w:gridCol w:w="7087"/>
      </w:tblGrid>
      <w:tr w:rsidR="000032DA" w:rsidRPr="00F4166E" w14:paraId="0C92F9D2" w14:textId="77777777" w:rsidTr="00F44911">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16105B80" w14:textId="7CE0CC39" w:rsidR="000032DA" w:rsidRPr="00FB025A" w:rsidRDefault="000032DA" w:rsidP="0094005B">
            <w:pPr>
              <w:pStyle w:val="TableHeading"/>
              <w:keepNext/>
            </w:pPr>
            <w:r>
              <w:rPr>
                <w:b/>
                <w:bCs/>
              </w:rPr>
              <w:t>WITNESS</w:t>
            </w:r>
            <w:r w:rsidRPr="00FB025A">
              <w:rPr>
                <w:b/>
                <w:bCs/>
              </w:rPr>
              <w:t xml:space="preserve"> POINT </w:t>
            </w:r>
            <w:r>
              <w:rPr>
                <w:b/>
                <w:bCs/>
              </w:rPr>
              <w:t>2</w:t>
            </w:r>
          </w:p>
        </w:tc>
      </w:tr>
      <w:tr w:rsidR="000032DA" w:rsidRPr="00F4166E" w14:paraId="3C8A387C" w14:textId="77777777" w:rsidTr="00F04935">
        <w:tc>
          <w:tcPr>
            <w:tcW w:w="1985" w:type="dxa"/>
            <w:tcBorders>
              <w:bottom w:val="single" w:sz="4" w:space="0" w:color="FFFFFF" w:themeColor="background1"/>
            </w:tcBorders>
            <w:hideMark/>
          </w:tcPr>
          <w:p w14:paraId="7D86A93A" w14:textId="77777777" w:rsidR="000032DA" w:rsidRPr="00A65212" w:rsidRDefault="000032DA" w:rsidP="0094005B">
            <w:pPr>
              <w:pStyle w:val="TableBodyText"/>
              <w:keepNext/>
              <w:rPr>
                <w:b/>
              </w:rPr>
            </w:pPr>
            <w:r w:rsidRPr="00A65212">
              <w:t xml:space="preserve">Process </w:t>
            </w:r>
          </w:p>
        </w:tc>
        <w:tc>
          <w:tcPr>
            <w:tcW w:w="7087" w:type="dxa"/>
            <w:tcBorders>
              <w:bottom w:val="single" w:sz="4" w:space="0" w:color="FFFFFF" w:themeColor="background1"/>
            </w:tcBorders>
            <w:hideMark/>
          </w:tcPr>
          <w:p w14:paraId="32172243" w14:textId="060CEE2F" w:rsidR="000032DA" w:rsidRPr="00A65212" w:rsidRDefault="000032DA" w:rsidP="0094005B">
            <w:pPr>
              <w:pStyle w:val="TableBodyText"/>
              <w:keepNext/>
              <w:rPr>
                <w:b/>
              </w:rPr>
            </w:pPr>
            <w:r>
              <w:t>Backfilling of core holes and slots</w:t>
            </w:r>
            <w:r w:rsidRPr="00A65212">
              <w:t>.</w:t>
            </w:r>
          </w:p>
        </w:tc>
      </w:tr>
      <w:tr w:rsidR="000032DA" w:rsidRPr="00F4166E" w14:paraId="72B69316" w14:textId="77777777" w:rsidTr="00F04935">
        <w:tc>
          <w:tcPr>
            <w:tcW w:w="1985" w:type="dxa"/>
            <w:tcBorders>
              <w:bottom w:val="single" w:sz="4" w:space="0" w:color="004259"/>
            </w:tcBorders>
            <w:hideMark/>
          </w:tcPr>
          <w:p w14:paraId="1DA5C637" w14:textId="77777777" w:rsidR="000032DA" w:rsidRPr="00A65212" w:rsidRDefault="000032DA" w:rsidP="0094005B">
            <w:pPr>
              <w:pStyle w:val="TableBodyText"/>
              <w:keepNext/>
            </w:pPr>
            <w:r>
              <w:t>Notification</w:t>
            </w:r>
          </w:p>
        </w:tc>
        <w:tc>
          <w:tcPr>
            <w:tcW w:w="7087" w:type="dxa"/>
            <w:tcBorders>
              <w:bottom w:val="single" w:sz="4" w:space="0" w:color="004259"/>
            </w:tcBorders>
            <w:hideMark/>
          </w:tcPr>
          <w:p w14:paraId="7BB1E54C" w14:textId="65E066F6" w:rsidR="000032DA" w:rsidRPr="00A65212" w:rsidRDefault="000032DA" w:rsidP="0094005B">
            <w:pPr>
              <w:pStyle w:val="TableBodyText"/>
              <w:keepNext/>
            </w:pPr>
            <w:r w:rsidRPr="00DC6D39">
              <w:t xml:space="preserve">At least one working day (not less than 24 hours) prior to the </w:t>
            </w:r>
            <w:r>
              <w:t>backfilling of each anode</w:t>
            </w:r>
            <w:r w:rsidRPr="00DC6D39">
              <w:t>.</w:t>
            </w:r>
          </w:p>
        </w:tc>
      </w:tr>
    </w:tbl>
    <w:p w14:paraId="5A4BE47D" w14:textId="301B3FDF" w:rsidR="00197383" w:rsidRPr="003E695D" w:rsidRDefault="00197383" w:rsidP="0094005B">
      <w:pPr>
        <w:pStyle w:val="Bodynumbered1"/>
        <w:keepNext/>
      </w:pPr>
      <w:r w:rsidRPr="003E695D">
        <w:t>The Contractor must provide a procedure/</w:t>
      </w:r>
      <w:r w:rsidR="00C4212D">
        <w:t>w</w:t>
      </w:r>
      <w:r w:rsidRPr="003E695D">
        <w:t>ork method statement detailing the intended method of ensuring the cementitious backfill grout fully encapsulates the anode material, connections and cable within the core holes and slots, including quality control testing in accordance with the requirements of ATS 5340.</w:t>
      </w:r>
      <w:r>
        <w:t xml:space="preserve"> </w:t>
      </w:r>
      <w:r w:rsidRPr="003E695D">
        <w:t>The general backfilling procedure must be as follows:</w:t>
      </w:r>
    </w:p>
    <w:p w14:paraId="2C898067" w14:textId="1C5E1157" w:rsidR="00197383" w:rsidRPr="003E695D" w:rsidRDefault="00197383" w:rsidP="00C51744">
      <w:pPr>
        <w:pStyle w:val="Bodynumbered2"/>
        <w:numPr>
          <w:ilvl w:val="0"/>
          <w:numId w:val="28"/>
        </w:numPr>
        <w:ind w:left="924" w:hanging="357"/>
      </w:pPr>
      <w:r w:rsidRPr="003E695D">
        <w:t>Ensure the core holes and slots are clean and free from all debris that may obstruct the anode insertion and in saturated surface dry condition.</w:t>
      </w:r>
      <w:r>
        <w:t xml:space="preserve"> </w:t>
      </w:r>
      <w:r w:rsidRPr="003E695D">
        <w:t>The slot surface must be roughened prior to installing the anode material.</w:t>
      </w:r>
    </w:p>
    <w:p w14:paraId="320FC5F6" w14:textId="77777777" w:rsidR="00197383" w:rsidRPr="003E695D" w:rsidRDefault="00197383" w:rsidP="000032DA">
      <w:pPr>
        <w:pStyle w:val="Bodynumbered2"/>
      </w:pPr>
      <w:r w:rsidRPr="003E695D">
        <w:t>Pre-soak the anode material in grout slurry and work the slurry into all parts of the anode geometry.</w:t>
      </w:r>
    </w:p>
    <w:p w14:paraId="222A4057" w14:textId="77777777" w:rsidR="00197383" w:rsidRPr="003E695D" w:rsidRDefault="00197383" w:rsidP="000032DA">
      <w:pPr>
        <w:pStyle w:val="Bodynumbered2"/>
      </w:pPr>
      <w:r w:rsidRPr="003E695D">
        <w:t>Prime the slot using the slurry of the proprietary cementitious mortar in accordance with the manufacturer’s instructions.</w:t>
      </w:r>
    </w:p>
    <w:p w14:paraId="49F31881" w14:textId="5786490A" w:rsidR="00197383" w:rsidRPr="003E695D" w:rsidRDefault="00C4212D" w:rsidP="000032DA">
      <w:pPr>
        <w:pStyle w:val="Bodynumbered2"/>
      </w:pPr>
      <w:r>
        <w:t>Mix t</w:t>
      </w:r>
      <w:r w:rsidRPr="003E695D">
        <w:t xml:space="preserve">he </w:t>
      </w:r>
      <w:r w:rsidR="00197383" w:rsidRPr="003E695D">
        <w:t>grout to a putty consistency in accordance with the manufacturer’s instructions.</w:t>
      </w:r>
    </w:p>
    <w:p w14:paraId="0DFFF0F9" w14:textId="77777777" w:rsidR="00197383" w:rsidRPr="003E695D" w:rsidRDefault="00197383" w:rsidP="000032DA">
      <w:pPr>
        <w:pStyle w:val="Bodynumbered1"/>
      </w:pPr>
      <w:r w:rsidRPr="003E695D">
        <w:t>For core holes pack grout in the base of the hole and insert the anode to ensure a minimum 25 mm cover between the end of the anode and the concrete surface.</w:t>
      </w:r>
      <w:r>
        <w:t xml:space="preserve"> </w:t>
      </w:r>
      <w:r w:rsidRPr="003E695D">
        <w:t>The anode to cable connection must be in this area.</w:t>
      </w:r>
      <w:r>
        <w:t xml:space="preserve"> </w:t>
      </w:r>
      <w:r w:rsidRPr="003E695D">
        <w:t>For slots pack grout in the base of the slot and insert the anode material to ensure a minimum 15 mm cover between the anode material and the concrete surface.</w:t>
      </w:r>
    </w:p>
    <w:p w14:paraId="2ECC2759" w14:textId="77777777" w:rsidR="00197383" w:rsidRPr="003E695D" w:rsidRDefault="00197383" w:rsidP="000032DA">
      <w:pPr>
        <w:pStyle w:val="Bodynumbered1"/>
      </w:pPr>
      <w:r w:rsidRPr="003E695D">
        <w:t>Further grout must be placed around the anode and worked in with a suitable tool to ensure penetration of grout down the sides of the hole or the sides of the slot.</w:t>
      </w:r>
      <w:r>
        <w:t xml:space="preserve"> </w:t>
      </w:r>
      <w:r w:rsidRPr="003E695D">
        <w:t>An 8 mm wide packing tool may be used to ensure the anode material does not lift in the slot.</w:t>
      </w:r>
    </w:p>
    <w:p w14:paraId="690E3F38" w14:textId="77777777" w:rsidR="00197383" w:rsidRPr="003E695D" w:rsidRDefault="00197383" w:rsidP="000032DA">
      <w:pPr>
        <w:pStyle w:val="Bodynumbered1"/>
      </w:pPr>
      <w:r w:rsidRPr="003E695D">
        <w:t>The MMO/</w:t>
      </w:r>
      <w:proofErr w:type="spellStart"/>
      <w:r w:rsidRPr="003E695D">
        <w:t>Ti</w:t>
      </w:r>
      <w:proofErr w:type="spellEnd"/>
      <w:r w:rsidRPr="003E695D">
        <w:t xml:space="preserve"> anode material must not be allowed to exit the hole or slot for any connections.</w:t>
      </w:r>
      <w:r>
        <w:t xml:space="preserve"> </w:t>
      </w:r>
      <w:r w:rsidRPr="003E695D">
        <w:t>Only the titanium strip may exit the concrete or grout where necessary.</w:t>
      </w:r>
    </w:p>
    <w:p w14:paraId="629C48E5" w14:textId="77777777" w:rsidR="00197383" w:rsidRPr="003E695D" w:rsidRDefault="00197383" w:rsidP="000032DA">
      <w:pPr>
        <w:pStyle w:val="Bodynumbered1"/>
      </w:pPr>
      <w:r w:rsidRPr="003E695D">
        <w:t>The grout must be trowel finished to match the existing concrete surface and cured with two coats of an approved curing compound in accordance with the requirements of AS 3799.</w:t>
      </w:r>
    </w:p>
    <w:p w14:paraId="20A55535" w14:textId="77777777" w:rsidR="00197383" w:rsidRPr="003E695D" w:rsidRDefault="00197383" w:rsidP="000032DA">
      <w:pPr>
        <w:pStyle w:val="Bodynumbered1"/>
      </w:pPr>
      <w:r w:rsidRPr="003E695D">
        <w:t>The Quality Plan must include test method statements detailing the intended testing to ensure that total isolation is achieved between the anode materials and the reinforcing steel in accordance with the requirements of AS 2832.5.</w:t>
      </w:r>
    </w:p>
    <w:p w14:paraId="01C287D5" w14:textId="77777777" w:rsidR="00197383" w:rsidRPr="003E695D" w:rsidRDefault="00197383" w:rsidP="000032DA">
      <w:pPr>
        <w:pStyle w:val="Heading2"/>
      </w:pPr>
      <w:bookmarkStart w:id="51" w:name="_Toc42764457"/>
      <w:r w:rsidRPr="003E695D">
        <w:lastRenderedPageBreak/>
        <w:t>Cementitious Overlay to Titanium Anode Mesh</w:t>
      </w:r>
      <w:bookmarkEnd w:id="51"/>
    </w:p>
    <w:p w14:paraId="1EE1A4FD" w14:textId="08E55AAF" w:rsidR="00197383" w:rsidRDefault="00197383" w:rsidP="00F04935">
      <w:pPr>
        <w:pStyle w:val="Bodynumbered1"/>
        <w:keepNext/>
      </w:pPr>
      <w:bookmarkStart w:id="52" w:name="_Ref35338292"/>
      <w:r w:rsidRPr="003E695D">
        <w:t>The titanium anode mesh and prepared concrete substrate must be overlayed with a single component proprietary spray applied cementitious mortar using the wet or dry sprayed concrete process in accordance with the requirements of ATS 5340.</w:t>
      </w:r>
      <w:bookmarkEnd w:id="52"/>
    </w:p>
    <w:tbl>
      <w:tblPr>
        <w:tblStyle w:val="TMTable1"/>
        <w:tblW w:w="8931" w:type="dxa"/>
        <w:tblInd w:w="562" w:type="dxa"/>
        <w:tblLook w:val="04A0" w:firstRow="1" w:lastRow="0" w:firstColumn="1" w:lastColumn="0" w:noHBand="0" w:noVBand="1"/>
      </w:tblPr>
      <w:tblGrid>
        <w:gridCol w:w="1423"/>
        <w:gridCol w:w="7508"/>
      </w:tblGrid>
      <w:tr w:rsidR="000032DA" w:rsidRPr="00F4166E" w14:paraId="4B4B5A69" w14:textId="77777777" w:rsidTr="00F04935">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18929ADA" w14:textId="23CCAE77" w:rsidR="000032DA" w:rsidRPr="00FB025A" w:rsidRDefault="000032DA" w:rsidP="00F04935">
            <w:pPr>
              <w:pStyle w:val="TableHeading"/>
              <w:keepNext/>
            </w:pPr>
            <w:r>
              <w:rPr>
                <w:b/>
                <w:bCs/>
              </w:rPr>
              <w:t>WITNESS</w:t>
            </w:r>
            <w:r w:rsidRPr="00FB025A">
              <w:rPr>
                <w:b/>
                <w:bCs/>
              </w:rPr>
              <w:t xml:space="preserve"> POINT </w:t>
            </w:r>
            <w:r>
              <w:rPr>
                <w:b/>
                <w:bCs/>
              </w:rPr>
              <w:t>3</w:t>
            </w:r>
          </w:p>
        </w:tc>
      </w:tr>
      <w:tr w:rsidR="000032DA" w:rsidRPr="00F4166E" w14:paraId="6030E951" w14:textId="77777777" w:rsidTr="00F04935">
        <w:tc>
          <w:tcPr>
            <w:tcW w:w="1423" w:type="dxa"/>
            <w:hideMark/>
          </w:tcPr>
          <w:p w14:paraId="24D85759" w14:textId="77777777" w:rsidR="000032DA" w:rsidRPr="00A65212" w:rsidRDefault="000032DA" w:rsidP="00F44911">
            <w:pPr>
              <w:pStyle w:val="TableBodyText"/>
              <w:rPr>
                <w:b/>
              </w:rPr>
            </w:pPr>
            <w:r w:rsidRPr="00A65212">
              <w:t xml:space="preserve">Process </w:t>
            </w:r>
          </w:p>
        </w:tc>
        <w:tc>
          <w:tcPr>
            <w:tcW w:w="7508" w:type="dxa"/>
            <w:hideMark/>
          </w:tcPr>
          <w:p w14:paraId="1A9BA5B6" w14:textId="173EA1D2" w:rsidR="000032DA" w:rsidRPr="00A65212" w:rsidRDefault="000032DA" w:rsidP="00F44911">
            <w:pPr>
              <w:pStyle w:val="TableBodyText"/>
              <w:rPr>
                <w:b/>
              </w:rPr>
            </w:pPr>
            <w:r>
              <w:t xml:space="preserve">Application of cementitious overlay </w:t>
            </w:r>
          </w:p>
        </w:tc>
      </w:tr>
      <w:tr w:rsidR="000032DA" w:rsidRPr="00F4166E" w14:paraId="319F3D20" w14:textId="77777777" w:rsidTr="00F04935">
        <w:tc>
          <w:tcPr>
            <w:tcW w:w="1423" w:type="dxa"/>
            <w:hideMark/>
          </w:tcPr>
          <w:p w14:paraId="4F73BD17" w14:textId="77777777" w:rsidR="000032DA" w:rsidRPr="00A65212" w:rsidRDefault="000032DA" w:rsidP="00F44911">
            <w:pPr>
              <w:pStyle w:val="TableBodyText"/>
            </w:pPr>
            <w:r>
              <w:t>Notification</w:t>
            </w:r>
          </w:p>
        </w:tc>
        <w:tc>
          <w:tcPr>
            <w:tcW w:w="7508" w:type="dxa"/>
            <w:hideMark/>
          </w:tcPr>
          <w:p w14:paraId="2629EE14" w14:textId="4D48DCEC" w:rsidR="000032DA" w:rsidRPr="00A65212" w:rsidRDefault="000032DA" w:rsidP="00F44911">
            <w:pPr>
              <w:pStyle w:val="TableBodyText"/>
            </w:pPr>
            <w:r w:rsidRPr="00DC6D39">
              <w:t xml:space="preserve">At least one working day (not less than 24 hours) prior to the </w:t>
            </w:r>
            <w:r>
              <w:t>a</w:t>
            </w:r>
            <w:r w:rsidRPr="008828B5">
              <w:t>pplication of cementitious overlay</w:t>
            </w:r>
            <w:r w:rsidRPr="00DC6D39">
              <w:t>.</w:t>
            </w:r>
          </w:p>
        </w:tc>
      </w:tr>
    </w:tbl>
    <w:p w14:paraId="1BD480D8" w14:textId="2249A4C5" w:rsidR="00197383" w:rsidRPr="003E695D" w:rsidRDefault="00197383" w:rsidP="000032DA">
      <w:pPr>
        <w:pStyle w:val="Bodynumbered1"/>
      </w:pPr>
      <w:r w:rsidRPr="003E695D">
        <w:t>The spray applied cementitious mortar must be compatible for use with cathodic protection, acid resistant, and of proven suitability and durability. Unless specified otherwise, the electrical resistivity must be less than 15,000 Ω</w:t>
      </w:r>
      <w:r w:rsidR="00C4212D">
        <w:t>.</w:t>
      </w:r>
      <w:r w:rsidRPr="003E695D">
        <w:t>cm. Details of the system must be included in the Quality Plan, which must include quality control testing in accordance with the requirements of ATS 5340.</w:t>
      </w:r>
      <w:r>
        <w:t xml:space="preserve"> </w:t>
      </w:r>
    </w:p>
    <w:p w14:paraId="425FA4FA" w14:textId="1AD8BF57" w:rsidR="00197383" w:rsidRPr="003E695D" w:rsidRDefault="00197383" w:rsidP="000032DA">
      <w:pPr>
        <w:pStyle w:val="Bodynumbered1"/>
      </w:pPr>
      <w:r w:rsidRPr="003E695D">
        <w:t xml:space="preserve">The Contractor must provide a procedure/work method statement detailing the intended method of ensuring the spray applied cementitious material fully encapsulates the anode mesh attached to the concrete substrate. This may require the use of cable mounts elevating the mesh approximately 10 mm from the substrate surface, along with non-metallic shear pins installed in place of the cable mounts in every other point both ways. The concrete substrate must be prepared in accordance with the requirements of </w:t>
      </w:r>
      <w:bookmarkStart w:id="53" w:name="_Hlk17110973"/>
      <w:r w:rsidRPr="003E695D">
        <w:t>ATS 5340</w:t>
      </w:r>
      <w:bookmarkEnd w:id="53"/>
      <w:r w:rsidRPr="003E695D">
        <w:t>.</w:t>
      </w:r>
    </w:p>
    <w:p w14:paraId="6A48E1BC" w14:textId="77777777" w:rsidR="00197383" w:rsidRPr="003E695D" w:rsidRDefault="00197383" w:rsidP="000032DA">
      <w:pPr>
        <w:pStyle w:val="Bodynumbered1"/>
      </w:pPr>
      <w:r w:rsidRPr="003E695D">
        <w:t>The outer edge of the titanium anode mesh must be continuously covered with a minimum 15 mm of spray applied cementitious overlay.</w:t>
      </w:r>
      <w:r>
        <w:t xml:space="preserve"> </w:t>
      </w:r>
      <w:r w:rsidRPr="003E695D">
        <w:t>The titanium anode mesh must not be allowed to exit the spray applied cementitious overlay for any connections.</w:t>
      </w:r>
      <w:r>
        <w:t xml:space="preserve"> </w:t>
      </w:r>
      <w:r w:rsidRPr="003E695D">
        <w:t>Only the titanium strip must exit the concrete or spray applied cementitious material where necessary.</w:t>
      </w:r>
    </w:p>
    <w:p w14:paraId="0908DE1D" w14:textId="77777777" w:rsidR="00197383" w:rsidRPr="003E695D" w:rsidRDefault="00197383" w:rsidP="000032DA">
      <w:pPr>
        <w:pStyle w:val="Bodynumbered1"/>
      </w:pPr>
      <w:r w:rsidRPr="003E695D">
        <w:t>The spray applied cementitious mortar overlay must be trowel finished to match the existing concrete surface and cured with two coats of an approved curing compound in accordance with the requirements of AS 3799.</w:t>
      </w:r>
      <w:r>
        <w:t xml:space="preserve"> </w:t>
      </w:r>
      <w:r w:rsidRPr="003E695D">
        <w:t>Curing compounds must be removed prior to the application of any protective or decorative coatings in accordance with the requirements of ATS 5343, unless documented evidence is provided that the applied curing compound is compatible with any proposed coatings.</w:t>
      </w:r>
    </w:p>
    <w:p w14:paraId="343DB8D5" w14:textId="77777777" w:rsidR="00197383" w:rsidRPr="003E695D" w:rsidRDefault="00197383" w:rsidP="000032DA">
      <w:pPr>
        <w:pStyle w:val="Bodynumbered1"/>
      </w:pPr>
      <w:r w:rsidRPr="003E695D">
        <w:t>Immediately after placing and for 7 days, the concrete repair material must be protected from drying out and against the harmful effects of tidal actions and weather including rain and rapid temperature changes.</w:t>
      </w:r>
    </w:p>
    <w:p w14:paraId="3EE882FE" w14:textId="77777777" w:rsidR="00197383" w:rsidRPr="003E695D" w:rsidRDefault="00197383" w:rsidP="000032DA">
      <w:pPr>
        <w:pStyle w:val="Bodynumbered1"/>
      </w:pPr>
      <w:r w:rsidRPr="003E695D">
        <w:t>The Contractor must provide test method statements detailing the intended testing to ensure that isolation is achieved between the anode materials and the reinforcing steel.</w:t>
      </w:r>
    </w:p>
    <w:p w14:paraId="78F62C47" w14:textId="77777777" w:rsidR="00197383" w:rsidRPr="003E695D" w:rsidRDefault="00197383" w:rsidP="000032DA">
      <w:pPr>
        <w:pStyle w:val="Heading2"/>
      </w:pPr>
      <w:bookmarkStart w:id="54" w:name="_Toc42764458"/>
      <w:r w:rsidRPr="003E695D">
        <w:t>Transformer/Rectifier (T/R)</w:t>
      </w:r>
      <w:bookmarkEnd w:id="54"/>
    </w:p>
    <w:p w14:paraId="170D901D" w14:textId="77777777" w:rsidR="00197383" w:rsidRPr="003E695D" w:rsidRDefault="00197383" w:rsidP="000032DA">
      <w:pPr>
        <w:pStyle w:val="Bodynumbered1"/>
      </w:pPr>
      <w:r w:rsidRPr="003E695D">
        <w:t>The transformer/rectifier unit and control panels must comply with the requirements of AS 2832.5.</w:t>
      </w:r>
    </w:p>
    <w:p w14:paraId="7E5E66CC" w14:textId="77777777" w:rsidR="00197383" w:rsidRPr="003E695D" w:rsidRDefault="00197383" w:rsidP="000032DA">
      <w:pPr>
        <w:pStyle w:val="Bodynumbered1"/>
      </w:pPr>
      <w:r w:rsidRPr="003E695D">
        <w:t>The power supply, control and monitoring unit must be primarily operated on site manually with provision for remote monitoring and if specified, remote control.</w:t>
      </w:r>
    </w:p>
    <w:p w14:paraId="069A9E25" w14:textId="327F8A7B" w:rsidR="00197383" w:rsidRPr="003E695D" w:rsidRDefault="00197383" w:rsidP="000032DA">
      <w:pPr>
        <w:pStyle w:val="Bodynumbered1"/>
      </w:pPr>
      <w:r w:rsidRPr="003E695D">
        <w:t xml:space="preserve">Any electrical equipment, such as </w:t>
      </w:r>
      <w:r w:rsidR="00C4212D">
        <w:t xml:space="preserve">the </w:t>
      </w:r>
      <w:r w:rsidRPr="003E695D">
        <w:t>transformer/rectifiers and control panels must be housed in powder coated mild steel, lockable and weatherproof cubicles with a rating of IP 65 and positioned in secure and accessible locations.</w:t>
      </w:r>
    </w:p>
    <w:p w14:paraId="74B192A2" w14:textId="77777777" w:rsidR="00197383" w:rsidRPr="003E695D" w:rsidRDefault="00197383" w:rsidP="000032DA">
      <w:pPr>
        <w:pStyle w:val="Heading2"/>
      </w:pPr>
      <w:bookmarkStart w:id="55" w:name="_Toc42764459"/>
      <w:bookmarkEnd w:id="43"/>
      <w:r w:rsidRPr="003E695D">
        <w:lastRenderedPageBreak/>
        <w:t>Installation</w:t>
      </w:r>
      <w:bookmarkEnd w:id="55"/>
    </w:p>
    <w:p w14:paraId="5B533C99" w14:textId="77777777" w:rsidR="00197383" w:rsidRPr="003E695D" w:rsidRDefault="00197383" w:rsidP="00F04935">
      <w:pPr>
        <w:pStyle w:val="Bodynumbered1"/>
        <w:keepNext/>
      </w:pPr>
      <w:r w:rsidRPr="003E695D">
        <w:t xml:space="preserve">The installation of the CP System must </w:t>
      </w:r>
      <w:proofErr w:type="gramStart"/>
      <w:r w:rsidRPr="003E695D">
        <w:t>take into account</w:t>
      </w:r>
      <w:proofErr w:type="gramEnd"/>
      <w:r w:rsidRPr="003E695D">
        <w:t>:</w:t>
      </w:r>
    </w:p>
    <w:p w14:paraId="23489B37" w14:textId="67E24479" w:rsidR="00197383" w:rsidRPr="003E695D" w:rsidRDefault="00197383" w:rsidP="00F04935">
      <w:pPr>
        <w:pStyle w:val="Bodynumbered2"/>
        <w:keepNext/>
        <w:numPr>
          <w:ilvl w:val="0"/>
          <w:numId w:val="29"/>
        </w:numPr>
        <w:ind w:left="924" w:hanging="357"/>
      </w:pPr>
      <w:r w:rsidRPr="003E695D">
        <w:t xml:space="preserve">the manufacturer’s recommendations for the use of any particular equipment or </w:t>
      </w:r>
      <w:proofErr w:type="gramStart"/>
      <w:r w:rsidRPr="003E695D">
        <w:t>material;</w:t>
      </w:r>
      <w:proofErr w:type="gramEnd"/>
      <w:r w:rsidRPr="003E695D">
        <w:t xml:space="preserve"> </w:t>
      </w:r>
    </w:p>
    <w:p w14:paraId="33775A75" w14:textId="672CB39B" w:rsidR="00197383" w:rsidRPr="003E695D" w:rsidRDefault="00197383" w:rsidP="000032DA">
      <w:pPr>
        <w:pStyle w:val="Bodynumbered2"/>
      </w:pPr>
      <w:r w:rsidRPr="003E695D">
        <w:t xml:space="preserve">the </w:t>
      </w:r>
      <w:r w:rsidR="00C4212D">
        <w:t xml:space="preserve">performance of the </w:t>
      </w:r>
      <w:r w:rsidRPr="003E695D">
        <w:t xml:space="preserve">specified system performance over </w:t>
      </w:r>
      <w:r w:rsidR="00C4212D">
        <w:t>its</w:t>
      </w:r>
      <w:r w:rsidR="00C4212D" w:rsidRPr="003E695D">
        <w:t xml:space="preserve"> </w:t>
      </w:r>
      <w:r w:rsidRPr="003E695D">
        <w:t>design life (which may include double redundancy systems); and</w:t>
      </w:r>
    </w:p>
    <w:p w14:paraId="04D60D4E" w14:textId="77777777" w:rsidR="00197383" w:rsidRPr="003E695D" w:rsidRDefault="00197383" w:rsidP="000032DA">
      <w:pPr>
        <w:pStyle w:val="Bodynumbered2"/>
      </w:pPr>
      <w:r w:rsidRPr="003E695D">
        <w:t>the environment in which it is installed.</w:t>
      </w:r>
    </w:p>
    <w:p w14:paraId="22C911CD" w14:textId="77777777" w:rsidR="00197383" w:rsidRPr="003E695D" w:rsidRDefault="00197383" w:rsidP="000032DA">
      <w:pPr>
        <w:pStyle w:val="Bodynumbered1"/>
      </w:pPr>
      <w:r w:rsidRPr="003E695D">
        <w:t>The Contractor is responsible for the provision of all AC power requirements at the required locations for the operation and monitoring of the CP System including the required application to the relevant power authority.</w:t>
      </w:r>
    </w:p>
    <w:p w14:paraId="16BC9C40" w14:textId="77777777" w:rsidR="00197383" w:rsidRPr="003E695D" w:rsidRDefault="00197383" w:rsidP="000032DA">
      <w:pPr>
        <w:pStyle w:val="Bodynumbered1"/>
      </w:pPr>
      <w:r w:rsidRPr="003E695D">
        <w:t xml:space="preserve">The Contractor must identify by means of method statements, the activities involved in the installation of the CP System and the requirements for access to each </w:t>
      </w:r>
      <w:proofErr w:type="gramStart"/>
      <w:r w:rsidRPr="003E695D">
        <w:t>particular section</w:t>
      </w:r>
      <w:proofErr w:type="gramEnd"/>
      <w:r w:rsidRPr="003E695D">
        <w:t xml:space="preserve"> of the structure for the application of the various materials and components.</w:t>
      </w:r>
    </w:p>
    <w:p w14:paraId="5CC2EE42" w14:textId="77777777" w:rsidR="00197383" w:rsidRPr="003E695D" w:rsidRDefault="00197383" w:rsidP="000032DA">
      <w:pPr>
        <w:pStyle w:val="Bodynumbered1"/>
      </w:pPr>
      <w:r w:rsidRPr="003E695D">
        <w:t>The Contractor must identify any special equipment used during installation and must ensure that the use of the equipment is in accordance with the applicable Work Health and Safety regulations.</w:t>
      </w:r>
    </w:p>
    <w:p w14:paraId="3D3B3DDB" w14:textId="77777777" w:rsidR="00197383" w:rsidRPr="003E695D" w:rsidRDefault="00197383" w:rsidP="0094005B">
      <w:pPr>
        <w:pStyle w:val="Bodynumbered1"/>
        <w:keepNext/>
      </w:pPr>
      <w:r w:rsidRPr="003E695D">
        <w:t>The Contractor must:</w:t>
      </w:r>
    </w:p>
    <w:p w14:paraId="24C0D945" w14:textId="269B7AF8" w:rsidR="00197383" w:rsidRPr="003E695D" w:rsidRDefault="00197383" w:rsidP="0094005B">
      <w:pPr>
        <w:pStyle w:val="Bodynumbered2"/>
        <w:keepNext/>
        <w:numPr>
          <w:ilvl w:val="0"/>
          <w:numId w:val="30"/>
        </w:numPr>
        <w:ind w:left="924" w:hanging="357"/>
      </w:pPr>
      <w:r w:rsidRPr="003E695D">
        <w:t xml:space="preserve">identify any infrastructure attached to the reinforced concrete structure and/or its contact that may be affected by the CP </w:t>
      </w:r>
      <w:proofErr w:type="gramStart"/>
      <w:r w:rsidRPr="003E695D">
        <w:t>System;</w:t>
      </w:r>
      <w:proofErr w:type="gramEnd"/>
    </w:p>
    <w:p w14:paraId="155BF653" w14:textId="38F32ABC" w:rsidR="00197383" w:rsidRPr="003E695D" w:rsidRDefault="00197383" w:rsidP="0094005B">
      <w:pPr>
        <w:pStyle w:val="Bodynumbered2"/>
        <w:keepNext/>
      </w:pPr>
      <w:r w:rsidRPr="003E695D">
        <w:t xml:space="preserve">ensure that the CP </w:t>
      </w:r>
      <w:r w:rsidR="00C4212D">
        <w:t>S</w:t>
      </w:r>
      <w:r w:rsidR="00C4212D" w:rsidRPr="003E695D">
        <w:t xml:space="preserve">ystem </w:t>
      </w:r>
      <w:r w:rsidRPr="003E695D">
        <w:t>will not create any adverse effect upon other infrastructure by creating stray current or interference; and</w:t>
      </w:r>
    </w:p>
    <w:p w14:paraId="040581DB" w14:textId="77777777" w:rsidR="00197383" w:rsidRPr="003E695D" w:rsidRDefault="00197383" w:rsidP="0094005B">
      <w:pPr>
        <w:pStyle w:val="Bodynumbered2"/>
        <w:keepNext/>
      </w:pPr>
      <w:r w:rsidRPr="003E695D">
        <w:t xml:space="preserve">obtain approval from any regulatory authority which has jurisdiction </w:t>
      </w:r>
      <w:proofErr w:type="gramStart"/>
      <w:r w:rsidRPr="003E695D">
        <w:t>in regard to</w:t>
      </w:r>
      <w:proofErr w:type="gramEnd"/>
      <w:r w:rsidRPr="003E695D">
        <w:t xml:space="preserve"> electrolysis.</w:t>
      </w:r>
    </w:p>
    <w:p w14:paraId="62536EC5" w14:textId="77777777" w:rsidR="00197383" w:rsidRPr="000032DA" w:rsidRDefault="00197383" w:rsidP="000032DA">
      <w:pPr>
        <w:pStyle w:val="Heading1"/>
      </w:pPr>
      <w:bookmarkStart w:id="56" w:name="_Toc29396620"/>
      <w:bookmarkStart w:id="57" w:name="_Toc42764460"/>
      <w:r w:rsidRPr="000032DA">
        <w:t>Commissioning the System</w:t>
      </w:r>
      <w:bookmarkEnd w:id="56"/>
      <w:bookmarkEnd w:id="57"/>
      <w:r w:rsidRPr="000032DA">
        <w:t xml:space="preserve"> </w:t>
      </w:r>
    </w:p>
    <w:p w14:paraId="35CD6EF5" w14:textId="77777777" w:rsidR="00197383" w:rsidRPr="003E695D" w:rsidRDefault="00197383" w:rsidP="000032DA">
      <w:pPr>
        <w:pStyle w:val="Heading2"/>
      </w:pPr>
      <w:bookmarkStart w:id="58" w:name="_Toc42764461"/>
      <w:r w:rsidRPr="003E695D">
        <w:t>General</w:t>
      </w:r>
      <w:bookmarkEnd w:id="58"/>
    </w:p>
    <w:p w14:paraId="25267C5B" w14:textId="77777777" w:rsidR="00197383" w:rsidRPr="003E695D" w:rsidRDefault="00197383" w:rsidP="000032DA">
      <w:pPr>
        <w:pStyle w:val="Bodynumbered1"/>
      </w:pPr>
      <w:r w:rsidRPr="003E695D">
        <w:t>Commissioning must be carried out in accordance with the requirements of AS 2832.5.</w:t>
      </w:r>
      <w:r>
        <w:t xml:space="preserve"> </w:t>
      </w:r>
      <w:r w:rsidRPr="003E695D">
        <w:t xml:space="preserve">Prior to energising the system, tests must be undertaken to ensure that all measurements, </w:t>
      </w:r>
      <w:proofErr w:type="gramStart"/>
      <w:r w:rsidRPr="003E695D">
        <w:t>power</w:t>
      </w:r>
      <w:proofErr w:type="gramEnd"/>
      <w:r w:rsidRPr="003E695D">
        <w:t xml:space="preserve"> and bonding circuits are correctly wired, connected and labelled, to provide the expected resistances.</w:t>
      </w:r>
    </w:p>
    <w:p w14:paraId="507D703F" w14:textId="77777777" w:rsidR="00197383" w:rsidRPr="003E695D" w:rsidRDefault="00197383" w:rsidP="000032DA">
      <w:pPr>
        <w:pStyle w:val="Bodynumbered1"/>
      </w:pPr>
      <w:r w:rsidRPr="003E695D">
        <w:t xml:space="preserve">The Contractor must then carry out the necessary commissioning procedures including necessary adjustments, to demonstrate stability of the system and that the various protection criteria described in </w:t>
      </w:r>
      <w:bookmarkStart w:id="59" w:name="_Hlk17111348"/>
      <w:r w:rsidRPr="003E695D">
        <w:t>this Specification</w:t>
      </w:r>
      <w:bookmarkEnd w:id="59"/>
      <w:r w:rsidRPr="003E695D">
        <w:t xml:space="preserve"> have been achieved.</w:t>
      </w:r>
    </w:p>
    <w:p w14:paraId="7747FBC6" w14:textId="77777777" w:rsidR="00197383" w:rsidRPr="003E695D" w:rsidRDefault="00197383" w:rsidP="000032DA">
      <w:pPr>
        <w:pStyle w:val="Bodynumbered1"/>
      </w:pPr>
      <w:r w:rsidRPr="003E695D">
        <w:t>Full cathodic protection against the aggressive action of chloride ions, must be achieved within 26 weeks of the date of first energising the CP System.</w:t>
      </w:r>
    </w:p>
    <w:p w14:paraId="1F92C16F" w14:textId="77777777" w:rsidR="00197383" w:rsidRPr="003E695D" w:rsidRDefault="00197383" w:rsidP="000032DA">
      <w:pPr>
        <w:pStyle w:val="Heading2"/>
      </w:pPr>
      <w:bookmarkStart w:id="60" w:name="_Toc42764462"/>
      <w:r w:rsidRPr="003E695D">
        <w:t>Commissioning Report</w:t>
      </w:r>
      <w:bookmarkEnd w:id="60"/>
    </w:p>
    <w:p w14:paraId="5C138561" w14:textId="77777777" w:rsidR="00197383" w:rsidRPr="003E695D" w:rsidRDefault="00197383" w:rsidP="000032DA">
      <w:pPr>
        <w:pStyle w:val="Bodynumbered1"/>
      </w:pPr>
      <w:bookmarkStart w:id="61" w:name="_Ref17205399"/>
      <w:r w:rsidRPr="003E695D">
        <w:t>The Contractor must:</w:t>
      </w:r>
      <w:bookmarkEnd w:id="61"/>
    </w:p>
    <w:p w14:paraId="73F0D412" w14:textId="2092F27B" w:rsidR="00197383" w:rsidRPr="003E695D" w:rsidRDefault="00197383" w:rsidP="00C51744">
      <w:pPr>
        <w:pStyle w:val="Bodynumbered2"/>
        <w:numPr>
          <w:ilvl w:val="0"/>
          <w:numId w:val="31"/>
        </w:numPr>
        <w:ind w:left="924" w:hanging="357"/>
      </w:pPr>
      <w:r w:rsidRPr="003E695D">
        <w:t xml:space="preserve">maintain complete detailed records of all testing and inspection undertaken during the installation of the CP System and compile these records into a Commissioning Report in accordance with AS 2832 Clause </w:t>
      </w:r>
      <w:proofErr w:type="gramStart"/>
      <w:r w:rsidRPr="003E695D">
        <w:t>8.2;</w:t>
      </w:r>
      <w:proofErr w:type="gramEnd"/>
    </w:p>
    <w:p w14:paraId="79049DB6" w14:textId="77777777" w:rsidR="00197383" w:rsidRPr="003E695D" w:rsidRDefault="00197383" w:rsidP="000032DA">
      <w:pPr>
        <w:pStyle w:val="Bodynumbered2"/>
      </w:pPr>
      <w:r w:rsidRPr="003E695D">
        <w:t>within 4 weeks of the date of first energising the CP System, demonstrate that full protection of the steel reinforcement in accordance with this Specification has been achieved; and</w:t>
      </w:r>
    </w:p>
    <w:p w14:paraId="412353F7" w14:textId="3485A857" w:rsidR="00197383" w:rsidRPr="003E695D" w:rsidRDefault="00197383" w:rsidP="000032DA">
      <w:pPr>
        <w:pStyle w:val="Bodynumbered2"/>
      </w:pPr>
      <w:r w:rsidRPr="003E695D">
        <w:t>as a condition precedent for Practical Completion/Completion, provide an electronic copy (in pdf format) of the Commissioning Report.</w:t>
      </w:r>
    </w:p>
    <w:p w14:paraId="03590686" w14:textId="0B465BBA" w:rsidR="00197383" w:rsidRPr="003E695D" w:rsidRDefault="00197383" w:rsidP="000032DA">
      <w:pPr>
        <w:pStyle w:val="Bodynumbered1"/>
      </w:pPr>
      <w:r w:rsidRPr="003E695D">
        <w:lastRenderedPageBreak/>
        <w:t>Subject to the Contractor having met all the specified requirements for the design, installation and commissioning of the CP System, the date of submission of the Commissioning Report is the “Commissioning Acceptance Date”</w:t>
      </w:r>
      <w:r w:rsidR="00542E6E">
        <w:t>.</w:t>
      </w:r>
    </w:p>
    <w:p w14:paraId="095BE35A" w14:textId="77777777" w:rsidR="00197383" w:rsidRPr="000032DA" w:rsidRDefault="00197383" w:rsidP="000032DA">
      <w:pPr>
        <w:pStyle w:val="Heading1"/>
      </w:pPr>
      <w:bookmarkStart w:id="62" w:name="_Toc29396621"/>
      <w:bookmarkStart w:id="63" w:name="_Toc42764463"/>
      <w:bookmarkStart w:id="64" w:name="_Hlk22236478"/>
      <w:r w:rsidRPr="000032DA">
        <w:t>Monitoring and Maintenance Manual</w:t>
      </w:r>
      <w:bookmarkEnd w:id="62"/>
      <w:bookmarkEnd w:id="63"/>
      <w:r w:rsidRPr="000032DA">
        <w:t xml:space="preserve"> </w:t>
      </w:r>
      <w:bookmarkEnd w:id="64"/>
    </w:p>
    <w:p w14:paraId="252DAEAA" w14:textId="0697F351" w:rsidR="00197383" w:rsidRPr="003E695D" w:rsidRDefault="00197383" w:rsidP="000032DA">
      <w:pPr>
        <w:pStyle w:val="Bodynumbered1"/>
      </w:pPr>
      <w:bookmarkStart w:id="65" w:name="_Ref17205528"/>
      <w:r w:rsidRPr="003E695D">
        <w:t xml:space="preserve">Within 4 weeks of the date of first energising the CP System, the Contractor </w:t>
      </w:r>
      <w:r w:rsidR="00542E6E">
        <w:t xml:space="preserve">must </w:t>
      </w:r>
      <w:r w:rsidRPr="003E695D">
        <w:t xml:space="preserve">provide to the Principal an electronic </w:t>
      </w:r>
      <w:bookmarkStart w:id="66" w:name="_Hlk17111959"/>
      <w:r w:rsidRPr="003E695D">
        <w:t xml:space="preserve">copy (in pdf format) </w:t>
      </w:r>
      <w:bookmarkEnd w:id="66"/>
      <w:r w:rsidRPr="003E695D">
        <w:t>of a comprehensive Monitoring and Maintenance Manual which must contain all information necessary for the Principal to operate the system.</w:t>
      </w:r>
      <w:bookmarkEnd w:id="65"/>
    </w:p>
    <w:p w14:paraId="649287B9" w14:textId="77777777" w:rsidR="00197383" w:rsidRPr="003E695D" w:rsidRDefault="00197383" w:rsidP="000032DA">
      <w:pPr>
        <w:pStyle w:val="Bodynumbered1"/>
      </w:pPr>
      <w:r w:rsidRPr="003E695D">
        <w:t>The Monitoring and Maintenance Manual must include the documents specified in AS 5100.8 Appendix B13.</w:t>
      </w:r>
    </w:p>
    <w:p w14:paraId="646DA77C" w14:textId="77777777" w:rsidR="00197383" w:rsidRPr="000032DA" w:rsidRDefault="00197383" w:rsidP="000032DA">
      <w:pPr>
        <w:pStyle w:val="Heading1"/>
      </w:pPr>
      <w:bookmarkStart w:id="67" w:name="_Toc29396622"/>
      <w:bookmarkStart w:id="68" w:name="_Toc42764464"/>
      <w:r w:rsidRPr="000032DA">
        <w:t>Operation and Maintenance</w:t>
      </w:r>
      <w:bookmarkEnd w:id="67"/>
      <w:bookmarkEnd w:id="68"/>
    </w:p>
    <w:p w14:paraId="5DBF33BC" w14:textId="77777777" w:rsidR="00197383" w:rsidRPr="003E695D" w:rsidRDefault="00197383" w:rsidP="000032DA">
      <w:pPr>
        <w:pStyle w:val="Bodynumbered1"/>
      </w:pPr>
      <w:r w:rsidRPr="003E695D">
        <w:t>The Contractor must monitor and maintain the CP System for 2 years from the Commissioning Acceptance Date in accordance with Section 9 of AS 2832.5.</w:t>
      </w:r>
    </w:p>
    <w:p w14:paraId="0B309E86" w14:textId="77777777" w:rsidR="00197383" w:rsidRPr="003E695D" w:rsidRDefault="00197383" w:rsidP="000032DA">
      <w:pPr>
        <w:pStyle w:val="Bodynumbered1"/>
      </w:pPr>
      <w:bookmarkStart w:id="69" w:name="_Ref26533454"/>
      <w:r w:rsidRPr="003E695D">
        <w:t>During this period, the Contractor must:</w:t>
      </w:r>
      <w:bookmarkEnd w:id="69"/>
    </w:p>
    <w:p w14:paraId="633E2B62" w14:textId="7B15959B" w:rsidR="00197383" w:rsidRPr="003E695D" w:rsidRDefault="00197383" w:rsidP="00C51744">
      <w:pPr>
        <w:pStyle w:val="Bodynumbered2"/>
        <w:numPr>
          <w:ilvl w:val="0"/>
          <w:numId w:val="32"/>
        </w:numPr>
        <w:ind w:left="924" w:hanging="357"/>
      </w:pPr>
      <w:r w:rsidRPr="003E695D">
        <w:t xml:space="preserve">undertake any </w:t>
      </w:r>
      <w:bookmarkStart w:id="70" w:name="_Hlk17106838"/>
      <w:r w:rsidRPr="003E695D">
        <w:t xml:space="preserve">maintenance, remedial work or modifications </w:t>
      </w:r>
      <w:bookmarkEnd w:id="70"/>
      <w:r w:rsidRPr="003E695D">
        <w:t xml:space="preserve">necessary to ensure that the system is performing in accordance with this </w:t>
      </w:r>
      <w:proofErr w:type="gramStart"/>
      <w:r w:rsidRPr="003E695D">
        <w:t>Specification;</w:t>
      </w:r>
      <w:proofErr w:type="gramEnd"/>
      <w:r w:rsidRPr="003E695D">
        <w:t xml:space="preserve"> </w:t>
      </w:r>
    </w:p>
    <w:p w14:paraId="63132AFD" w14:textId="5A5848B8" w:rsidR="00197383" w:rsidRDefault="00197383" w:rsidP="000032DA">
      <w:pPr>
        <w:pStyle w:val="Bodynumbered2"/>
      </w:pPr>
      <w:r w:rsidRPr="003E695D">
        <w:t xml:space="preserve">advise the Principal at least 7 days before carrying out any maintenance, remedial </w:t>
      </w:r>
      <w:proofErr w:type="gramStart"/>
      <w:r w:rsidRPr="003E695D">
        <w:t>work</w:t>
      </w:r>
      <w:proofErr w:type="gramEnd"/>
      <w:r w:rsidRPr="003E695D">
        <w:t xml:space="preserve"> or modifications; and</w:t>
      </w:r>
    </w:p>
    <w:p w14:paraId="514AA1B9" w14:textId="30FEA188" w:rsidR="000032DA" w:rsidRPr="003E695D" w:rsidRDefault="000032DA" w:rsidP="000032DA">
      <w:pPr>
        <w:pStyle w:val="Bodynumbered2"/>
      </w:pPr>
      <w:r w:rsidRPr="003E695D">
        <w:t xml:space="preserve">provide a System Review Report which is presented on a per element basis and not as a summary of results from reference electrodes so that the element condition can be translated into the Principal's asset information system. The report must also include historical data presented graphically to show </w:t>
      </w:r>
      <w:r w:rsidR="00542E6E">
        <w:t xml:space="preserve">the </w:t>
      </w:r>
      <w:r w:rsidRPr="003E695D">
        <w:t>potential and current</w:t>
      </w:r>
      <w:r w:rsidR="00542E6E">
        <w:t xml:space="preserve"> trends</w:t>
      </w:r>
      <w:r w:rsidRPr="003E695D">
        <w:t>. The raw database must be made available exported into M</w:t>
      </w:r>
      <w:r>
        <w:t>S</w:t>
      </w:r>
      <w:r w:rsidRPr="003E695D">
        <w:t xml:space="preserve"> Excel for trend interrogation later.</w:t>
      </w:r>
    </w:p>
    <w:p w14:paraId="7FBC97F5" w14:textId="36EA377B" w:rsidR="00A07FEF" w:rsidRPr="0059043A" w:rsidRDefault="00A07FEF" w:rsidP="00751F63">
      <w:pPr>
        <w:pStyle w:val="AnnexureHeading"/>
        <w:ind w:left="1843" w:hanging="1843"/>
      </w:pPr>
      <w:bookmarkStart w:id="71" w:name="_Toc26182495"/>
      <w:bookmarkStart w:id="72" w:name="_Toc42764465"/>
      <w:r w:rsidRPr="00751F63">
        <w:lastRenderedPageBreak/>
        <w:t>Annexure</w:t>
      </w:r>
      <w:r w:rsidRPr="0059043A">
        <w:t xml:space="preserve"> A:</w:t>
      </w:r>
      <w:r w:rsidRPr="0059043A">
        <w:tab/>
        <w:t>Summary of Hold Points, Witness Points and Records</w:t>
      </w:r>
      <w:bookmarkEnd w:id="71"/>
      <w:bookmarkEnd w:id="72"/>
    </w:p>
    <w:p w14:paraId="3A78DBB2" w14:textId="21B5ADDA" w:rsidR="00D3735D" w:rsidRPr="00AF622C" w:rsidRDefault="00CF24A6" w:rsidP="00D3735D">
      <w:pPr>
        <w:pStyle w:val="BodyText"/>
      </w:pPr>
      <w:r w:rsidRPr="00AF622C">
        <w:t xml:space="preserve">The following is a summary of the Witness Points/Hold Points that apply to this </w:t>
      </w:r>
      <w:r>
        <w:t>s</w:t>
      </w:r>
      <w:r w:rsidRPr="00AF622C">
        <w:t xml:space="preserve">pecification and the Records that the Contractor must submit to the Principal to demonstrate compliance with this </w:t>
      </w:r>
      <w:r>
        <w:t>s</w:t>
      </w:r>
      <w:r w:rsidRPr="00AF622C">
        <w:t>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988"/>
        <w:gridCol w:w="2409"/>
        <w:gridCol w:w="2694"/>
        <w:gridCol w:w="3543"/>
      </w:tblGrid>
      <w:tr w:rsidR="00A07FEF" w:rsidRPr="00D05512" w14:paraId="7D299462" w14:textId="77777777" w:rsidTr="00F04935">
        <w:trPr>
          <w:cnfStyle w:val="100000000000" w:firstRow="1" w:lastRow="0" w:firstColumn="0" w:lastColumn="0" w:oddVBand="0" w:evenVBand="0" w:oddHBand="0" w:evenHBand="0" w:firstRowFirstColumn="0" w:firstRowLastColumn="0" w:lastRowFirstColumn="0" w:lastRowLastColumn="0"/>
        </w:trPr>
        <w:tc>
          <w:tcPr>
            <w:tcW w:w="988" w:type="dxa"/>
            <w:tcBorders>
              <w:top w:val="single" w:sz="4" w:space="0" w:color="FFFFFF" w:themeColor="background1"/>
            </w:tcBorders>
            <w:shd w:val="clear" w:color="auto" w:fill="004259"/>
          </w:tcPr>
          <w:p w14:paraId="5E88DB46" w14:textId="40C23806" w:rsidR="00A07FEF" w:rsidRPr="00A07FEF" w:rsidRDefault="00A07FEF" w:rsidP="00A07FEF">
            <w:pPr>
              <w:pStyle w:val="TableHeading"/>
              <w:rPr>
                <w:rFonts w:eastAsia="SimSun"/>
                <w:b/>
                <w:bCs/>
              </w:rPr>
            </w:pPr>
            <w:r w:rsidRPr="00A07FEF">
              <w:rPr>
                <w:rFonts w:eastAsia="SimSun"/>
                <w:b/>
                <w:bCs/>
              </w:rPr>
              <w:t>C</w:t>
            </w:r>
            <w:r w:rsidR="000B1E68">
              <w:rPr>
                <w:rFonts w:eastAsia="SimSun"/>
                <w:b/>
                <w:bCs/>
              </w:rPr>
              <w:t>lause</w:t>
            </w:r>
          </w:p>
        </w:tc>
        <w:tc>
          <w:tcPr>
            <w:tcW w:w="2409" w:type="dxa"/>
            <w:tcBorders>
              <w:top w:val="single" w:sz="4" w:space="0" w:color="FFFFFF" w:themeColor="background1"/>
            </w:tcBorders>
            <w:shd w:val="clear" w:color="auto" w:fill="004259"/>
          </w:tcPr>
          <w:p w14:paraId="4350ECB6" w14:textId="734ECF0A" w:rsidR="00A07FEF" w:rsidRPr="00A07FEF" w:rsidRDefault="00A07FEF" w:rsidP="00A07FEF">
            <w:pPr>
              <w:pStyle w:val="TableHeading"/>
              <w:rPr>
                <w:rFonts w:eastAsia="SimSun"/>
                <w:b/>
                <w:bCs/>
              </w:rPr>
            </w:pPr>
            <w:r w:rsidRPr="00A07FEF">
              <w:rPr>
                <w:rFonts w:eastAsia="SimSun"/>
                <w:b/>
                <w:bCs/>
              </w:rPr>
              <w:t>H</w:t>
            </w:r>
            <w:r w:rsidR="000B1E68">
              <w:rPr>
                <w:rFonts w:eastAsia="SimSun"/>
                <w:b/>
                <w:bCs/>
              </w:rPr>
              <w:t>old point</w:t>
            </w:r>
          </w:p>
        </w:tc>
        <w:tc>
          <w:tcPr>
            <w:tcW w:w="2694" w:type="dxa"/>
            <w:tcBorders>
              <w:top w:val="single" w:sz="4" w:space="0" w:color="FFFFFF" w:themeColor="background1"/>
            </w:tcBorders>
            <w:shd w:val="clear" w:color="auto" w:fill="004259"/>
          </w:tcPr>
          <w:p w14:paraId="1295EB9F" w14:textId="7FA290EF" w:rsidR="00A07FEF" w:rsidRPr="00A07FEF" w:rsidRDefault="000B1E68" w:rsidP="00A07FEF">
            <w:pPr>
              <w:pStyle w:val="TableHeading"/>
              <w:rPr>
                <w:rFonts w:eastAsia="SimSun"/>
                <w:b/>
                <w:bCs/>
              </w:rPr>
            </w:pPr>
            <w:r>
              <w:rPr>
                <w:rFonts w:eastAsia="SimSun"/>
                <w:b/>
                <w:bCs/>
              </w:rPr>
              <w:t>Witness point</w:t>
            </w:r>
          </w:p>
        </w:tc>
        <w:tc>
          <w:tcPr>
            <w:tcW w:w="3543" w:type="dxa"/>
            <w:tcBorders>
              <w:top w:val="single" w:sz="4" w:space="0" w:color="FFFFFF" w:themeColor="background1"/>
            </w:tcBorders>
            <w:shd w:val="clear" w:color="auto" w:fill="004259"/>
          </w:tcPr>
          <w:p w14:paraId="1C7CDCA6" w14:textId="2B9D399A" w:rsidR="00A07FEF" w:rsidRPr="00A07FEF" w:rsidRDefault="000B1E68" w:rsidP="00A07FEF">
            <w:pPr>
              <w:pStyle w:val="TableHeading"/>
              <w:rPr>
                <w:rFonts w:eastAsia="SimSun"/>
                <w:b/>
                <w:bCs/>
              </w:rPr>
            </w:pPr>
            <w:r>
              <w:rPr>
                <w:rFonts w:eastAsia="SimSun"/>
                <w:b/>
                <w:bCs/>
              </w:rPr>
              <w:t>Record</w:t>
            </w:r>
          </w:p>
        </w:tc>
      </w:tr>
      <w:tr w:rsidR="00C51744" w:rsidRPr="00F70927" w14:paraId="21B450B6" w14:textId="77777777" w:rsidTr="00F04935">
        <w:tc>
          <w:tcPr>
            <w:tcW w:w="988" w:type="dxa"/>
            <w:shd w:val="clear" w:color="auto" w:fill="D9D9D9" w:themeFill="background1" w:themeFillShade="D9"/>
          </w:tcPr>
          <w:p w14:paraId="3F2E69C4" w14:textId="757E9BB5" w:rsidR="00C51744" w:rsidRPr="00F70927" w:rsidRDefault="00C51744" w:rsidP="00C51744">
            <w:pPr>
              <w:pStyle w:val="TableBodyText"/>
            </w:pPr>
            <w:r w:rsidRPr="003E695D">
              <w:fldChar w:fldCharType="begin"/>
            </w:r>
            <w:r w:rsidRPr="003E695D">
              <w:instrText xml:space="preserve"> REF _Ref26533338 \r \h  \* MERGEFORMAT </w:instrText>
            </w:r>
            <w:r w:rsidRPr="003E695D">
              <w:fldChar w:fldCharType="separate"/>
            </w:r>
            <w:r>
              <w:t>4.1</w:t>
            </w:r>
            <w:r w:rsidRPr="003E695D">
              <w:fldChar w:fldCharType="end"/>
            </w:r>
          </w:p>
        </w:tc>
        <w:tc>
          <w:tcPr>
            <w:tcW w:w="2409" w:type="dxa"/>
            <w:shd w:val="clear" w:color="auto" w:fill="D9D9D9" w:themeFill="background1" w:themeFillShade="D9"/>
          </w:tcPr>
          <w:p w14:paraId="729C48E9" w14:textId="781C43F9" w:rsidR="00C51744" w:rsidRPr="00CF24A6" w:rsidRDefault="00C51744" w:rsidP="00C51744">
            <w:pPr>
              <w:pStyle w:val="TableBodyText"/>
            </w:pPr>
            <w:r w:rsidRPr="003E695D">
              <w:t xml:space="preserve">Commencement of </w:t>
            </w:r>
            <w:r w:rsidR="001E0B62">
              <w:t xml:space="preserve">system </w:t>
            </w:r>
            <w:r w:rsidRPr="003E695D">
              <w:t>installation.</w:t>
            </w:r>
          </w:p>
        </w:tc>
        <w:tc>
          <w:tcPr>
            <w:tcW w:w="2694" w:type="dxa"/>
            <w:shd w:val="clear" w:color="auto" w:fill="D9D9D9" w:themeFill="background1" w:themeFillShade="D9"/>
          </w:tcPr>
          <w:p w14:paraId="70A60223" w14:textId="77777777" w:rsidR="00C51744" w:rsidRPr="00F70927" w:rsidRDefault="00C51744" w:rsidP="00C51744">
            <w:pPr>
              <w:pStyle w:val="TableBodyText"/>
            </w:pPr>
          </w:p>
        </w:tc>
        <w:tc>
          <w:tcPr>
            <w:tcW w:w="3543" w:type="dxa"/>
            <w:shd w:val="clear" w:color="auto" w:fill="D9D9D9" w:themeFill="background1" w:themeFillShade="D9"/>
          </w:tcPr>
          <w:p w14:paraId="2BACDD58" w14:textId="4827A1ED" w:rsidR="00C51744" w:rsidRPr="00CF24A6" w:rsidRDefault="00C51744" w:rsidP="00C51744">
            <w:pPr>
              <w:pStyle w:val="TableBodyText"/>
            </w:pPr>
            <w:r w:rsidRPr="003E695D">
              <w:t>Quality Plan</w:t>
            </w:r>
          </w:p>
        </w:tc>
      </w:tr>
      <w:tr w:rsidR="00C51744" w:rsidRPr="00F70927" w14:paraId="6A9F5155" w14:textId="77777777" w:rsidTr="00F04935">
        <w:tc>
          <w:tcPr>
            <w:tcW w:w="988" w:type="dxa"/>
            <w:shd w:val="clear" w:color="auto" w:fill="D9D9D9" w:themeFill="background1" w:themeFillShade="D9"/>
          </w:tcPr>
          <w:p w14:paraId="1D89247F" w14:textId="337BE9D9" w:rsidR="00C51744" w:rsidRPr="00F70927" w:rsidRDefault="00C51744" w:rsidP="00C51744">
            <w:pPr>
              <w:pStyle w:val="TableBodyText"/>
            </w:pPr>
            <w:r w:rsidRPr="003E695D">
              <w:fldChar w:fldCharType="begin"/>
            </w:r>
            <w:r w:rsidRPr="003E695D">
              <w:instrText xml:space="preserve"> REF _Ref26533417 \r \h  \* MERGEFORMAT </w:instrText>
            </w:r>
            <w:r w:rsidRPr="003E695D">
              <w:fldChar w:fldCharType="separate"/>
            </w:r>
            <w:r>
              <w:t>9.3</w:t>
            </w:r>
            <w:r w:rsidRPr="003E695D">
              <w:fldChar w:fldCharType="end"/>
            </w:r>
          </w:p>
        </w:tc>
        <w:tc>
          <w:tcPr>
            <w:tcW w:w="2409" w:type="dxa"/>
            <w:shd w:val="clear" w:color="auto" w:fill="D9D9D9" w:themeFill="background1" w:themeFillShade="D9"/>
          </w:tcPr>
          <w:p w14:paraId="3149CF77" w14:textId="33C70120" w:rsidR="00C51744" w:rsidRPr="00CF24A6" w:rsidRDefault="00C51744" w:rsidP="00C51744">
            <w:pPr>
              <w:pStyle w:val="TableBodyText"/>
            </w:pPr>
            <w:r w:rsidRPr="003E695D">
              <w:t>Commencement of installation of the CP System.</w:t>
            </w:r>
          </w:p>
        </w:tc>
        <w:tc>
          <w:tcPr>
            <w:tcW w:w="2694" w:type="dxa"/>
            <w:shd w:val="clear" w:color="auto" w:fill="D9D9D9" w:themeFill="background1" w:themeFillShade="D9"/>
          </w:tcPr>
          <w:p w14:paraId="77A8CBF6" w14:textId="77777777" w:rsidR="00C51744" w:rsidRPr="00F70927" w:rsidRDefault="00C51744" w:rsidP="00C51744">
            <w:pPr>
              <w:pStyle w:val="TableBodyText"/>
            </w:pPr>
          </w:p>
        </w:tc>
        <w:tc>
          <w:tcPr>
            <w:tcW w:w="3543" w:type="dxa"/>
            <w:shd w:val="clear" w:color="auto" w:fill="D9D9D9" w:themeFill="background1" w:themeFillShade="D9"/>
          </w:tcPr>
          <w:p w14:paraId="21A5A45D" w14:textId="7E4D9C18" w:rsidR="00C51744" w:rsidRPr="00CF24A6" w:rsidRDefault="00C51744" w:rsidP="00C51744">
            <w:pPr>
              <w:pStyle w:val="TableBodyText"/>
            </w:pPr>
            <w:r w:rsidRPr="003E695D">
              <w:t>Design drawings/documentation and independent certification</w:t>
            </w:r>
          </w:p>
        </w:tc>
      </w:tr>
      <w:tr w:rsidR="00C51744" w:rsidRPr="00F70927" w14:paraId="6B2AAF5D" w14:textId="77777777" w:rsidTr="00F04935">
        <w:tc>
          <w:tcPr>
            <w:tcW w:w="988" w:type="dxa"/>
            <w:shd w:val="clear" w:color="auto" w:fill="D9D9D9" w:themeFill="background1" w:themeFillShade="D9"/>
          </w:tcPr>
          <w:p w14:paraId="7D002A01" w14:textId="5EC65AA3" w:rsidR="00C51744" w:rsidRDefault="00C51744" w:rsidP="00C51744">
            <w:pPr>
              <w:pStyle w:val="TableBodyText"/>
            </w:pPr>
            <w:r>
              <w:fldChar w:fldCharType="begin"/>
            </w:r>
            <w:r>
              <w:instrText xml:space="preserve"> REF _Ref35338248 \r \h </w:instrText>
            </w:r>
            <w:r>
              <w:fldChar w:fldCharType="separate"/>
            </w:r>
            <w:r>
              <w:t>10.1</w:t>
            </w:r>
            <w:r>
              <w:fldChar w:fldCharType="end"/>
            </w:r>
          </w:p>
        </w:tc>
        <w:tc>
          <w:tcPr>
            <w:tcW w:w="2409" w:type="dxa"/>
            <w:shd w:val="clear" w:color="auto" w:fill="D9D9D9" w:themeFill="background1" w:themeFillShade="D9"/>
          </w:tcPr>
          <w:p w14:paraId="0A58596F" w14:textId="23462797" w:rsidR="00C51744" w:rsidRPr="00F70927" w:rsidRDefault="00C51744" w:rsidP="00C51744">
            <w:pPr>
              <w:pStyle w:val="TableBodyText"/>
            </w:pPr>
          </w:p>
        </w:tc>
        <w:tc>
          <w:tcPr>
            <w:tcW w:w="2694" w:type="dxa"/>
            <w:shd w:val="clear" w:color="auto" w:fill="D9D9D9" w:themeFill="background1" w:themeFillShade="D9"/>
          </w:tcPr>
          <w:p w14:paraId="7A6BAE8B" w14:textId="7A900723" w:rsidR="00C51744" w:rsidRPr="00F70927" w:rsidRDefault="00C51744" w:rsidP="00C51744">
            <w:pPr>
              <w:pStyle w:val="TableBodyText"/>
            </w:pPr>
            <w:r w:rsidRPr="00D820C6">
              <w:t>Installation of anode</w:t>
            </w:r>
          </w:p>
        </w:tc>
        <w:tc>
          <w:tcPr>
            <w:tcW w:w="3543" w:type="dxa"/>
            <w:shd w:val="clear" w:color="auto" w:fill="D9D9D9" w:themeFill="background1" w:themeFillShade="D9"/>
          </w:tcPr>
          <w:p w14:paraId="101405AE" w14:textId="2AD0B1EA" w:rsidR="00C51744" w:rsidRPr="00CF24A6" w:rsidRDefault="00C51744" w:rsidP="00C51744">
            <w:pPr>
              <w:pStyle w:val="TableBodyText"/>
            </w:pPr>
          </w:p>
        </w:tc>
      </w:tr>
      <w:tr w:rsidR="00C51744" w:rsidRPr="00F70927" w14:paraId="031739C2" w14:textId="77777777" w:rsidTr="00F04935">
        <w:tc>
          <w:tcPr>
            <w:tcW w:w="988" w:type="dxa"/>
            <w:shd w:val="clear" w:color="auto" w:fill="D9D9D9" w:themeFill="background1" w:themeFillShade="D9"/>
          </w:tcPr>
          <w:p w14:paraId="4250F66C" w14:textId="026EC773" w:rsidR="00C51744" w:rsidRDefault="00C51744" w:rsidP="00C51744">
            <w:pPr>
              <w:pStyle w:val="TableBodyText"/>
            </w:pPr>
            <w:r>
              <w:fldChar w:fldCharType="begin"/>
            </w:r>
            <w:r>
              <w:instrText xml:space="preserve"> REF _Ref35338272 \r \h </w:instrText>
            </w:r>
            <w:r>
              <w:fldChar w:fldCharType="separate"/>
            </w:r>
            <w:r>
              <w:t>10.9</w:t>
            </w:r>
            <w:r>
              <w:fldChar w:fldCharType="end"/>
            </w:r>
          </w:p>
        </w:tc>
        <w:tc>
          <w:tcPr>
            <w:tcW w:w="2409" w:type="dxa"/>
            <w:shd w:val="clear" w:color="auto" w:fill="D9D9D9" w:themeFill="background1" w:themeFillShade="D9"/>
          </w:tcPr>
          <w:p w14:paraId="370A565E" w14:textId="4A58DED6" w:rsidR="00C51744" w:rsidRPr="00F70927" w:rsidRDefault="00C51744" w:rsidP="00C51744">
            <w:pPr>
              <w:pStyle w:val="TableBodyText"/>
            </w:pPr>
          </w:p>
        </w:tc>
        <w:tc>
          <w:tcPr>
            <w:tcW w:w="2694" w:type="dxa"/>
            <w:shd w:val="clear" w:color="auto" w:fill="D9D9D9" w:themeFill="background1" w:themeFillShade="D9"/>
          </w:tcPr>
          <w:p w14:paraId="22A0126A" w14:textId="6EE63275" w:rsidR="00C51744" w:rsidRPr="00F70927" w:rsidRDefault="00C51744" w:rsidP="00C51744">
            <w:pPr>
              <w:pStyle w:val="TableBodyText"/>
            </w:pPr>
            <w:r w:rsidRPr="00D820C6">
              <w:t>Backfilling of core holes and slots</w:t>
            </w:r>
          </w:p>
        </w:tc>
        <w:tc>
          <w:tcPr>
            <w:tcW w:w="3543" w:type="dxa"/>
            <w:shd w:val="clear" w:color="auto" w:fill="D9D9D9" w:themeFill="background1" w:themeFillShade="D9"/>
          </w:tcPr>
          <w:p w14:paraId="71EF442C" w14:textId="4D68D8FA" w:rsidR="00C51744" w:rsidRPr="00CF24A6" w:rsidRDefault="00C51744" w:rsidP="00C51744">
            <w:pPr>
              <w:pStyle w:val="TableBodyText"/>
            </w:pPr>
          </w:p>
        </w:tc>
      </w:tr>
      <w:tr w:rsidR="00C51744" w:rsidRPr="00F70927" w14:paraId="5E8D1C90" w14:textId="77777777" w:rsidTr="00F04935">
        <w:tc>
          <w:tcPr>
            <w:tcW w:w="988" w:type="dxa"/>
            <w:tcBorders>
              <w:bottom w:val="single" w:sz="4" w:space="0" w:color="FFFFFF" w:themeColor="background1"/>
            </w:tcBorders>
            <w:shd w:val="clear" w:color="auto" w:fill="D9D9D9" w:themeFill="background1" w:themeFillShade="D9"/>
          </w:tcPr>
          <w:p w14:paraId="014E4644" w14:textId="102AAEBE" w:rsidR="00C51744" w:rsidRDefault="00C51744" w:rsidP="00C51744">
            <w:pPr>
              <w:pStyle w:val="TableBodyText"/>
            </w:pPr>
            <w:r>
              <w:fldChar w:fldCharType="begin"/>
            </w:r>
            <w:r>
              <w:instrText xml:space="preserve"> REF _Ref35338292 \r \h </w:instrText>
            </w:r>
            <w:r>
              <w:fldChar w:fldCharType="separate"/>
            </w:r>
            <w:r>
              <w:t>10.26</w:t>
            </w:r>
            <w:r>
              <w:fldChar w:fldCharType="end"/>
            </w:r>
          </w:p>
        </w:tc>
        <w:tc>
          <w:tcPr>
            <w:tcW w:w="2409" w:type="dxa"/>
            <w:tcBorders>
              <w:bottom w:val="single" w:sz="4" w:space="0" w:color="FFFFFF" w:themeColor="background1"/>
            </w:tcBorders>
            <w:shd w:val="clear" w:color="auto" w:fill="D9D9D9" w:themeFill="background1" w:themeFillShade="D9"/>
          </w:tcPr>
          <w:p w14:paraId="32EA4418" w14:textId="77777777" w:rsidR="00C51744" w:rsidRPr="00F70927" w:rsidRDefault="00C51744" w:rsidP="00C51744">
            <w:pPr>
              <w:pStyle w:val="TableBodyText"/>
            </w:pPr>
          </w:p>
        </w:tc>
        <w:tc>
          <w:tcPr>
            <w:tcW w:w="2694" w:type="dxa"/>
            <w:tcBorders>
              <w:bottom w:val="single" w:sz="4" w:space="0" w:color="FFFFFF" w:themeColor="background1"/>
            </w:tcBorders>
            <w:shd w:val="clear" w:color="auto" w:fill="D9D9D9" w:themeFill="background1" w:themeFillShade="D9"/>
          </w:tcPr>
          <w:p w14:paraId="604318B2" w14:textId="507E595B" w:rsidR="00C51744" w:rsidRPr="00F70927" w:rsidRDefault="00C51744" w:rsidP="00C51744">
            <w:pPr>
              <w:pStyle w:val="TableBodyText"/>
            </w:pPr>
            <w:r w:rsidRPr="00D820C6">
              <w:t>Application of cementitious overlay</w:t>
            </w:r>
          </w:p>
        </w:tc>
        <w:tc>
          <w:tcPr>
            <w:tcW w:w="3543" w:type="dxa"/>
            <w:tcBorders>
              <w:bottom w:val="single" w:sz="4" w:space="0" w:color="FFFFFF" w:themeColor="background1"/>
            </w:tcBorders>
            <w:shd w:val="clear" w:color="auto" w:fill="D9D9D9" w:themeFill="background1" w:themeFillShade="D9"/>
          </w:tcPr>
          <w:p w14:paraId="0917510D" w14:textId="46304E34" w:rsidR="00C51744" w:rsidRPr="00CF24A6" w:rsidRDefault="00C51744" w:rsidP="00C51744">
            <w:pPr>
              <w:pStyle w:val="TableBodyText"/>
            </w:pPr>
          </w:p>
        </w:tc>
      </w:tr>
      <w:tr w:rsidR="00C51744" w:rsidRPr="00F70927" w14:paraId="389FB2E8" w14:textId="77777777" w:rsidTr="00F04935">
        <w:tc>
          <w:tcPr>
            <w:tcW w:w="988" w:type="dxa"/>
            <w:tcBorders>
              <w:bottom w:val="single" w:sz="4" w:space="0" w:color="FFFFFF" w:themeColor="background1"/>
            </w:tcBorders>
            <w:shd w:val="clear" w:color="auto" w:fill="D9D9D9" w:themeFill="background1" w:themeFillShade="D9"/>
          </w:tcPr>
          <w:p w14:paraId="252F8571" w14:textId="3EC898B3" w:rsidR="00C51744" w:rsidRDefault="00C51744" w:rsidP="00C51744">
            <w:pPr>
              <w:pStyle w:val="TableBodyText"/>
            </w:pPr>
            <w:r w:rsidRPr="003E695D">
              <w:fldChar w:fldCharType="begin"/>
            </w:r>
            <w:r w:rsidRPr="003E695D">
              <w:instrText xml:space="preserve"> REF _Ref17205399 \r \h  \* MERGEFORMAT </w:instrText>
            </w:r>
            <w:r w:rsidRPr="003E695D">
              <w:fldChar w:fldCharType="separate"/>
            </w:r>
            <w:r>
              <w:t>11.4</w:t>
            </w:r>
            <w:r w:rsidRPr="003E695D">
              <w:fldChar w:fldCharType="end"/>
            </w:r>
          </w:p>
        </w:tc>
        <w:tc>
          <w:tcPr>
            <w:tcW w:w="2409" w:type="dxa"/>
            <w:tcBorders>
              <w:bottom w:val="single" w:sz="4" w:space="0" w:color="FFFFFF" w:themeColor="background1"/>
            </w:tcBorders>
            <w:shd w:val="clear" w:color="auto" w:fill="D9D9D9" w:themeFill="background1" w:themeFillShade="D9"/>
          </w:tcPr>
          <w:p w14:paraId="2B1F00E2" w14:textId="77777777" w:rsidR="00C51744" w:rsidRPr="00F70927" w:rsidRDefault="00C51744" w:rsidP="00C51744">
            <w:pPr>
              <w:pStyle w:val="TableBodyText"/>
            </w:pPr>
          </w:p>
        </w:tc>
        <w:tc>
          <w:tcPr>
            <w:tcW w:w="2694" w:type="dxa"/>
            <w:tcBorders>
              <w:bottom w:val="single" w:sz="4" w:space="0" w:color="FFFFFF" w:themeColor="background1"/>
            </w:tcBorders>
            <w:shd w:val="clear" w:color="auto" w:fill="D9D9D9" w:themeFill="background1" w:themeFillShade="D9"/>
          </w:tcPr>
          <w:p w14:paraId="5F71B4A4" w14:textId="77777777" w:rsidR="00C51744" w:rsidRPr="00D820C6" w:rsidRDefault="00C51744" w:rsidP="00C51744">
            <w:pPr>
              <w:pStyle w:val="TableBodyText"/>
            </w:pPr>
          </w:p>
        </w:tc>
        <w:tc>
          <w:tcPr>
            <w:tcW w:w="3543" w:type="dxa"/>
            <w:tcBorders>
              <w:bottom w:val="single" w:sz="4" w:space="0" w:color="FFFFFF" w:themeColor="background1"/>
            </w:tcBorders>
            <w:shd w:val="clear" w:color="auto" w:fill="D9D9D9" w:themeFill="background1" w:themeFillShade="D9"/>
          </w:tcPr>
          <w:p w14:paraId="282BEFEA" w14:textId="3096D668" w:rsidR="00C51744" w:rsidRPr="00CF24A6" w:rsidRDefault="00C51744" w:rsidP="00C51744">
            <w:pPr>
              <w:pStyle w:val="TableBodyText"/>
            </w:pPr>
            <w:r w:rsidRPr="003E695D">
              <w:t>Commissioning Report</w:t>
            </w:r>
          </w:p>
        </w:tc>
      </w:tr>
      <w:tr w:rsidR="00C51744" w:rsidRPr="00F70927" w14:paraId="66A04440" w14:textId="77777777" w:rsidTr="00F04935">
        <w:tc>
          <w:tcPr>
            <w:tcW w:w="988" w:type="dxa"/>
            <w:tcBorders>
              <w:bottom w:val="single" w:sz="4" w:space="0" w:color="FFFFFF" w:themeColor="background1"/>
            </w:tcBorders>
            <w:shd w:val="clear" w:color="auto" w:fill="D9D9D9" w:themeFill="background1" w:themeFillShade="D9"/>
          </w:tcPr>
          <w:p w14:paraId="70D5EA8F" w14:textId="25AC2348" w:rsidR="00C51744" w:rsidRDefault="00C51744" w:rsidP="00C51744">
            <w:pPr>
              <w:pStyle w:val="TableBodyText"/>
            </w:pPr>
            <w:r w:rsidRPr="003E695D">
              <w:fldChar w:fldCharType="begin"/>
            </w:r>
            <w:r w:rsidRPr="003E695D">
              <w:instrText xml:space="preserve"> REF _Ref17205528 \r \h  \* MERGEFORMAT </w:instrText>
            </w:r>
            <w:r w:rsidRPr="003E695D">
              <w:fldChar w:fldCharType="separate"/>
            </w:r>
            <w:r>
              <w:t>12.1</w:t>
            </w:r>
            <w:r w:rsidRPr="003E695D">
              <w:fldChar w:fldCharType="end"/>
            </w:r>
          </w:p>
        </w:tc>
        <w:tc>
          <w:tcPr>
            <w:tcW w:w="2409" w:type="dxa"/>
            <w:tcBorders>
              <w:bottom w:val="single" w:sz="4" w:space="0" w:color="FFFFFF" w:themeColor="background1"/>
            </w:tcBorders>
            <w:shd w:val="clear" w:color="auto" w:fill="D9D9D9" w:themeFill="background1" w:themeFillShade="D9"/>
          </w:tcPr>
          <w:p w14:paraId="599462E3" w14:textId="77777777" w:rsidR="00C51744" w:rsidRPr="00F70927" w:rsidRDefault="00C51744" w:rsidP="00C51744">
            <w:pPr>
              <w:pStyle w:val="TableBodyText"/>
            </w:pPr>
          </w:p>
        </w:tc>
        <w:tc>
          <w:tcPr>
            <w:tcW w:w="2694" w:type="dxa"/>
            <w:tcBorders>
              <w:bottom w:val="single" w:sz="4" w:space="0" w:color="FFFFFF" w:themeColor="background1"/>
            </w:tcBorders>
            <w:shd w:val="clear" w:color="auto" w:fill="D9D9D9" w:themeFill="background1" w:themeFillShade="D9"/>
          </w:tcPr>
          <w:p w14:paraId="2CA290E2" w14:textId="77777777" w:rsidR="00C51744" w:rsidRPr="00D820C6" w:rsidRDefault="00C51744" w:rsidP="00C51744">
            <w:pPr>
              <w:pStyle w:val="TableBodyText"/>
            </w:pPr>
          </w:p>
        </w:tc>
        <w:tc>
          <w:tcPr>
            <w:tcW w:w="3543" w:type="dxa"/>
            <w:tcBorders>
              <w:bottom w:val="single" w:sz="4" w:space="0" w:color="FFFFFF" w:themeColor="background1"/>
            </w:tcBorders>
            <w:shd w:val="clear" w:color="auto" w:fill="D9D9D9" w:themeFill="background1" w:themeFillShade="D9"/>
          </w:tcPr>
          <w:p w14:paraId="739CEF96" w14:textId="57D25048" w:rsidR="00C51744" w:rsidRPr="00CF24A6" w:rsidRDefault="00C51744" w:rsidP="00C51744">
            <w:pPr>
              <w:pStyle w:val="TableBodyText"/>
            </w:pPr>
            <w:r w:rsidRPr="003E695D">
              <w:t>Monitoring and Maintenance Manual</w:t>
            </w:r>
          </w:p>
        </w:tc>
      </w:tr>
      <w:tr w:rsidR="00C51744" w:rsidRPr="00F70927" w14:paraId="16875994" w14:textId="77777777" w:rsidTr="00F04935">
        <w:tc>
          <w:tcPr>
            <w:tcW w:w="988" w:type="dxa"/>
            <w:tcBorders>
              <w:top w:val="single" w:sz="4" w:space="0" w:color="FFFFFF" w:themeColor="background1"/>
              <w:bottom w:val="single" w:sz="8" w:space="0" w:color="004259"/>
            </w:tcBorders>
            <w:shd w:val="clear" w:color="auto" w:fill="D9D9D9" w:themeFill="background1" w:themeFillShade="D9"/>
          </w:tcPr>
          <w:p w14:paraId="2360DEF2" w14:textId="61844FDD" w:rsidR="00C51744" w:rsidRPr="003E695D" w:rsidRDefault="00C51744" w:rsidP="00C51744">
            <w:pPr>
              <w:pStyle w:val="TableBodyText"/>
            </w:pPr>
            <w:r>
              <w:fldChar w:fldCharType="begin"/>
            </w:r>
            <w:r>
              <w:instrText xml:space="preserve"> REF _Ref26533454 \r \h </w:instrText>
            </w:r>
            <w:r>
              <w:fldChar w:fldCharType="separate"/>
            </w:r>
            <w:r>
              <w:t>13.2</w:t>
            </w:r>
            <w:r>
              <w:fldChar w:fldCharType="end"/>
            </w:r>
          </w:p>
        </w:tc>
        <w:tc>
          <w:tcPr>
            <w:tcW w:w="2409" w:type="dxa"/>
            <w:tcBorders>
              <w:top w:val="single" w:sz="4" w:space="0" w:color="FFFFFF" w:themeColor="background1"/>
              <w:bottom w:val="single" w:sz="8" w:space="0" w:color="004259"/>
            </w:tcBorders>
            <w:shd w:val="clear" w:color="auto" w:fill="D9D9D9" w:themeFill="background1" w:themeFillShade="D9"/>
          </w:tcPr>
          <w:p w14:paraId="5655B91D" w14:textId="77777777" w:rsidR="00C51744" w:rsidRPr="00F70927" w:rsidRDefault="00C51744" w:rsidP="00C51744">
            <w:pPr>
              <w:pStyle w:val="TableBodyText"/>
            </w:pPr>
          </w:p>
        </w:tc>
        <w:tc>
          <w:tcPr>
            <w:tcW w:w="2694" w:type="dxa"/>
            <w:tcBorders>
              <w:top w:val="single" w:sz="4" w:space="0" w:color="FFFFFF" w:themeColor="background1"/>
              <w:bottom w:val="single" w:sz="8" w:space="0" w:color="004259"/>
            </w:tcBorders>
            <w:shd w:val="clear" w:color="auto" w:fill="D9D9D9" w:themeFill="background1" w:themeFillShade="D9"/>
          </w:tcPr>
          <w:p w14:paraId="31AB6727" w14:textId="77777777" w:rsidR="00C51744" w:rsidRPr="00F70927" w:rsidRDefault="00C51744" w:rsidP="00C51744">
            <w:pPr>
              <w:pStyle w:val="TableBodyText"/>
            </w:pPr>
          </w:p>
        </w:tc>
        <w:tc>
          <w:tcPr>
            <w:tcW w:w="3543" w:type="dxa"/>
            <w:tcBorders>
              <w:top w:val="single" w:sz="4" w:space="0" w:color="FFFFFF" w:themeColor="background1"/>
              <w:bottom w:val="single" w:sz="8" w:space="0" w:color="004259"/>
            </w:tcBorders>
            <w:shd w:val="clear" w:color="auto" w:fill="D9D9D9" w:themeFill="background1" w:themeFillShade="D9"/>
          </w:tcPr>
          <w:p w14:paraId="17A0FFF0" w14:textId="2BF8CDF8" w:rsidR="00C51744" w:rsidRPr="003E695D" w:rsidRDefault="00C51744" w:rsidP="00C51744">
            <w:pPr>
              <w:pStyle w:val="TableBodyText"/>
            </w:pPr>
            <w:r w:rsidRPr="003E695D">
              <w:t>System Review Report</w:t>
            </w:r>
          </w:p>
        </w:tc>
      </w:tr>
    </w:tbl>
    <w:p w14:paraId="5F9663BE" w14:textId="77777777" w:rsidR="00A07FEF" w:rsidRDefault="00A07FEF" w:rsidP="00A07FEF">
      <w:pPr>
        <w:ind w:left="851"/>
      </w:pPr>
    </w:p>
    <w:p w14:paraId="669F0CBD" w14:textId="1DDE8F11" w:rsidR="00AF1D72" w:rsidRPr="008C101C" w:rsidRDefault="00AF1D72" w:rsidP="00C668F6">
      <w:pPr>
        <w:pStyle w:val="Heading1nonumber"/>
        <w:pageBreakBefore/>
      </w:pPr>
      <w:r w:rsidRPr="008C101C">
        <w:lastRenderedPageBreak/>
        <w:t>Amendment Record</w:t>
      </w:r>
    </w:p>
    <w:tbl>
      <w:tblPr>
        <w:tblStyle w:val="TMTable"/>
        <w:tblW w:w="5000" w:type="pct"/>
        <w:tblLayout w:type="fixed"/>
        <w:tblLook w:val="01E0" w:firstRow="1" w:lastRow="1" w:firstColumn="1" w:lastColumn="1" w:noHBand="0" w:noVBand="0"/>
      </w:tblPr>
      <w:tblGrid>
        <w:gridCol w:w="1834"/>
        <w:gridCol w:w="4587"/>
        <w:gridCol w:w="1649"/>
        <w:gridCol w:w="1420"/>
      </w:tblGrid>
      <w:tr w:rsidR="00AF1D72" w:rsidRPr="00731EA0" w14:paraId="31CB915B" w14:textId="77777777" w:rsidTr="00F04935">
        <w:trPr>
          <w:cnfStyle w:val="100000000000" w:firstRow="1" w:lastRow="0" w:firstColumn="0" w:lastColumn="0" w:oddVBand="0" w:evenVBand="0" w:oddHBand="0" w:evenHBand="0" w:firstRowFirstColumn="0" w:firstRowLastColumn="0" w:lastRowFirstColumn="0" w:lastRowLastColumn="0"/>
        </w:trPr>
        <w:tc>
          <w:tcPr>
            <w:tcW w:w="966" w:type="pct"/>
          </w:tcPr>
          <w:p w14:paraId="7EB8904A" w14:textId="77777777" w:rsidR="00AF1D72" w:rsidRPr="001B7F72" w:rsidRDefault="00AF1D72" w:rsidP="001B7F72">
            <w:pPr>
              <w:pStyle w:val="TableBodyText"/>
            </w:pPr>
            <w:r w:rsidRPr="001B7F72">
              <w:t>Amendment no.</w:t>
            </w:r>
          </w:p>
        </w:tc>
        <w:tc>
          <w:tcPr>
            <w:tcW w:w="2417" w:type="pct"/>
          </w:tcPr>
          <w:p w14:paraId="09845ABA" w14:textId="77777777" w:rsidR="00AF1D72" w:rsidRPr="001B7F72" w:rsidRDefault="00AF1D72" w:rsidP="001B7F72">
            <w:pPr>
              <w:pStyle w:val="TableBodyText"/>
            </w:pPr>
            <w:r w:rsidRPr="001B7F72">
              <w:t>Clauses amended</w:t>
            </w:r>
          </w:p>
        </w:tc>
        <w:tc>
          <w:tcPr>
            <w:tcW w:w="869" w:type="pct"/>
          </w:tcPr>
          <w:p w14:paraId="35993E27" w14:textId="77777777" w:rsidR="00AF1D72" w:rsidRPr="001B7F72" w:rsidRDefault="00AF1D72" w:rsidP="001B7F72">
            <w:pPr>
              <w:pStyle w:val="TableBodyText"/>
            </w:pPr>
            <w:r w:rsidRPr="001B7F72">
              <w:t>Action</w:t>
            </w:r>
          </w:p>
        </w:tc>
        <w:tc>
          <w:tcPr>
            <w:tcW w:w="748" w:type="pct"/>
          </w:tcPr>
          <w:p w14:paraId="52F23AEE" w14:textId="77777777" w:rsidR="00AF1D72" w:rsidRPr="001B7F72" w:rsidRDefault="00AF1D72" w:rsidP="001B7F72">
            <w:pPr>
              <w:pStyle w:val="TableBodyText"/>
            </w:pPr>
            <w:r w:rsidRPr="001B7F72">
              <w:t>Date</w:t>
            </w:r>
          </w:p>
        </w:tc>
      </w:tr>
      <w:tr w:rsidR="00AF1D72" w14:paraId="04352636" w14:textId="77777777" w:rsidTr="00F04935">
        <w:tc>
          <w:tcPr>
            <w:tcW w:w="966" w:type="pct"/>
          </w:tcPr>
          <w:p w14:paraId="6994222E" w14:textId="483314A6" w:rsidR="00AF1D72" w:rsidRPr="00B23DC4" w:rsidRDefault="00C668F6" w:rsidP="00B23DC4">
            <w:pPr>
              <w:pStyle w:val="TableBodyText"/>
              <w:rPr>
                <w:sz w:val="18"/>
                <w:szCs w:val="18"/>
              </w:rPr>
            </w:pPr>
            <w:r>
              <w:rPr>
                <w:sz w:val="18"/>
                <w:szCs w:val="18"/>
              </w:rPr>
              <w:t>-</w:t>
            </w:r>
          </w:p>
        </w:tc>
        <w:tc>
          <w:tcPr>
            <w:tcW w:w="2417"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869" w:type="pct"/>
          </w:tcPr>
          <w:p w14:paraId="005DA5BA" w14:textId="4C62EA11" w:rsidR="00AF1D72" w:rsidRPr="00B23DC4" w:rsidRDefault="00C668F6" w:rsidP="00B23DC4">
            <w:pPr>
              <w:pStyle w:val="TableBodyText"/>
              <w:rPr>
                <w:sz w:val="18"/>
                <w:szCs w:val="18"/>
              </w:rPr>
            </w:pPr>
            <w:r>
              <w:rPr>
                <w:sz w:val="18"/>
                <w:szCs w:val="18"/>
              </w:rPr>
              <w:t>New</w:t>
            </w:r>
          </w:p>
        </w:tc>
        <w:tc>
          <w:tcPr>
            <w:tcW w:w="748" w:type="pct"/>
          </w:tcPr>
          <w:p w14:paraId="23AB785C" w14:textId="59AB5E0A" w:rsidR="00AF1D72" w:rsidRPr="00B23DC4" w:rsidRDefault="00F04935" w:rsidP="00B23DC4">
            <w:pPr>
              <w:pStyle w:val="TableBodyText"/>
              <w:rPr>
                <w:sz w:val="18"/>
                <w:szCs w:val="18"/>
              </w:rPr>
            </w:pPr>
            <w:r>
              <w:rPr>
                <w:sz w:val="18"/>
                <w:szCs w:val="18"/>
              </w:rPr>
              <w:t>June</w:t>
            </w:r>
            <w:r w:rsidR="00C668F6">
              <w:rPr>
                <w:sz w:val="18"/>
                <w:szCs w:val="18"/>
              </w:rPr>
              <w:t xml:space="preserve"> 2020</w:t>
            </w:r>
          </w:p>
        </w:tc>
      </w:tr>
      <w:tr w:rsidR="00AF1D72" w14:paraId="2517FC0B" w14:textId="77777777" w:rsidTr="00F04935">
        <w:tc>
          <w:tcPr>
            <w:tcW w:w="966" w:type="pct"/>
          </w:tcPr>
          <w:p w14:paraId="06079DBE" w14:textId="77777777" w:rsidR="00AF1D72" w:rsidRPr="00AF45E6" w:rsidRDefault="00AF1D72" w:rsidP="00AF1D72">
            <w:pPr>
              <w:pStyle w:val="TableFigureCenter"/>
            </w:pPr>
          </w:p>
        </w:tc>
        <w:tc>
          <w:tcPr>
            <w:tcW w:w="2417" w:type="pct"/>
          </w:tcPr>
          <w:p w14:paraId="6D3B375F" w14:textId="77777777" w:rsidR="00AF1D72" w:rsidRPr="00F6126C" w:rsidRDefault="00AF1D72" w:rsidP="00AF1D72">
            <w:pPr>
              <w:pStyle w:val="TableFigureLeft"/>
            </w:pPr>
          </w:p>
        </w:tc>
        <w:tc>
          <w:tcPr>
            <w:tcW w:w="869" w:type="pct"/>
          </w:tcPr>
          <w:p w14:paraId="13C81DF1" w14:textId="77777777" w:rsidR="00AF1D72" w:rsidRPr="008049FA" w:rsidRDefault="00AF1D72" w:rsidP="00AF1D72">
            <w:pPr>
              <w:pStyle w:val="TableFigureCenter"/>
            </w:pPr>
          </w:p>
        </w:tc>
        <w:tc>
          <w:tcPr>
            <w:tcW w:w="748"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20178" w14:textId="77777777" w:rsidR="006733A2" w:rsidRDefault="006733A2">
      <w:r>
        <w:separator/>
      </w:r>
    </w:p>
  </w:endnote>
  <w:endnote w:type="continuationSeparator" w:id="0">
    <w:p w14:paraId="103A06C7" w14:textId="77777777" w:rsidR="006733A2" w:rsidRDefault="006733A2">
      <w:r>
        <w:continuationSeparator/>
      </w:r>
    </w:p>
  </w:endnote>
  <w:endnote w:type="continuationNotice" w:id="1">
    <w:p w14:paraId="58099638" w14:textId="77777777" w:rsidR="006733A2" w:rsidRDefault="00673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064F5A" w:rsidRDefault="00064F5A">
    <w:pPr>
      <w:pStyle w:val="Footer"/>
    </w:pPr>
  </w:p>
  <w:p w14:paraId="6C2B5812" w14:textId="04EB5DDD"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sidR="001810CE">
      <w:rPr>
        <w:rFonts w:ascii="Arial" w:eastAsia="SimSun" w:hAnsi="Arial" w:cs="Arial"/>
        <w:bCs/>
        <w:sz w:val="16"/>
        <w:szCs w:val="16"/>
        <w:lang w:eastAsia="ja-JP"/>
      </w:rPr>
      <w:t>June</w:t>
    </w:r>
    <w:r>
      <w:rPr>
        <w:rFonts w:ascii="Arial" w:eastAsia="SimSun" w:hAnsi="Arial" w:cs="Arial"/>
        <w:bCs/>
        <w:sz w:val="16"/>
        <w:szCs w:val="16"/>
        <w:lang w:eastAsia="ja-JP"/>
      </w:rPr>
      <w:t xml:space="preserve">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064F5A" w:rsidRDefault="00064F5A">
    <w:pPr>
      <w:pStyle w:val="Footer"/>
    </w:pPr>
  </w:p>
  <w:p w14:paraId="53E5821A" w14:textId="3AB5F531"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sidR="001810CE">
      <w:rPr>
        <w:rFonts w:ascii="Arial" w:eastAsia="SimSun" w:hAnsi="Arial" w:cs="Arial"/>
        <w:sz w:val="16"/>
        <w:szCs w:val="16"/>
        <w:lang w:eastAsia="ja-JP"/>
      </w:rPr>
      <w:t>June</w:t>
    </w:r>
    <w:r>
      <w:rPr>
        <w:rFonts w:ascii="Arial" w:eastAsia="SimSun" w:hAnsi="Arial" w:cs="Arial"/>
        <w:sz w:val="16"/>
        <w:szCs w:val="16"/>
        <w:lang w:eastAsia="ja-JP"/>
      </w:rPr>
      <w:t xml:space="preserve">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DE275" w14:textId="77777777" w:rsidR="006733A2" w:rsidRDefault="006733A2">
      <w:r>
        <w:separator/>
      </w:r>
    </w:p>
  </w:footnote>
  <w:footnote w:type="continuationSeparator" w:id="0">
    <w:p w14:paraId="2D0483C2" w14:textId="77777777" w:rsidR="006733A2" w:rsidRDefault="006733A2">
      <w:r>
        <w:continuationSeparator/>
      </w:r>
    </w:p>
  </w:footnote>
  <w:footnote w:type="continuationNotice" w:id="1">
    <w:p w14:paraId="18EBD6A6" w14:textId="77777777" w:rsidR="006733A2" w:rsidRDefault="00673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649A987E"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1810CE">
      <w:rPr>
        <w:rFonts w:ascii="Arial" w:eastAsia="SimSun" w:hAnsi="Arial" w:cs="Arial"/>
        <w:b/>
        <w:sz w:val="16"/>
        <w:szCs w:val="16"/>
        <w:lang w:eastAsia="ja-JP"/>
      </w:rPr>
      <w:t>5390</w:t>
    </w:r>
    <w:r w:rsidRPr="003F7623">
      <w:rPr>
        <w:rFonts w:ascii="Arial" w:eastAsia="SimSun" w:hAnsi="Arial" w:cs="Arial"/>
        <w:b/>
        <w:sz w:val="16"/>
        <w:szCs w:val="16"/>
        <w:lang w:eastAsia="ja-JP"/>
      </w:rPr>
      <w:t xml:space="preserve"> </w:t>
    </w:r>
    <w:r w:rsidR="001810CE">
      <w:rPr>
        <w:rFonts w:ascii="Arial" w:eastAsia="SimSun" w:hAnsi="Arial" w:cs="Arial"/>
        <w:b/>
        <w:sz w:val="16"/>
        <w:szCs w:val="16"/>
        <w:lang w:eastAsia="ja-JP"/>
      </w:rPr>
      <w:t>Cathodic Protection of Concrete Structures</w:t>
    </w:r>
  </w:p>
  <w:p w14:paraId="35BA0088" w14:textId="7748489B" w:rsidR="00064F5A" w:rsidRPr="00AE427D" w:rsidRDefault="00064F5A" w:rsidP="00AE427D">
    <w:pPr>
      <w:pStyle w:val="Header"/>
      <w:jc w:val="right"/>
      <w:rPr>
        <w:rFonts w:ascii="Arial" w:hAnsi="Arial" w:cs="Arial"/>
        <w:sz w:val="18"/>
        <w:szCs w:val="18"/>
      </w:rPr>
    </w:pPr>
  </w:p>
  <w:p w14:paraId="2B1651BB" w14:textId="77777777" w:rsidR="00064F5A" w:rsidRPr="00AE427D" w:rsidRDefault="00064F5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8D87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62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020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25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BC58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D076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004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509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9E14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E33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8217DC4"/>
    <w:multiLevelType w:val="hybridMultilevel"/>
    <w:tmpl w:val="E5BABE50"/>
    <w:lvl w:ilvl="0" w:tplc="8B8C1E6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C0E2BA7"/>
    <w:multiLevelType w:val="hybridMultilevel"/>
    <w:tmpl w:val="D83644A4"/>
    <w:lvl w:ilvl="0" w:tplc="E568849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408B6581"/>
    <w:multiLevelType w:val="hybridMultilevel"/>
    <w:tmpl w:val="ABCC37EC"/>
    <w:lvl w:ilvl="0" w:tplc="8CB4420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455653"/>
    <w:multiLevelType w:val="multilevel"/>
    <w:tmpl w:val="962202B6"/>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9"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2"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31"/>
  </w:num>
  <w:num w:numId="2">
    <w:abstractNumId w:val="23"/>
  </w:num>
  <w:num w:numId="3">
    <w:abstractNumId w:val="28"/>
  </w:num>
  <w:num w:numId="4">
    <w:abstractNumId w:val="18"/>
  </w:num>
  <w:num w:numId="5">
    <w:abstractNumId w:val="11"/>
  </w:num>
  <w:num w:numId="6">
    <w:abstractNumId w:val="27"/>
  </w:num>
  <w:num w:numId="7">
    <w:abstractNumId w:val="19"/>
  </w:num>
  <w:num w:numId="8">
    <w:abstractNumId w:val="26"/>
  </w:num>
  <w:num w:numId="9">
    <w:abstractNumId w:val="15"/>
  </w:num>
  <w:num w:numId="10">
    <w:abstractNumId w:val="12"/>
  </w:num>
  <w:num w:numId="11">
    <w:abstractNumId w:val="25"/>
  </w:num>
  <w:num w:numId="12">
    <w:abstractNumId w:val="30"/>
  </w:num>
  <w:num w:numId="13">
    <w:abstractNumId w:val="29"/>
  </w:num>
  <w:num w:numId="14">
    <w:abstractNumId w:val="17"/>
  </w:num>
  <w:num w:numId="15">
    <w:abstractNumId w:val="10"/>
  </w:num>
  <w:num w:numId="16">
    <w:abstractNumId w:val="13"/>
  </w:num>
  <w:num w:numId="17">
    <w:abstractNumId w:val="16"/>
  </w:num>
  <w:num w:numId="18">
    <w:abstractNumId w:val="20"/>
  </w:num>
  <w:num w:numId="19">
    <w:abstractNumId w:val="32"/>
  </w:num>
  <w:num w:numId="20">
    <w:abstractNumId w:val="24"/>
  </w:num>
  <w:num w:numId="21">
    <w:abstractNumId w:val="22"/>
  </w:num>
  <w:num w:numId="22">
    <w:abstractNumId w:val="14"/>
  </w:num>
  <w:num w:numId="23">
    <w:abstractNumId w:val="21"/>
  </w:num>
  <w:num w:numId="24">
    <w:abstractNumId w:val="32"/>
    <w:lvlOverride w:ilvl="0">
      <w:startOverride w:val="1"/>
    </w:lvlOverride>
  </w:num>
  <w:num w:numId="25">
    <w:abstractNumId w:val="32"/>
    <w:lvlOverride w:ilvl="0">
      <w:startOverride w:val="9"/>
    </w:lvlOverride>
  </w:num>
  <w:num w:numId="26">
    <w:abstractNumId w:val="32"/>
    <w:lvlOverride w:ilvl="0">
      <w:startOverride w:val="8"/>
    </w:lvlOverride>
  </w:num>
  <w:num w:numId="27">
    <w:abstractNumId w:val="32"/>
    <w:lvlOverride w:ilvl="0">
      <w:startOverride w:val="1"/>
    </w:lvlOverride>
  </w:num>
  <w:num w:numId="28">
    <w:abstractNumId w:val="32"/>
    <w:lvlOverride w:ilvl="0">
      <w:startOverride w:val="1"/>
    </w:lvlOverride>
  </w:num>
  <w:num w:numId="29">
    <w:abstractNumId w:val="32"/>
    <w:lvlOverride w:ilvl="0">
      <w:startOverride w:val="1"/>
    </w:lvlOverride>
  </w:num>
  <w:num w:numId="30">
    <w:abstractNumId w:val="32"/>
    <w:lvlOverride w:ilvl="0">
      <w:startOverride w:val="1"/>
    </w:lvlOverride>
  </w:num>
  <w:num w:numId="31">
    <w:abstractNumId w:val="32"/>
    <w:lvlOverride w:ilvl="0">
      <w:startOverride w:val="1"/>
    </w:lvlOverride>
  </w:num>
  <w:num w:numId="32">
    <w:abstractNumId w:val="32"/>
    <w:lvlOverride w:ilvl="0">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2"/>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2DA"/>
    <w:rsid w:val="00003330"/>
    <w:rsid w:val="00006D2F"/>
    <w:rsid w:val="000074BA"/>
    <w:rsid w:val="00010315"/>
    <w:rsid w:val="00011356"/>
    <w:rsid w:val="000115DE"/>
    <w:rsid w:val="00012880"/>
    <w:rsid w:val="0001371F"/>
    <w:rsid w:val="0001456B"/>
    <w:rsid w:val="00017D92"/>
    <w:rsid w:val="00020BB3"/>
    <w:rsid w:val="00025D9A"/>
    <w:rsid w:val="0003240C"/>
    <w:rsid w:val="00037DFF"/>
    <w:rsid w:val="00042467"/>
    <w:rsid w:val="00045CDF"/>
    <w:rsid w:val="00050542"/>
    <w:rsid w:val="000561B6"/>
    <w:rsid w:val="00057CE9"/>
    <w:rsid w:val="00062399"/>
    <w:rsid w:val="00063F76"/>
    <w:rsid w:val="00064F5A"/>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1E68"/>
    <w:rsid w:val="000B262B"/>
    <w:rsid w:val="000B2831"/>
    <w:rsid w:val="000B3CF1"/>
    <w:rsid w:val="000B5520"/>
    <w:rsid w:val="000C089A"/>
    <w:rsid w:val="000C1C06"/>
    <w:rsid w:val="000C4621"/>
    <w:rsid w:val="000D76D6"/>
    <w:rsid w:val="000D79CC"/>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403A"/>
    <w:rsid w:val="00167824"/>
    <w:rsid w:val="00170376"/>
    <w:rsid w:val="00174BC5"/>
    <w:rsid w:val="00176137"/>
    <w:rsid w:val="00176931"/>
    <w:rsid w:val="0017727E"/>
    <w:rsid w:val="0018067B"/>
    <w:rsid w:val="001810CE"/>
    <w:rsid w:val="001852C3"/>
    <w:rsid w:val="001872B3"/>
    <w:rsid w:val="00191F45"/>
    <w:rsid w:val="00193DE3"/>
    <w:rsid w:val="00193ECF"/>
    <w:rsid w:val="001970AC"/>
    <w:rsid w:val="00197383"/>
    <w:rsid w:val="001A2692"/>
    <w:rsid w:val="001A2BE5"/>
    <w:rsid w:val="001A3BE4"/>
    <w:rsid w:val="001A3C09"/>
    <w:rsid w:val="001A5DF5"/>
    <w:rsid w:val="001B0059"/>
    <w:rsid w:val="001B0E77"/>
    <w:rsid w:val="001B1016"/>
    <w:rsid w:val="001B1C69"/>
    <w:rsid w:val="001B45FD"/>
    <w:rsid w:val="001B7F72"/>
    <w:rsid w:val="001C2754"/>
    <w:rsid w:val="001C3AF9"/>
    <w:rsid w:val="001C5350"/>
    <w:rsid w:val="001C7621"/>
    <w:rsid w:val="001D0B84"/>
    <w:rsid w:val="001D3242"/>
    <w:rsid w:val="001E0B62"/>
    <w:rsid w:val="001E7290"/>
    <w:rsid w:val="001F1124"/>
    <w:rsid w:val="001F256F"/>
    <w:rsid w:val="001F44D9"/>
    <w:rsid w:val="00202253"/>
    <w:rsid w:val="002034F5"/>
    <w:rsid w:val="00205A11"/>
    <w:rsid w:val="0020725E"/>
    <w:rsid w:val="00211052"/>
    <w:rsid w:val="002118F2"/>
    <w:rsid w:val="0022279F"/>
    <w:rsid w:val="002364A3"/>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DD7"/>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73C9"/>
    <w:rsid w:val="00321170"/>
    <w:rsid w:val="003215D5"/>
    <w:rsid w:val="00323181"/>
    <w:rsid w:val="003244CB"/>
    <w:rsid w:val="00333742"/>
    <w:rsid w:val="00333FDE"/>
    <w:rsid w:val="00335811"/>
    <w:rsid w:val="00335CFE"/>
    <w:rsid w:val="0034353E"/>
    <w:rsid w:val="003447F6"/>
    <w:rsid w:val="00356525"/>
    <w:rsid w:val="0036499C"/>
    <w:rsid w:val="00364DE9"/>
    <w:rsid w:val="003704C4"/>
    <w:rsid w:val="0037122F"/>
    <w:rsid w:val="00372FE5"/>
    <w:rsid w:val="003753A4"/>
    <w:rsid w:val="00376104"/>
    <w:rsid w:val="003772BF"/>
    <w:rsid w:val="003825DE"/>
    <w:rsid w:val="003828D4"/>
    <w:rsid w:val="00382D26"/>
    <w:rsid w:val="00383EA0"/>
    <w:rsid w:val="003851D2"/>
    <w:rsid w:val="003859D0"/>
    <w:rsid w:val="00387A4A"/>
    <w:rsid w:val="00393EDA"/>
    <w:rsid w:val="00396510"/>
    <w:rsid w:val="003A1F38"/>
    <w:rsid w:val="003A36BB"/>
    <w:rsid w:val="003B4784"/>
    <w:rsid w:val="003B51CD"/>
    <w:rsid w:val="003B76B8"/>
    <w:rsid w:val="003B7DCB"/>
    <w:rsid w:val="003D2A92"/>
    <w:rsid w:val="003D30B9"/>
    <w:rsid w:val="003D7B9E"/>
    <w:rsid w:val="003E0011"/>
    <w:rsid w:val="003E0DCC"/>
    <w:rsid w:val="003E1278"/>
    <w:rsid w:val="003E1EC5"/>
    <w:rsid w:val="003E292B"/>
    <w:rsid w:val="003E31BA"/>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EDE"/>
    <w:rsid w:val="0043661F"/>
    <w:rsid w:val="00437C48"/>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5544"/>
    <w:rsid w:val="00485E41"/>
    <w:rsid w:val="004860D5"/>
    <w:rsid w:val="004868FA"/>
    <w:rsid w:val="004905F8"/>
    <w:rsid w:val="00492622"/>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060D1"/>
    <w:rsid w:val="00510256"/>
    <w:rsid w:val="005113F9"/>
    <w:rsid w:val="00514D64"/>
    <w:rsid w:val="0051540A"/>
    <w:rsid w:val="005154B9"/>
    <w:rsid w:val="00517C2B"/>
    <w:rsid w:val="0052098C"/>
    <w:rsid w:val="00522C55"/>
    <w:rsid w:val="005230B1"/>
    <w:rsid w:val="005252CA"/>
    <w:rsid w:val="00526E2C"/>
    <w:rsid w:val="00526F85"/>
    <w:rsid w:val="005366E4"/>
    <w:rsid w:val="00537A89"/>
    <w:rsid w:val="00540242"/>
    <w:rsid w:val="00540A85"/>
    <w:rsid w:val="00541015"/>
    <w:rsid w:val="005417E9"/>
    <w:rsid w:val="00542E6E"/>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043A"/>
    <w:rsid w:val="00592A38"/>
    <w:rsid w:val="005935AE"/>
    <w:rsid w:val="00597374"/>
    <w:rsid w:val="005A1104"/>
    <w:rsid w:val="005A3D67"/>
    <w:rsid w:val="005A3DFC"/>
    <w:rsid w:val="005A3EEA"/>
    <w:rsid w:val="005A70E2"/>
    <w:rsid w:val="005A72AE"/>
    <w:rsid w:val="005B20A5"/>
    <w:rsid w:val="005B3CEF"/>
    <w:rsid w:val="005B4D72"/>
    <w:rsid w:val="005B4DF1"/>
    <w:rsid w:val="005B59EE"/>
    <w:rsid w:val="005B67EA"/>
    <w:rsid w:val="005C0086"/>
    <w:rsid w:val="005C0923"/>
    <w:rsid w:val="005C1D9E"/>
    <w:rsid w:val="005C24F8"/>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CFE"/>
    <w:rsid w:val="00627FA4"/>
    <w:rsid w:val="00632C58"/>
    <w:rsid w:val="006340D1"/>
    <w:rsid w:val="00637261"/>
    <w:rsid w:val="00637A34"/>
    <w:rsid w:val="0064731F"/>
    <w:rsid w:val="0065153A"/>
    <w:rsid w:val="006627ED"/>
    <w:rsid w:val="00662EAC"/>
    <w:rsid w:val="006653CE"/>
    <w:rsid w:val="006706B6"/>
    <w:rsid w:val="006708E9"/>
    <w:rsid w:val="00671CBD"/>
    <w:rsid w:val="006733A2"/>
    <w:rsid w:val="0067345E"/>
    <w:rsid w:val="00676D46"/>
    <w:rsid w:val="0067705E"/>
    <w:rsid w:val="0067737B"/>
    <w:rsid w:val="006776C5"/>
    <w:rsid w:val="00680436"/>
    <w:rsid w:val="006830DD"/>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6F11"/>
    <w:rsid w:val="006E17EB"/>
    <w:rsid w:val="006E2495"/>
    <w:rsid w:val="006E2B0F"/>
    <w:rsid w:val="006E4368"/>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1C11"/>
    <w:rsid w:val="0074545A"/>
    <w:rsid w:val="007501E1"/>
    <w:rsid w:val="00751F63"/>
    <w:rsid w:val="00752524"/>
    <w:rsid w:val="007576FC"/>
    <w:rsid w:val="00760A37"/>
    <w:rsid w:val="00760D5D"/>
    <w:rsid w:val="00761330"/>
    <w:rsid w:val="00765197"/>
    <w:rsid w:val="0076643A"/>
    <w:rsid w:val="00770ACC"/>
    <w:rsid w:val="00771612"/>
    <w:rsid w:val="00773BD5"/>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B534B"/>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A90"/>
    <w:rsid w:val="00821F86"/>
    <w:rsid w:val="00824C0E"/>
    <w:rsid w:val="00825770"/>
    <w:rsid w:val="00827FCF"/>
    <w:rsid w:val="0083703A"/>
    <w:rsid w:val="008405F7"/>
    <w:rsid w:val="008409A1"/>
    <w:rsid w:val="00840A04"/>
    <w:rsid w:val="00841D5F"/>
    <w:rsid w:val="00843508"/>
    <w:rsid w:val="00845113"/>
    <w:rsid w:val="00845940"/>
    <w:rsid w:val="00846925"/>
    <w:rsid w:val="00847E7D"/>
    <w:rsid w:val="008545AF"/>
    <w:rsid w:val="00862130"/>
    <w:rsid w:val="0086443D"/>
    <w:rsid w:val="008658A8"/>
    <w:rsid w:val="0086612A"/>
    <w:rsid w:val="00872A67"/>
    <w:rsid w:val="008746BE"/>
    <w:rsid w:val="0087479A"/>
    <w:rsid w:val="0087697A"/>
    <w:rsid w:val="00877BB2"/>
    <w:rsid w:val="00882342"/>
    <w:rsid w:val="00883BAC"/>
    <w:rsid w:val="00885442"/>
    <w:rsid w:val="00887E19"/>
    <w:rsid w:val="00887EC6"/>
    <w:rsid w:val="00890348"/>
    <w:rsid w:val="00890C98"/>
    <w:rsid w:val="00890D14"/>
    <w:rsid w:val="008931D4"/>
    <w:rsid w:val="00894A14"/>
    <w:rsid w:val="00897B04"/>
    <w:rsid w:val="00897DC5"/>
    <w:rsid w:val="008B2FCF"/>
    <w:rsid w:val="008B40CA"/>
    <w:rsid w:val="008B424E"/>
    <w:rsid w:val="008B4D05"/>
    <w:rsid w:val="008B726F"/>
    <w:rsid w:val="008C209E"/>
    <w:rsid w:val="008C22D7"/>
    <w:rsid w:val="008C41A3"/>
    <w:rsid w:val="008C5383"/>
    <w:rsid w:val="008C555A"/>
    <w:rsid w:val="008D01EF"/>
    <w:rsid w:val="008D2926"/>
    <w:rsid w:val="008D6532"/>
    <w:rsid w:val="008D694B"/>
    <w:rsid w:val="008D7E39"/>
    <w:rsid w:val="008F2BA6"/>
    <w:rsid w:val="008F445D"/>
    <w:rsid w:val="008F472B"/>
    <w:rsid w:val="008F56ED"/>
    <w:rsid w:val="008F672B"/>
    <w:rsid w:val="0090207A"/>
    <w:rsid w:val="009031ED"/>
    <w:rsid w:val="00906646"/>
    <w:rsid w:val="00914EAD"/>
    <w:rsid w:val="00917715"/>
    <w:rsid w:val="009206B9"/>
    <w:rsid w:val="009206DD"/>
    <w:rsid w:val="00920B43"/>
    <w:rsid w:val="009235DC"/>
    <w:rsid w:val="00933C96"/>
    <w:rsid w:val="00935E20"/>
    <w:rsid w:val="00937B27"/>
    <w:rsid w:val="0094005B"/>
    <w:rsid w:val="00940D8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840D4"/>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05DD"/>
    <w:rsid w:val="00A11E91"/>
    <w:rsid w:val="00A13A70"/>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1EA9"/>
    <w:rsid w:val="00A62D33"/>
    <w:rsid w:val="00A64438"/>
    <w:rsid w:val="00A64AA3"/>
    <w:rsid w:val="00A65212"/>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B7863"/>
    <w:rsid w:val="00AC14F8"/>
    <w:rsid w:val="00AC4084"/>
    <w:rsid w:val="00AC7D06"/>
    <w:rsid w:val="00AD1BAC"/>
    <w:rsid w:val="00AD2384"/>
    <w:rsid w:val="00AD2C4F"/>
    <w:rsid w:val="00AD41AD"/>
    <w:rsid w:val="00AD613A"/>
    <w:rsid w:val="00AD78ED"/>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C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669BF"/>
    <w:rsid w:val="00B712F4"/>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B5BD5"/>
    <w:rsid w:val="00BC785F"/>
    <w:rsid w:val="00BC7D3F"/>
    <w:rsid w:val="00BD3A7F"/>
    <w:rsid w:val="00BE3093"/>
    <w:rsid w:val="00BE3095"/>
    <w:rsid w:val="00BE3D99"/>
    <w:rsid w:val="00BF05B1"/>
    <w:rsid w:val="00BF2861"/>
    <w:rsid w:val="00C0206C"/>
    <w:rsid w:val="00C054EA"/>
    <w:rsid w:val="00C10D9F"/>
    <w:rsid w:val="00C12910"/>
    <w:rsid w:val="00C2036C"/>
    <w:rsid w:val="00C2045A"/>
    <w:rsid w:val="00C23008"/>
    <w:rsid w:val="00C24FEA"/>
    <w:rsid w:val="00C323F4"/>
    <w:rsid w:val="00C32C62"/>
    <w:rsid w:val="00C35C17"/>
    <w:rsid w:val="00C40007"/>
    <w:rsid w:val="00C411E5"/>
    <w:rsid w:val="00C4212D"/>
    <w:rsid w:val="00C427EC"/>
    <w:rsid w:val="00C443A9"/>
    <w:rsid w:val="00C45558"/>
    <w:rsid w:val="00C472D1"/>
    <w:rsid w:val="00C51744"/>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62F4"/>
    <w:rsid w:val="00CB1275"/>
    <w:rsid w:val="00CB2E3A"/>
    <w:rsid w:val="00CB5FAF"/>
    <w:rsid w:val="00CB771B"/>
    <w:rsid w:val="00CB7BD9"/>
    <w:rsid w:val="00CC202C"/>
    <w:rsid w:val="00CD2CAC"/>
    <w:rsid w:val="00CD58C8"/>
    <w:rsid w:val="00CD58E1"/>
    <w:rsid w:val="00CD6F15"/>
    <w:rsid w:val="00CD726C"/>
    <w:rsid w:val="00CE116A"/>
    <w:rsid w:val="00CE19AD"/>
    <w:rsid w:val="00CE31C5"/>
    <w:rsid w:val="00CE6502"/>
    <w:rsid w:val="00CF1EC2"/>
    <w:rsid w:val="00CF24A6"/>
    <w:rsid w:val="00CF5ED4"/>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51473"/>
    <w:rsid w:val="00D51813"/>
    <w:rsid w:val="00D53F84"/>
    <w:rsid w:val="00D55501"/>
    <w:rsid w:val="00D55931"/>
    <w:rsid w:val="00D55CD5"/>
    <w:rsid w:val="00D60D6E"/>
    <w:rsid w:val="00D63A5E"/>
    <w:rsid w:val="00D6747C"/>
    <w:rsid w:val="00D70C11"/>
    <w:rsid w:val="00D76C55"/>
    <w:rsid w:val="00D80282"/>
    <w:rsid w:val="00D81AF4"/>
    <w:rsid w:val="00D84292"/>
    <w:rsid w:val="00D85ED1"/>
    <w:rsid w:val="00D8793B"/>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C6434"/>
    <w:rsid w:val="00DD15C5"/>
    <w:rsid w:val="00DD26AA"/>
    <w:rsid w:val="00DD35F9"/>
    <w:rsid w:val="00DD662D"/>
    <w:rsid w:val="00DD699F"/>
    <w:rsid w:val="00DE2530"/>
    <w:rsid w:val="00DF1218"/>
    <w:rsid w:val="00DF1261"/>
    <w:rsid w:val="00DF1C58"/>
    <w:rsid w:val="00DF2D84"/>
    <w:rsid w:val="00DF3981"/>
    <w:rsid w:val="00DF4166"/>
    <w:rsid w:val="00DF72D5"/>
    <w:rsid w:val="00DF783F"/>
    <w:rsid w:val="00E01A9D"/>
    <w:rsid w:val="00E12001"/>
    <w:rsid w:val="00E13CBF"/>
    <w:rsid w:val="00E20D50"/>
    <w:rsid w:val="00E2158E"/>
    <w:rsid w:val="00E24594"/>
    <w:rsid w:val="00E25184"/>
    <w:rsid w:val="00E25AA9"/>
    <w:rsid w:val="00E27757"/>
    <w:rsid w:val="00E31159"/>
    <w:rsid w:val="00E31531"/>
    <w:rsid w:val="00E32D1F"/>
    <w:rsid w:val="00E33032"/>
    <w:rsid w:val="00E378D7"/>
    <w:rsid w:val="00E37A0C"/>
    <w:rsid w:val="00E40242"/>
    <w:rsid w:val="00E50E67"/>
    <w:rsid w:val="00E562B0"/>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11C0"/>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179"/>
    <w:rsid w:val="00EB2E75"/>
    <w:rsid w:val="00EC012E"/>
    <w:rsid w:val="00EC12EE"/>
    <w:rsid w:val="00EC650E"/>
    <w:rsid w:val="00EC74E8"/>
    <w:rsid w:val="00ED0DFB"/>
    <w:rsid w:val="00ED3212"/>
    <w:rsid w:val="00ED3A2A"/>
    <w:rsid w:val="00EE00E0"/>
    <w:rsid w:val="00EE094F"/>
    <w:rsid w:val="00EE0B53"/>
    <w:rsid w:val="00EE18D6"/>
    <w:rsid w:val="00EF1B29"/>
    <w:rsid w:val="00EF5C98"/>
    <w:rsid w:val="00EF71F8"/>
    <w:rsid w:val="00EF74BD"/>
    <w:rsid w:val="00F023D7"/>
    <w:rsid w:val="00F02507"/>
    <w:rsid w:val="00F037A6"/>
    <w:rsid w:val="00F04935"/>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025A"/>
    <w:rsid w:val="00FB3D03"/>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F04935"/>
    <w:pPr>
      <w:spacing w:before="60" w:after="60" w:line="240" w:lineRule="atLeast"/>
      <w:ind w:left="0"/>
    </w:pPr>
    <w:rPr>
      <w:rFonts w:ascii="Arial Bold" w:hAnsi="Arial Bold"/>
      <w:b/>
      <w:bCs w:val="0"/>
      <w:szCs w:val="22"/>
      <w:lang w:eastAsia="en-AU"/>
    </w:rPr>
  </w:style>
  <w:style w:type="character" w:customStyle="1" w:styleId="TableHeadingChar">
    <w:name w:val="Table Heading Char"/>
    <w:link w:val="TableHeading"/>
    <w:rsid w:val="00F04935"/>
    <w:rPr>
      <w:rFonts w:ascii="Arial Bold" w:eastAsiaTheme="minorEastAsia" w:hAnsi="Arial Bold" w:cs="Times New Roman"/>
      <w:b/>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link w:val="TableHeaderCha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link w:val="TableFigureLeftChar"/>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List">
    <w:name w:val="List"/>
    <w:basedOn w:val="Normal"/>
    <w:uiPriority w:val="99"/>
    <w:unhideWhenUsed/>
    <w:rsid w:val="007B534B"/>
    <w:pPr>
      <w:ind w:left="283" w:hanging="283"/>
      <w:contextualSpacing/>
    </w:pPr>
  </w:style>
  <w:style w:type="character" w:customStyle="1" w:styleId="TableFigureLeftChar">
    <w:name w:val="Table / Figure Left Char"/>
    <w:link w:val="TableFigureLeft"/>
    <w:rsid w:val="00197383"/>
    <w:rPr>
      <w:rFonts w:ascii="Arial Narrow" w:eastAsia="Times New Roman" w:hAnsi="Arial Narrow" w:cs="Times New Roman"/>
      <w:sz w:val="18"/>
      <w:szCs w:val="18"/>
      <w:lang w:val="en-AU" w:eastAsia="en-AU"/>
    </w:rPr>
  </w:style>
  <w:style w:type="character" w:customStyle="1" w:styleId="TableHeaderChar">
    <w:name w:val="Table Header Char"/>
    <w:link w:val="TableHeader"/>
    <w:locked/>
    <w:rsid w:val="00197383"/>
    <w:rPr>
      <w:rFonts w:ascii="Arial" w:eastAsia="SimSun" w:hAnsi="Arial" w:cs="Arial"/>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80C45E6E-A0C6-423A-91BF-2808F3A5D30C}">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12</cp:revision>
  <dcterms:created xsi:type="dcterms:W3CDTF">2020-06-05T06:29:00Z</dcterms:created>
  <dcterms:modified xsi:type="dcterms:W3CDTF">2020-06-18T22:41:00Z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