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E156D" w14:textId="3FEAC8B8" w:rsidR="00DC02AA" w:rsidRPr="003E1278" w:rsidRDefault="00DC02AA" w:rsidP="004E4E46">
      <w:pPr>
        <w:spacing w:before="120"/>
        <w:ind w:left="993"/>
        <w:rPr>
          <w:rFonts w:cs="Arial"/>
        </w:rPr>
      </w:pPr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B14381" w14:paraId="409B9E7B" w14:textId="77777777" w:rsidTr="00AF1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auto"/>
          </w:tcPr>
          <w:p w14:paraId="1CF1C729" w14:textId="77777777" w:rsidR="00AF1D72" w:rsidRDefault="00AF1D72" w:rsidP="00AF1D72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color w:val="6F7C87"/>
                <w:sz w:val="24"/>
                <w:szCs w:val="24"/>
              </w:rPr>
            </w:pPr>
            <w:bookmarkStart w:id="0" w:name="1.1.1_General"/>
            <w:bookmarkStart w:id="1" w:name="_Toc886731"/>
            <w:bookmarkEnd w:id="0"/>
          </w:p>
          <w:p w14:paraId="35B3759E" w14:textId="579A9D56" w:rsidR="00AF1D72" w:rsidRPr="006A56D7" w:rsidRDefault="00AF1D72" w:rsidP="00AF1D72">
            <w:pPr>
              <w:tabs>
                <w:tab w:val="center" w:pos="4513"/>
                <w:tab w:val="right" w:pos="9026"/>
              </w:tabs>
              <w:rPr>
                <w:rFonts w:eastAsia="SimSun" w:cs="Arial"/>
                <w:color w:val="004259"/>
                <w:sz w:val="28"/>
                <w:szCs w:val="28"/>
              </w:rPr>
            </w:pPr>
            <w:r w:rsidRPr="006A56D7">
              <w:rPr>
                <w:rFonts w:eastAsia="SimSun" w:cs="Arial"/>
                <w:color w:val="004259"/>
                <w:sz w:val="28"/>
                <w:szCs w:val="28"/>
              </w:rPr>
              <w:t>AUSTROADS TECHNICAL SPECIFICATION ATS</w:t>
            </w:r>
            <w:r w:rsidR="00E43A9A">
              <w:rPr>
                <w:rFonts w:eastAsia="SimSun" w:cs="Arial"/>
                <w:color w:val="004259"/>
                <w:sz w:val="28"/>
                <w:szCs w:val="28"/>
              </w:rPr>
              <w:t>5330</w:t>
            </w:r>
          </w:p>
          <w:p w14:paraId="40B3F116" w14:textId="77777777" w:rsidR="00AF1D72" w:rsidRPr="006A56D7" w:rsidRDefault="00AF1D72" w:rsidP="00AF1D72">
            <w:pPr>
              <w:tabs>
                <w:tab w:val="left" w:pos="2940"/>
              </w:tabs>
              <w:rPr>
                <w:rFonts w:eastAsia="SimSun" w:cs="Arial"/>
                <w:b w:val="0"/>
                <w:color w:val="004259"/>
                <w:szCs w:val="20"/>
              </w:rPr>
            </w:pPr>
            <w:r w:rsidRPr="006A56D7">
              <w:rPr>
                <w:rFonts w:eastAsia="SimSun" w:cs="Arial"/>
                <w:b w:val="0"/>
                <w:color w:val="004259"/>
                <w:szCs w:val="20"/>
              </w:rPr>
              <w:tab/>
            </w:r>
          </w:p>
          <w:p w14:paraId="5234A5CB" w14:textId="226E11B6" w:rsidR="00AF1D72" w:rsidRPr="006A56D7" w:rsidRDefault="00AF1D72" w:rsidP="00AF1D72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bCs/>
                <w:color w:val="004259"/>
                <w:sz w:val="32"/>
                <w:szCs w:val="32"/>
              </w:rPr>
            </w:pPr>
            <w:r w:rsidRPr="006A56D7">
              <w:rPr>
                <w:rFonts w:eastAsia="SimSun" w:cs="Arial"/>
                <w:b w:val="0"/>
                <w:bCs/>
                <w:color w:val="004259"/>
                <w:sz w:val="32"/>
                <w:szCs w:val="32"/>
              </w:rPr>
              <w:t xml:space="preserve">Supply of </w:t>
            </w:r>
            <w:r w:rsidR="00E43A9A">
              <w:rPr>
                <w:rFonts w:eastAsia="SimSun" w:cs="Arial"/>
                <w:b w:val="0"/>
                <w:bCs/>
                <w:color w:val="004259"/>
                <w:sz w:val="32"/>
                <w:szCs w:val="32"/>
              </w:rPr>
              <w:t>Geopolymer Concrete</w:t>
            </w:r>
          </w:p>
          <w:p w14:paraId="48C93D8E" w14:textId="77777777" w:rsidR="00AF1D72" w:rsidRPr="00B14381" w:rsidRDefault="00AF1D72" w:rsidP="00AF1D72">
            <w:pPr>
              <w:tabs>
                <w:tab w:val="center" w:pos="4513"/>
                <w:tab w:val="right" w:pos="9026"/>
              </w:tabs>
              <w:rPr>
                <w:rFonts w:eastAsia="SimSun" w:cs="Arial"/>
                <w:color w:val="6F7C87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  <w:vAlign w:val="bottom"/>
          </w:tcPr>
          <w:p w14:paraId="6B4B3E22" w14:textId="5D8903C4" w:rsidR="00AF1D72" w:rsidRPr="00B14381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eastAsia="SimSun" w:cs="Arial"/>
                <w:color w:val="B35E06"/>
                <w:sz w:val="16"/>
                <w:szCs w:val="16"/>
              </w:rPr>
            </w:pPr>
            <w:r>
              <w:rPr>
                <w:rFonts w:eastAsia="SimSun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44877" w14:textId="2D230E64" w:rsidR="000940DD" w:rsidRDefault="000940DD" w:rsidP="000940DD"/>
    <w:p w14:paraId="34EBDA1C" w14:textId="15C76AF2" w:rsidR="00AF1D72" w:rsidRDefault="00AF1D72" w:rsidP="000940DD">
      <w:bookmarkStart w:id="2" w:name="1.1_Scope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0"/>
      </w:tblGrid>
      <w:tr w:rsidR="00AF1D72" w14:paraId="77988DC1" w14:textId="77777777" w:rsidTr="00AF1D72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sz w:val="20"/>
              </w:rPr>
            </w:sdtEndPr>
            <w:sdtContent>
              <w:p w14:paraId="59357140" w14:textId="77777777" w:rsidR="00AF1D72" w:rsidRPr="002423B2" w:rsidRDefault="00AF1D72" w:rsidP="002423B2">
                <w:pPr>
                  <w:pStyle w:val="Heading1nonumber"/>
                </w:pPr>
                <w:r w:rsidRPr="002423B2">
                  <w:t>Contents</w:t>
                </w:r>
              </w:p>
              <w:p w14:paraId="3D383CD6" w14:textId="59974D9E" w:rsidR="00AD29BB" w:rsidRDefault="00B23DC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29543873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_Toc29543873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1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182BDE0" w14:textId="5126D944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74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_Toc29543874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2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FBB15EF" w14:textId="0E8C6299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75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_Toc29543875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2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4570AD" w14:textId="725D8FB6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76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_Toc29543876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2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E008A9E" w14:textId="0CE10E66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77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Manufacturer Competency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_Toc29543877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2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D2AD36" w14:textId="3AE86909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78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Manufacture of Geopolymer Concrete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_Toc29543878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3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E4BB3F9" w14:textId="286B087A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79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_Toc29543879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3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94462F9" w14:textId="46F580A1" w:rsidR="00AD29BB" w:rsidRPr="00AD29BB" w:rsidRDefault="00E769AB" w:rsidP="00AD29BB">
                <w:pPr>
                  <w:pStyle w:val="TOC2"/>
                  <w:rPr>
                    <w:rFonts w:eastAsiaTheme="minorEastAsia"/>
                  </w:rPr>
                </w:pPr>
                <w:hyperlink w:anchor="_Toc29543880" w:history="1">
                  <w:r w:rsidR="00AD29BB" w:rsidRPr="00AD29BB">
                    <w:rPr>
                      <w:rStyle w:val="Hyperlink"/>
                      <w:rFonts w:eastAsia="SimSun"/>
                      <w:color w:val="auto"/>
                      <w:u w:val="none"/>
                    </w:rPr>
                    <w:t>Water</w:t>
                  </w:r>
                  <w:r w:rsidR="00AD29BB">
                    <w:rPr>
                      <w:rStyle w:val="Hyperlink"/>
                      <w:rFonts w:eastAsia="SimSun"/>
                      <w:color w:val="auto"/>
                      <w:u w:val="none"/>
                    </w:rPr>
                    <w:t xml:space="preserve"> </w:t>
                  </w:r>
                  <w:r w:rsidR="00AD29BB">
                    <w:rPr>
                      <w:rStyle w:val="Hyperlink"/>
                      <w:rFonts w:eastAsia="SimSun"/>
                    </w:rPr>
                    <w:t xml:space="preserve"> </w:t>
                  </w:r>
                  <w:r w:rsidR="00AD29BB" w:rsidRPr="00AD29BB">
                    <w:rPr>
                      <w:webHidden/>
                    </w:rPr>
                    <w:tab/>
                  </w:r>
                  <w:r w:rsidR="00AD29BB" w:rsidRPr="00AD29BB">
                    <w:rPr>
                      <w:webHidden/>
                    </w:rPr>
                    <w:fldChar w:fldCharType="begin"/>
                  </w:r>
                  <w:r w:rsidR="00AD29BB" w:rsidRPr="00AD29BB">
                    <w:rPr>
                      <w:webHidden/>
                    </w:rPr>
                    <w:instrText xml:space="preserve"> PAGEREF _Toc29543880 \h </w:instrText>
                  </w:r>
                  <w:r w:rsidR="00AD29BB" w:rsidRPr="00AD29BB">
                    <w:rPr>
                      <w:webHidden/>
                    </w:rPr>
                  </w:r>
                  <w:r w:rsidR="00AD29BB" w:rsidRPr="00AD29BB">
                    <w:rPr>
                      <w:webHidden/>
                    </w:rPr>
                    <w:fldChar w:fldCharType="separate"/>
                  </w:r>
                  <w:r w:rsidR="00AD29BB" w:rsidRPr="00AD29BB">
                    <w:rPr>
                      <w:webHidden/>
                    </w:rPr>
                    <w:t>3</w:t>
                  </w:r>
                  <w:r w:rsidR="00AD29BB" w:rsidRPr="00AD29BB">
                    <w:rPr>
                      <w:webHidden/>
                    </w:rPr>
                    <w:fldChar w:fldCharType="end"/>
                  </w:r>
                </w:hyperlink>
              </w:p>
              <w:p w14:paraId="0F95CCB1" w14:textId="69CEAD5C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81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Addition of Water at the Slump Stand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_Toc29543881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3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0DA5ACD" w14:textId="2B2E87D7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82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Delivery of Geopolymer Concrete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_Toc29543882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4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3DA1C4D" w14:textId="3FC9C285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83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_Toc29543883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4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17C87CB" w14:textId="1B67F3C6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84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Delivery Docket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_Toc29543884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4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1726989" w14:textId="2184DA9C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85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Period for Completion of Discharge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_Toc29543885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5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47911A" w14:textId="2933E83D" w:rsidR="00AD29BB" w:rsidRDefault="00E769AB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29543886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Water Left in the Mixer or Agitator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_Toc29543886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5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964E3D" w14:textId="7E81441D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87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Geopolymer Concrete Properties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_Toc29543887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5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A44520C" w14:textId="49A0A343" w:rsidR="00AD29BB" w:rsidRDefault="00E769AB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88" w:history="1">
                  <w:r w:rsidR="00AD29BB" w:rsidRPr="00946937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Additional Requirements for Placement of Geopolymer Concrete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_Toc29543888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6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A0C9909" w14:textId="7013D0E3" w:rsidR="00AD29BB" w:rsidRDefault="00E769AB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29543889" w:history="1"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 w:rsidR="00AD29BB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AD29BB" w:rsidRPr="00946937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 w:rsidR="00AD29BB">
                    <w:rPr>
                      <w:noProof/>
                      <w:webHidden/>
                    </w:rPr>
                    <w:tab/>
                  </w:r>
                  <w:r w:rsidR="00AD29BB">
                    <w:rPr>
                      <w:noProof/>
                      <w:webHidden/>
                    </w:rPr>
                    <w:fldChar w:fldCharType="begin"/>
                  </w:r>
                  <w:r w:rsidR="00AD29BB">
                    <w:rPr>
                      <w:noProof/>
                      <w:webHidden/>
                    </w:rPr>
                    <w:instrText xml:space="preserve"> PAGEREF _Toc29543889 \h </w:instrText>
                  </w:r>
                  <w:r w:rsidR="00AD29BB">
                    <w:rPr>
                      <w:noProof/>
                      <w:webHidden/>
                    </w:rPr>
                  </w:r>
                  <w:r w:rsidR="00AD29BB">
                    <w:rPr>
                      <w:noProof/>
                      <w:webHidden/>
                    </w:rPr>
                    <w:fldChar w:fldCharType="separate"/>
                  </w:r>
                  <w:r w:rsidR="00AD29BB">
                    <w:rPr>
                      <w:noProof/>
                      <w:webHidden/>
                    </w:rPr>
                    <w:t>7</w:t>
                  </w:r>
                  <w:r w:rsidR="00AD29BB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4057BFB8" w:rsidR="00AF1D72" w:rsidRPr="003F7623" w:rsidRDefault="00B23DC4" w:rsidP="00315872">
                <w:pPr>
                  <w:spacing w:before="120"/>
                  <w:rPr>
                    <w:rFonts w:cs="Arial"/>
                    <w:b/>
                    <w:bCs/>
                  </w:rPr>
                </w:pPr>
                <w:r>
                  <w:rPr>
                    <w:rFonts w:cs="Arial"/>
                    <w:b/>
                    <w:bCs/>
                    <w:szCs w:val="20"/>
                  </w:rPr>
                  <w:fldChar w:fldCharType="end"/>
                </w:r>
              </w:p>
            </w:sdtContent>
          </w:sdt>
        </w:tc>
      </w:tr>
      <w:tr w:rsidR="00AD29BB" w14:paraId="71CE5735" w14:textId="77777777" w:rsidTr="00AF1D72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B3EE6B" w14:textId="77777777" w:rsidR="00AD29BB" w:rsidRPr="002423B2" w:rsidRDefault="00AD29BB" w:rsidP="002423B2">
            <w:pPr>
              <w:pStyle w:val="Heading1nonumber"/>
            </w:pPr>
          </w:p>
        </w:tc>
      </w:tr>
    </w:tbl>
    <w:p w14:paraId="7FA9E9E5" w14:textId="12D2B50B" w:rsidR="00991F4D" w:rsidRPr="004F31DE" w:rsidRDefault="00AF1D72" w:rsidP="00677F9D">
      <w:pPr>
        <w:pStyle w:val="Heading1"/>
      </w:pPr>
      <w:bookmarkStart w:id="3" w:name="_Toc29543873"/>
      <w:r w:rsidRPr="004F31DE">
        <w:t>Scope</w:t>
      </w:r>
      <w:bookmarkEnd w:id="1"/>
      <w:bookmarkEnd w:id="3"/>
    </w:p>
    <w:p w14:paraId="03D52339" w14:textId="77777777" w:rsidR="004F31DE" w:rsidRDefault="004F31DE" w:rsidP="004F31DE">
      <w:pPr>
        <w:pStyle w:val="Bodynumbered1"/>
      </w:pPr>
      <w:bookmarkStart w:id="4" w:name="_Toc26257268"/>
      <w:bookmarkStart w:id="5" w:name="_Toc514678946"/>
      <w:bookmarkStart w:id="6" w:name="_Toc886733"/>
      <w:bookmarkStart w:id="7" w:name="_Toc886732"/>
      <w:r>
        <w:t xml:space="preserve">This Austroads Technical Specification covers the requirements for the supply and delivery of </w:t>
      </w:r>
      <w:bookmarkStart w:id="8" w:name="_Hlk6319186"/>
      <w:r>
        <w:t xml:space="preserve">Geopolymer Concrete </w:t>
      </w:r>
      <w:bookmarkEnd w:id="8"/>
      <w:r>
        <w:t>in strength grades up to 50 MPa for use in the following applications:</w:t>
      </w:r>
    </w:p>
    <w:p w14:paraId="22B5042C" w14:textId="77777777" w:rsidR="004F31DE" w:rsidRDefault="004F31DE" w:rsidP="004F31DE">
      <w:pPr>
        <w:pStyle w:val="Bodynumbered2"/>
      </w:pPr>
      <w:bookmarkStart w:id="9" w:name="_Hlk21525149"/>
      <w:r>
        <w:t>gutters, kerbing, drainage channels, footpaths, driveways</w:t>
      </w:r>
      <w:bookmarkEnd w:id="9"/>
      <w:r>
        <w:t>, shared paths, post footings and safety barrier anchor blocks; and</w:t>
      </w:r>
    </w:p>
    <w:p w14:paraId="156DC3E2" w14:textId="77777777" w:rsidR="004F31DE" w:rsidRDefault="004F31DE" w:rsidP="004F31DE">
      <w:pPr>
        <w:pStyle w:val="Bodynumbered2"/>
      </w:pPr>
      <w:r>
        <w:t xml:space="preserve">minor cast-in-place works or the production of precast elements with a design life not exceeding 50 years, such as stormwater pits and headwalls. </w:t>
      </w:r>
    </w:p>
    <w:p w14:paraId="1E0C6017" w14:textId="77777777" w:rsidR="006A56D7" w:rsidRPr="004F31DE" w:rsidRDefault="006A56D7" w:rsidP="00E769AB">
      <w:pPr>
        <w:pStyle w:val="Heading1"/>
      </w:pPr>
      <w:bookmarkStart w:id="10" w:name="_Toc29543874"/>
      <w:r w:rsidRPr="004F31DE">
        <w:lastRenderedPageBreak/>
        <w:t>Definitions</w:t>
      </w:r>
      <w:bookmarkEnd w:id="10"/>
      <w:r w:rsidRPr="004F31DE">
        <w:t xml:space="preserve"> </w:t>
      </w:r>
      <w:bookmarkEnd w:id="4"/>
    </w:p>
    <w:p w14:paraId="77177607" w14:textId="77777777" w:rsidR="004F31DE" w:rsidRPr="004F31DE" w:rsidRDefault="004F31DE" w:rsidP="004F31DE">
      <w:pPr>
        <w:pStyle w:val="Bodynumbered1"/>
      </w:pPr>
      <w:r w:rsidRPr="004F31DE">
        <w:t>The following definitions apply to this specification:</w:t>
      </w:r>
    </w:p>
    <w:p w14:paraId="5A17D3D1" w14:textId="35EB88EC" w:rsidR="004F31DE" w:rsidRDefault="004F31DE" w:rsidP="00043630">
      <w:pPr>
        <w:pStyle w:val="BodyTextIndent"/>
        <w:ind w:left="2977" w:hanging="2410"/>
      </w:pPr>
      <w:bookmarkStart w:id="11" w:name="_Hlk14849014"/>
      <w:r w:rsidRPr="004F31DE">
        <w:rPr>
          <w:b/>
          <w:bCs/>
        </w:rPr>
        <w:t>Geopolymer Binder</w:t>
      </w:r>
      <w:bookmarkEnd w:id="11"/>
      <w:r w:rsidRPr="004F31DE">
        <w:rPr>
          <w:b/>
          <w:bCs/>
        </w:rPr>
        <w:t>:</w:t>
      </w:r>
      <w:r>
        <w:t xml:space="preserve"> </w:t>
      </w:r>
      <w:r w:rsidR="00043630">
        <w:tab/>
      </w:r>
      <w:r>
        <w:t>Polymeric binder formed by reacting alumina-silicate pre-cursors with alkaline activator(s).</w:t>
      </w:r>
    </w:p>
    <w:p w14:paraId="5F25DAB5" w14:textId="27F0941C" w:rsidR="004F31DE" w:rsidRDefault="004F31DE" w:rsidP="00043630">
      <w:pPr>
        <w:pStyle w:val="BodyTextIndent"/>
        <w:ind w:left="2977" w:hanging="2410"/>
      </w:pPr>
      <w:r w:rsidRPr="004F31DE">
        <w:rPr>
          <w:b/>
          <w:bCs/>
        </w:rPr>
        <w:t>Geopolymer Concrete:</w:t>
      </w:r>
      <w:r w:rsidR="00D433EE">
        <w:t xml:space="preserve"> </w:t>
      </w:r>
      <w:r w:rsidR="00043630">
        <w:tab/>
      </w:r>
      <w:r>
        <w:t>Geopolymer Binder with aggregates, water and additives.</w:t>
      </w:r>
    </w:p>
    <w:p w14:paraId="2099917E" w14:textId="77657617" w:rsidR="00F40305" w:rsidRPr="004F31DE" w:rsidRDefault="003F7623" w:rsidP="004F31DE">
      <w:pPr>
        <w:pStyle w:val="Heading1"/>
      </w:pPr>
      <w:bookmarkStart w:id="12" w:name="_Toc29543875"/>
      <w:r w:rsidRPr="004F31DE">
        <w:t>Referenced Documents</w:t>
      </w:r>
      <w:bookmarkEnd w:id="5"/>
      <w:bookmarkEnd w:id="6"/>
      <w:bookmarkEnd w:id="12"/>
    </w:p>
    <w:p w14:paraId="3E6F44F2" w14:textId="34F10F15" w:rsidR="00F40305" w:rsidRPr="00045CDF" w:rsidRDefault="005417E9" w:rsidP="006A56D7">
      <w:pPr>
        <w:pStyle w:val="Bodynumbered1"/>
      </w:pPr>
      <w:r w:rsidRPr="00825802">
        <w:t xml:space="preserve">The following </w:t>
      </w:r>
      <w:r w:rsidRPr="006A56D7">
        <w:t>documents</w:t>
      </w:r>
      <w:r w:rsidRPr="00825802">
        <w:t xml:space="preserve"> are referenced in this </w:t>
      </w:r>
      <w:r>
        <w:t>S</w:t>
      </w:r>
      <w:r w:rsidRPr="00825802">
        <w:t>pecification</w:t>
      </w:r>
      <w:r>
        <w:t xml:space="preserve"> or are relevant to this Specification</w:t>
      </w:r>
      <w:r w:rsidR="00502381">
        <w:t>:</w:t>
      </w:r>
    </w:p>
    <w:p w14:paraId="788DBF8C" w14:textId="1AC93E6F" w:rsidR="00FB5264" w:rsidRPr="006A56D7" w:rsidRDefault="00FB5264" w:rsidP="006A56D7">
      <w:pPr>
        <w:pStyle w:val="BodyTextIndent"/>
        <w:pBdr>
          <w:top w:val="single" w:sz="2" w:space="1" w:color="004259"/>
        </w:pBdr>
        <w:rPr>
          <w:b/>
          <w:bCs/>
          <w:color w:val="004259"/>
        </w:rPr>
      </w:pPr>
      <w:bookmarkStart w:id="13" w:name="_Hlk10548617"/>
      <w:r w:rsidRPr="006A56D7">
        <w:rPr>
          <w:b/>
          <w:bCs/>
          <w:color w:val="004259"/>
        </w:rPr>
        <w:t xml:space="preserve">Australian </w:t>
      </w:r>
      <w:r w:rsidR="00A12F5E">
        <w:rPr>
          <w:b/>
          <w:bCs/>
          <w:color w:val="004259"/>
        </w:rPr>
        <w:t xml:space="preserve">/New Zealand </w:t>
      </w:r>
      <w:r w:rsidRPr="006A56D7">
        <w:rPr>
          <w:b/>
          <w:bCs/>
          <w:color w:val="004259"/>
        </w:rPr>
        <w:t>Standards</w:t>
      </w:r>
    </w:p>
    <w:bookmarkEnd w:id="13"/>
    <w:p w14:paraId="7CD60FB7" w14:textId="77777777" w:rsidR="004F31DE" w:rsidRDefault="004F31DE" w:rsidP="004F31DE">
      <w:pPr>
        <w:pStyle w:val="BodyTextIndent"/>
        <w:tabs>
          <w:tab w:val="left" w:pos="2268"/>
        </w:tabs>
        <w:ind w:left="2268" w:hanging="1701"/>
      </w:pPr>
      <w:r>
        <w:t>AS 1012.3.1</w:t>
      </w:r>
      <w:r>
        <w:tab/>
        <w:t>Methods of testing concrete, Method 3.1: Determination of properties related to the consistency of concrete—Slump test</w:t>
      </w:r>
    </w:p>
    <w:p w14:paraId="3B25C802" w14:textId="77777777" w:rsidR="004F31DE" w:rsidRDefault="004F31DE" w:rsidP="004F31DE">
      <w:pPr>
        <w:pStyle w:val="BodyTextIndent"/>
        <w:tabs>
          <w:tab w:val="left" w:pos="2268"/>
        </w:tabs>
        <w:ind w:left="2268" w:hanging="1701"/>
      </w:pPr>
      <w:r>
        <w:t>AS/NZS 1379</w:t>
      </w:r>
      <w:r>
        <w:tab/>
        <w:t>The Specification and Supply of Concrete</w:t>
      </w:r>
    </w:p>
    <w:p w14:paraId="3376B730" w14:textId="77777777" w:rsidR="004F31DE" w:rsidRDefault="004F31DE" w:rsidP="004F31DE">
      <w:pPr>
        <w:pStyle w:val="BodyTextIndent"/>
        <w:tabs>
          <w:tab w:val="left" w:pos="2268"/>
        </w:tabs>
        <w:ind w:left="2268" w:hanging="1701"/>
      </w:pPr>
      <w:bookmarkStart w:id="14" w:name="_Hlk21522675"/>
      <w:r>
        <w:t>AS 3582.1</w:t>
      </w:r>
      <w:bookmarkEnd w:id="14"/>
      <w:r>
        <w:tab/>
        <w:t xml:space="preserve">Supplementary cementitious materials for use with </w:t>
      </w:r>
      <w:proofErr w:type="spellStart"/>
      <w:r>
        <w:t>portland</w:t>
      </w:r>
      <w:proofErr w:type="spellEnd"/>
      <w:r>
        <w:t xml:space="preserve"> and blended cement – Part 1: Fly ash</w:t>
      </w:r>
    </w:p>
    <w:p w14:paraId="6C5E8AB2" w14:textId="436D930D" w:rsidR="004F31DE" w:rsidRDefault="004F31DE" w:rsidP="004F31DE">
      <w:pPr>
        <w:pStyle w:val="BodyTextIndent"/>
        <w:tabs>
          <w:tab w:val="left" w:pos="2268"/>
        </w:tabs>
        <w:ind w:left="2268" w:hanging="1701"/>
      </w:pPr>
      <w:r>
        <w:t>AS 3582.2</w:t>
      </w:r>
      <w:r>
        <w:tab/>
        <w:t xml:space="preserve">Supplementary cementitious materials for use with </w:t>
      </w:r>
      <w:proofErr w:type="spellStart"/>
      <w:r>
        <w:t>portland</w:t>
      </w:r>
      <w:proofErr w:type="spellEnd"/>
      <w:r>
        <w:t xml:space="preserve"> and blended cement – Part 2: Slag</w:t>
      </w:r>
      <w:r w:rsidR="00D433EE">
        <w:t xml:space="preserve"> </w:t>
      </w:r>
      <w:r>
        <w:t>Ground granulated iron blast furnace</w:t>
      </w:r>
    </w:p>
    <w:p w14:paraId="01FBBBD7" w14:textId="77777777" w:rsidR="004F31DE" w:rsidRDefault="004F31DE" w:rsidP="004F31DE">
      <w:pPr>
        <w:pStyle w:val="BodyTextIndent"/>
        <w:tabs>
          <w:tab w:val="left" w:pos="2268"/>
        </w:tabs>
        <w:ind w:left="2268" w:hanging="1701"/>
      </w:pPr>
      <w:r>
        <w:t>AS/NZS 3582.3</w:t>
      </w:r>
      <w:r>
        <w:tab/>
        <w:t xml:space="preserve">Supplementary cementitious materials for use with </w:t>
      </w:r>
      <w:proofErr w:type="spellStart"/>
      <w:r>
        <w:t>portland</w:t>
      </w:r>
      <w:proofErr w:type="spellEnd"/>
      <w:r>
        <w:t xml:space="preserve"> and blended cement – Part 3: Amorphous silica</w:t>
      </w:r>
    </w:p>
    <w:p w14:paraId="3161CD3F" w14:textId="77777777" w:rsidR="004F31DE" w:rsidRDefault="004F31DE" w:rsidP="004F31DE">
      <w:pPr>
        <w:pStyle w:val="BodyTextIndent"/>
        <w:pBdr>
          <w:bottom w:val="single" w:sz="4" w:space="1" w:color="004259"/>
        </w:pBdr>
        <w:tabs>
          <w:tab w:val="left" w:pos="2268"/>
        </w:tabs>
        <w:ind w:left="2268" w:hanging="1701"/>
      </w:pPr>
      <w:r>
        <w:t>ISO/AS/NZS 9001</w:t>
      </w:r>
      <w:r>
        <w:tab/>
        <w:t>Quality management systems – Requirements</w:t>
      </w:r>
    </w:p>
    <w:p w14:paraId="07EE57F1" w14:textId="20E13682" w:rsidR="00D433EE" w:rsidRPr="00D433EE" w:rsidRDefault="00D433EE" w:rsidP="00D433EE">
      <w:pPr>
        <w:pStyle w:val="Heading1"/>
      </w:pPr>
      <w:bookmarkStart w:id="15" w:name="_Toc25162427"/>
      <w:bookmarkStart w:id="16" w:name="_Toc29543876"/>
      <w:bookmarkStart w:id="17" w:name="_Toc85027769"/>
      <w:bookmarkStart w:id="18" w:name="_Toc85027814"/>
      <w:bookmarkStart w:id="19" w:name="_Toc85255850"/>
      <w:bookmarkStart w:id="20" w:name="_Toc85255909"/>
      <w:bookmarkStart w:id="21" w:name="_Toc85255968"/>
      <w:bookmarkStart w:id="22" w:name="_Toc85256288"/>
      <w:bookmarkStart w:id="23" w:name="_Toc85258849"/>
      <w:bookmarkStart w:id="24" w:name="_Ref6308431"/>
      <w:bookmarkStart w:id="25" w:name="_Toc474665433"/>
      <w:bookmarkStart w:id="26" w:name="_Hlk6315687"/>
      <w:bookmarkEnd w:id="7"/>
      <w:r w:rsidRPr="00D433EE">
        <w:t>Quality</w:t>
      </w:r>
      <w:r w:rsidRPr="00D811AF">
        <w:t xml:space="preserve"> System Requirements</w:t>
      </w:r>
      <w:bookmarkEnd w:id="15"/>
      <w:bookmarkEnd w:id="16"/>
    </w:p>
    <w:p w14:paraId="3D8AFE17" w14:textId="72B0E92D" w:rsidR="004F31DE" w:rsidRPr="00D811AF" w:rsidRDefault="004F31DE" w:rsidP="004F31DE">
      <w:pPr>
        <w:pStyle w:val="Bodynumbered1"/>
        <w:rPr>
          <w:shd w:val="solid" w:color="auto" w:fill="auto"/>
        </w:rPr>
      </w:pPr>
      <w:r w:rsidRPr="00D811AF">
        <w:t xml:space="preserve">The Geopolymer Concrete must </w:t>
      </w:r>
      <w:bookmarkStart w:id="27" w:name="_Hlk21525639"/>
      <w:r w:rsidRPr="00D811AF">
        <w:t xml:space="preserve">be manufactured under a quality management system which has been </w:t>
      </w:r>
      <w:r w:rsidRPr="004F31DE">
        <w:t>independently</w:t>
      </w:r>
      <w:r w:rsidRPr="00D811AF">
        <w:t xml:space="preserve"> certified by a JASANZ accredited organisation as fully complying with AS/NZS ISO 9001.</w:t>
      </w:r>
      <w:bookmarkEnd w:id="27"/>
      <w:r w:rsidRPr="00D811AF">
        <w:br/>
      </w:r>
    </w:p>
    <w:tbl>
      <w:tblPr>
        <w:tblStyle w:val="TableGrid"/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80" w:firstRow="0" w:lastRow="0" w:firstColumn="1" w:lastColumn="0" w:noHBand="0" w:noVBand="1"/>
      </w:tblPr>
      <w:tblGrid>
        <w:gridCol w:w="9639"/>
      </w:tblGrid>
      <w:tr w:rsidR="004F31DE" w:rsidRPr="00D811AF" w14:paraId="35CEDC34" w14:textId="77777777" w:rsidTr="004F31DE">
        <w:tc>
          <w:tcPr>
            <w:tcW w:w="9639" w:type="dxa"/>
            <w:shd w:val="clear" w:color="auto" w:fill="D9D9D9" w:themeFill="background1" w:themeFillShade="D9"/>
          </w:tcPr>
          <w:p w14:paraId="1842993E" w14:textId="77777777" w:rsidR="004F31DE" w:rsidRPr="004F31DE" w:rsidRDefault="004F31DE" w:rsidP="005A462D">
            <w:pPr>
              <w:spacing w:before="120"/>
              <w:rPr>
                <w:b/>
                <w:bCs/>
                <w:color w:val="004259"/>
                <w:szCs w:val="20"/>
              </w:rPr>
            </w:pPr>
            <w:r w:rsidRPr="004F31DE">
              <w:rPr>
                <w:rFonts w:cs="Arial"/>
                <w:b/>
                <w:bCs/>
                <w:color w:val="004259"/>
                <w:szCs w:val="20"/>
              </w:rPr>
              <w:t>For Works constructed in Queensland, the following additional requirement applies:</w:t>
            </w:r>
          </w:p>
          <w:p w14:paraId="4DFD8DAE" w14:textId="77777777" w:rsidR="004F31DE" w:rsidRPr="005A15C7" w:rsidRDefault="004F31DE" w:rsidP="004F31DE">
            <w:pPr>
              <w:pStyle w:val="Bodynumbered1"/>
              <w:rPr>
                <w:b/>
              </w:rPr>
            </w:pPr>
            <w:r w:rsidRPr="004F31DE">
              <w:t>Fly</w:t>
            </w:r>
            <w:r w:rsidRPr="005A15C7">
              <w:t xml:space="preserve"> ash, slag and amorphous silica pre-cursors must be a Transport and Main Roads registered product and the manufacturer must be a Registered Supplier.</w:t>
            </w:r>
          </w:p>
          <w:p w14:paraId="5EEC99A3" w14:textId="5CE8E71C" w:rsidR="004F31DE" w:rsidRPr="004F31DE" w:rsidRDefault="004F31DE" w:rsidP="004F31DE">
            <w:pPr>
              <w:pStyle w:val="BodyTextIndent"/>
              <w:rPr>
                <w:b/>
              </w:rPr>
            </w:pPr>
            <w:r w:rsidRPr="005A15C7">
              <w:t>Further details are available from:</w:t>
            </w:r>
            <w:r>
              <w:br/>
            </w:r>
            <w:hyperlink r:id="rId12" w:history="1">
              <w:r w:rsidRPr="003A53FD">
                <w:rPr>
                  <w:rStyle w:val="Hyperlink"/>
                  <w:rFonts w:eastAsia="SimSun" w:cs="Arial"/>
                  <w:bCs/>
                </w:rPr>
                <w:t>https://www.tmr.qld.gov.au/business-industry/Business-with-us/Approved-products-and-suppliers</w:t>
              </w:r>
            </w:hyperlink>
          </w:p>
        </w:tc>
      </w:tr>
    </w:tbl>
    <w:p w14:paraId="5BE2967F" w14:textId="77777777" w:rsidR="004F31DE" w:rsidRPr="004F31DE" w:rsidRDefault="004F31DE" w:rsidP="00AD29BB">
      <w:pPr>
        <w:pStyle w:val="Heading1"/>
        <w:keepNext w:val="0"/>
        <w:pageBreakBefore/>
      </w:pPr>
      <w:bookmarkStart w:id="28" w:name="_Ref15471791"/>
      <w:bookmarkStart w:id="29" w:name="_Ref15472262"/>
      <w:bookmarkStart w:id="30" w:name="_Toc25162428"/>
      <w:bookmarkStart w:id="31" w:name="_Toc29543877"/>
      <w:r w:rsidRPr="004F31DE">
        <w:lastRenderedPageBreak/>
        <w:t>Manufacturer Competency</w:t>
      </w:r>
      <w:bookmarkEnd w:id="17"/>
      <w:bookmarkEnd w:id="18"/>
      <w:bookmarkEnd w:id="19"/>
      <w:bookmarkEnd w:id="20"/>
      <w:bookmarkEnd w:id="21"/>
      <w:bookmarkEnd w:id="22"/>
      <w:bookmarkEnd w:id="23"/>
      <w:bookmarkEnd w:id="28"/>
      <w:bookmarkEnd w:id="29"/>
      <w:bookmarkEnd w:id="30"/>
      <w:bookmarkEnd w:id="31"/>
    </w:p>
    <w:p w14:paraId="1EB47DA6" w14:textId="77777777" w:rsidR="004F31DE" w:rsidRPr="00D811AF" w:rsidRDefault="004F31DE" w:rsidP="004F31DE">
      <w:pPr>
        <w:pStyle w:val="Bodynumbered1"/>
      </w:pPr>
      <w:bookmarkStart w:id="32" w:name="_Ref6486827"/>
      <w:r w:rsidRPr="00D811AF">
        <w:t xml:space="preserve">Geopolymer </w:t>
      </w:r>
      <w:r w:rsidRPr="003B308C">
        <w:rPr>
          <w:sz w:val="18"/>
          <w:szCs w:val="18"/>
        </w:rPr>
        <w:t>Concrete</w:t>
      </w:r>
      <w:r w:rsidRPr="00D811AF">
        <w:t xml:space="preserve"> must be supplied by a </w:t>
      </w:r>
      <w:bookmarkStart w:id="33" w:name="_Hlk6318906"/>
      <w:r w:rsidRPr="00D811AF">
        <w:t xml:space="preserve">manufacturer / licensed technology provider </w:t>
      </w:r>
      <w:bookmarkEnd w:id="33"/>
      <w:r w:rsidRPr="00D811AF">
        <w:t>with at least 12 months experience in the commercial supply of Geopolymer Concrete.</w:t>
      </w:r>
    </w:p>
    <w:p w14:paraId="0D451848" w14:textId="77777777" w:rsidR="004F31DE" w:rsidRPr="00E769AB" w:rsidRDefault="004F31DE" w:rsidP="00E769AB">
      <w:pPr>
        <w:pStyle w:val="Bodynumbered1"/>
      </w:pPr>
      <w:bookmarkStart w:id="34" w:name="_Ref14859896"/>
      <w:bookmarkEnd w:id="32"/>
      <w:r w:rsidRPr="00E769AB">
        <w:t>The manufactur</w:t>
      </w:r>
      <w:bookmarkStart w:id="35" w:name="_GoBack"/>
      <w:bookmarkEnd w:id="35"/>
      <w:r w:rsidRPr="00E769AB">
        <w:t>er / licensed technology provider must have submitted the following to the Principal within the 12 months preceding the supply of Geopolymer Concrete under this Specification:</w:t>
      </w:r>
      <w:bookmarkEnd w:id="34"/>
    </w:p>
    <w:p w14:paraId="2EC146DE" w14:textId="77777777" w:rsidR="004F31DE" w:rsidRPr="00D811AF" w:rsidRDefault="004F31DE" w:rsidP="00883D81">
      <w:pPr>
        <w:pStyle w:val="Bodynumbered2"/>
        <w:numPr>
          <w:ilvl w:val="0"/>
          <w:numId w:val="23"/>
        </w:numPr>
        <w:ind w:left="993" w:hanging="426"/>
      </w:pPr>
      <w:r w:rsidRPr="00D811AF">
        <w:t xml:space="preserve">details of the mix design (including strength grade, nominated slump, and types, proportion by mass, sources, and registration numbers of the various constituent materials), except that only a generic description of </w:t>
      </w:r>
      <w:r>
        <w:t xml:space="preserve">each chemical component of </w:t>
      </w:r>
      <w:r w:rsidRPr="00D811AF">
        <w:t>the activator is required; and</w:t>
      </w:r>
    </w:p>
    <w:p w14:paraId="47C87BC7" w14:textId="77777777" w:rsidR="004F31DE" w:rsidRPr="00D811AF" w:rsidRDefault="004F31DE" w:rsidP="00D433EE">
      <w:pPr>
        <w:pStyle w:val="Bodynumbered2"/>
        <w:keepNext/>
      </w:pPr>
      <w:r w:rsidRPr="00D811AF">
        <w:t>test results from a NATA accredited laboratory demonstrating that the proposed Geopolymer Concrete complies with the properties listed in this Specification.</w:t>
      </w:r>
    </w:p>
    <w:tbl>
      <w:tblPr>
        <w:tblStyle w:val="TMTable"/>
        <w:tblW w:w="8931" w:type="dxa"/>
        <w:tblInd w:w="557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4F31DE" w:rsidRPr="00D811AF" w14:paraId="74EFE666" w14:textId="77777777" w:rsidTr="00AD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shd w:val="clear" w:color="auto" w:fill="004259"/>
          </w:tcPr>
          <w:p w14:paraId="714165EB" w14:textId="1904855C" w:rsidR="004F31DE" w:rsidRPr="004F31DE" w:rsidRDefault="004F31DE" w:rsidP="00AD29BB">
            <w:pPr>
              <w:pStyle w:val="TableHeading"/>
            </w:pPr>
            <w:bookmarkStart w:id="36" w:name="_Hlk516753184"/>
            <w:r w:rsidRPr="004F31DE">
              <w:t>HOLD POINT 1</w:t>
            </w:r>
            <w:r w:rsidR="00D433EE">
              <w:t xml:space="preserve"> </w:t>
            </w:r>
          </w:p>
        </w:tc>
      </w:tr>
      <w:tr w:rsidR="004F31DE" w:rsidRPr="00D811AF" w14:paraId="1EA33C3F" w14:textId="77777777" w:rsidTr="00AD29BB">
        <w:tc>
          <w:tcPr>
            <w:tcW w:w="1985" w:type="dxa"/>
          </w:tcPr>
          <w:p w14:paraId="3266C4FA" w14:textId="77777777" w:rsidR="004F31DE" w:rsidRPr="00D811AF" w:rsidRDefault="004F31DE" w:rsidP="00AD29BB">
            <w:pPr>
              <w:pStyle w:val="TableBodyText"/>
              <w:rPr>
                <w:b/>
              </w:rPr>
            </w:pPr>
            <w:r w:rsidRPr="00D811AF">
              <w:t>Process Held</w:t>
            </w:r>
          </w:p>
        </w:tc>
        <w:tc>
          <w:tcPr>
            <w:tcW w:w="6946" w:type="dxa"/>
          </w:tcPr>
          <w:p w14:paraId="2B9F7048" w14:textId="77777777" w:rsidR="004F31DE" w:rsidRPr="00D811AF" w:rsidRDefault="004F31DE" w:rsidP="00AD29BB">
            <w:pPr>
              <w:pStyle w:val="TableBodyText"/>
              <w:rPr>
                <w:b/>
              </w:rPr>
            </w:pPr>
            <w:r w:rsidRPr="00D811AF">
              <w:t>Supply of Geopolymer Concrete</w:t>
            </w:r>
          </w:p>
        </w:tc>
      </w:tr>
      <w:tr w:rsidR="004F31DE" w:rsidRPr="00D811AF" w14:paraId="22AAC74E" w14:textId="77777777" w:rsidTr="00AD29BB">
        <w:tc>
          <w:tcPr>
            <w:tcW w:w="1985" w:type="dxa"/>
          </w:tcPr>
          <w:p w14:paraId="774AF84D" w14:textId="77777777" w:rsidR="004F31DE" w:rsidRPr="00D811AF" w:rsidRDefault="004F31DE" w:rsidP="00AD29BB">
            <w:pPr>
              <w:pStyle w:val="TableBodyText"/>
            </w:pPr>
            <w:r w:rsidRPr="00D811AF">
              <w:t>Submission Details</w:t>
            </w:r>
          </w:p>
        </w:tc>
        <w:tc>
          <w:tcPr>
            <w:tcW w:w="6946" w:type="dxa"/>
          </w:tcPr>
          <w:p w14:paraId="1224A3C0" w14:textId="145B81DD" w:rsidR="004F31DE" w:rsidRPr="00D811AF" w:rsidRDefault="004F31DE" w:rsidP="00AD29BB">
            <w:pPr>
              <w:pStyle w:val="TableBodyText"/>
            </w:pPr>
            <w:r w:rsidRPr="00D811AF">
              <w:t xml:space="preserve">Evidence that the manufacturer / licensed technology provider has complied with </w:t>
            </w:r>
            <w:r>
              <w:t xml:space="preserve">Clause </w:t>
            </w:r>
            <w:r>
              <w:fldChar w:fldCharType="begin"/>
            </w:r>
            <w:r>
              <w:instrText xml:space="preserve"> REF _Ref15472262 \r \h </w:instrText>
            </w:r>
            <w:r w:rsidR="00AD29BB">
              <w:instrText xml:space="preserve"> \* MERGEFORMAT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begin"/>
            </w:r>
            <w:r>
              <w:instrText xml:space="preserve"> REF _Ref14859896 \r \h </w:instrText>
            </w:r>
            <w:r w:rsidR="00AD29BB">
              <w:instrText xml:space="preserve"> \* MERGEFORMAT </w:instrText>
            </w:r>
            <w:r>
              <w:fldChar w:fldCharType="separate"/>
            </w:r>
            <w:r>
              <w:t>5.2</w:t>
            </w:r>
            <w:r>
              <w:fldChar w:fldCharType="end"/>
            </w:r>
            <w:r w:rsidRPr="00D811AF">
              <w:t xml:space="preserve"> must be provided at least 7 days prior to the manufacture of the Geopolymer Concrete</w:t>
            </w:r>
          </w:p>
        </w:tc>
      </w:tr>
    </w:tbl>
    <w:p w14:paraId="0CACCAEA" w14:textId="77777777" w:rsidR="004F31DE" w:rsidRPr="004F31DE" w:rsidRDefault="004F31DE" w:rsidP="00043630">
      <w:pPr>
        <w:pStyle w:val="Heading1"/>
      </w:pPr>
      <w:bookmarkStart w:id="37" w:name="_Ref15472216"/>
      <w:bookmarkStart w:id="38" w:name="_Toc25162429"/>
      <w:bookmarkStart w:id="39" w:name="_Toc29543878"/>
      <w:bookmarkEnd w:id="24"/>
      <w:bookmarkEnd w:id="25"/>
      <w:bookmarkEnd w:id="26"/>
      <w:bookmarkEnd w:id="36"/>
      <w:r w:rsidRPr="004F31DE">
        <w:t>Manufacture of Geopolymer Concrete</w:t>
      </w:r>
      <w:bookmarkEnd w:id="37"/>
      <w:bookmarkEnd w:id="38"/>
      <w:bookmarkEnd w:id="39"/>
    </w:p>
    <w:p w14:paraId="5BF122BC" w14:textId="77777777" w:rsidR="004F31DE" w:rsidRPr="004F31DE" w:rsidRDefault="004F31DE" w:rsidP="004F31DE">
      <w:pPr>
        <w:pStyle w:val="Heading2"/>
      </w:pPr>
      <w:bookmarkStart w:id="40" w:name="_Toc29543879"/>
      <w:r w:rsidRPr="004F31DE">
        <w:t>General</w:t>
      </w:r>
      <w:bookmarkEnd w:id="40"/>
    </w:p>
    <w:p w14:paraId="4CCE7B2F" w14:textId="77777777" w:rsidR="004F31DE" w:rsidRPr="0058186A" w:rsidRDefault="004F31DE" w:rsidP="004F31DE">
      <w:pPr>
        <w:pStyle w:val="Bodynumbered1"/>
      </w:pPr>
      <w:r w:rsidRPr="0058186A">
        <w:t xml:space="preserve">The Geopolymer Concrete and its constituent materials must conform to this Specification. </w:t>
      </w:r>
    </w:p>
    <w:p w14:paraId="2858A1B4" w14:textId="2912B9EC" w:rsidR="004F31DE" w:rsidRPr="0058186A" w:rsidRDefault="004F31DE" w:rsidP="004F31DE">
      <w:pPr>
        <w:pStyle w:val="Bodynumbered1"/>
      </w:pPr>
      <w:bookmarkStart w:id="41" w:name="_Ref15472225"/>
      <w:bookmarkStart w:id="42" w:name="_Hlk21525838"/>
      <w:r w:rsidRPr="0058186A">
        <w:t>The manufacturing plant and equipment, production, delivery, sampling and testing of Geopolymer Concrete must comply with the requirements specified for concrete in</w:t>
      </w:r>
      <w:r w:rsidR="00D433EE">
        <w:t xml:space="preserve"> </w:t>
      </w:r>
      <w:r w:rsidRPr="0058186A">
        <w:t>AS 1379.</w:t>
      </w:r>
      <w:bookmarkEnd w:id="41"/>
    </w:p>
    <w:bookmarkEnd w:id="42"/>
    <w:p w14:paraId="6B4031E2" w14:textId="77777777" w:rsidR="004F31DE" w:rsidRDefault="004F31DE" w:rsidP="004F31DE">
      <w:pPr>
        <w:pStyle w:val="Bodynumbered1"/>
      </w:pPr>
      <w:r w:rsidRPr="0058186A">
        <w:t>The mix design for each Geopolymer Concrete strength grade must have a unique identification number.</w:t>
      </w:r>
    </w:p>
    <w:p w14:paraId="142E948F" w14:textId="77777777" w:rsidR="004F31DE" w:rsidRPr="0058186A" w:rsidRDefault="004F31DE" w:rsidP="004F31DE">
      <w:pPr>
        <w:pStyle w:val="Bodynumbered1"/>
      </w:pPr>
      <w:proofErr w:type="spellStart"/>
      <w:r w:rsidRPr="0058186A">
        <w:t>Flyash</w:t>
      </w:r>
      <w:proofErr w:type="spellEnd"/>
      <w:r w:rsidRPr="0058186A">
        <w:t>, slag and silica fume must:</w:t>
      </w:r>
    </w:p>
    <w:p w14:paraId="5A05E280" w14:textId="77777777" w:rsidR="004F31DE" w:rsidRPr="0058186A" w:rsidRDefault="004F31DE" w:rsidP="00D433EE">
      <w:pPr>
        <w:pStyle w:val="Bodynumbered2"/>
        <w:numPr>
          <w:ilvl w:val="0"/>
          <w:numId w:val="24"/>
        </w:numPr>
        <w:spacing w:before="100" w:after="100"/>
        <w:ind w:left="992" w:hanging="425"/>
      </w:pPr>
      <w:r w:rsidRPr="0058186A">
        <w:t>comply with the requirements of AS 3582.1 and ATIC</w:t>
      </w:r>
      <w:r w:rsidRPr="0058186A">
        <w:noBreakHyphen/>
        <w:t>SPEC </w:t>
      </w:r>
      <w:proofErr w:type="gramStart"/>
      <w:r w:rsidRPr="0058186A">
        <w:t>SP43;</w:t>
      </w:r>
      <w:proofErr w:type="gramEnd"/>
    </w:p>
    <w:p w14:paraId="2ECF3D51" w14:textId="77777777" w:rsidR="004F31DE" w:rsidRPr="0058186A" w:rsidRDefault="004F31DE" w:rsidP="00D433EE">
      <w:pPr>
        <w:pStyle w:val="Bodynumbered2"/>
        <w:spacing w:before="100" w:after="100"/>
        <w:ind w:left="992" w:hanging="425"/>
      </w:pPr>
      <w:r w:rsidRPr="0058186A">
        <w:t>be registered under the Cementitious Material Registration Scheme (CMRS) in accordance with ATIC</w:t>
      </w:r>
      <w:r w:rsidRPr="0058186A">
        <w:noBreakHyphen/>
        <w:t>SPEC SP43; and</w:t>
      </w:r>
    </w:p>
    <w:p w14:paraId="5F7006B8" w14:textId="77777777" w:rsidR="004F31DE" w:rsidRPr="0058186A" w:rsidRDefault="004F31DE" w:rsidP="00D433EE">
      <w:pPr>
        <w:pStyle w:val="Bodynumbered2"/>
        <w:spacing w:before="100" w:after="100"/>
        <w:ind w:left="992" w:hanging="425"/>
      </w:pPr>
      <w:r w:rsidRPr="0058186A">
        <w:t>not be used in the manufacture of Geopolymer Concrete if it is more than 3 months old, unless it is re</w:t>
      </w:r>
      <w:r w:rsidRPr="0058186A">
        <w:noBreakHyphen/>
        <w:t>tested to demonstrate compliance with this Specification.</w:t>
      </w:r>
    </w:p>
    <w:p w14:paraId="67BEA6D2" w14:textId="77777777" w:rsidR="004F31DE" w:rsidRPr="0058186A" w:rsidRDefault="004F31DE" w:rsidP="004F31DE">
      <w:pPr>
        <w:pStyle w:val="Bodynumbered1"/>
      </w:pPr>
      <w:r w:rsidRPr="0058186A">
        <w:t>Super-workable Geopolymer Concrete is not permitted.</w:t>
      </w:r>
    </w:p>
    <w:p w14:paraId="1812A84C" w14:textId="77777777" w:rsidR="004F31DE" w:rsidRPr="004F31DE" w:rsidRDefault="004F31DE" w:rsidP="004F31DE">
      <w:pPr>
        <w:pStyle w:val="Heading2"/>
      </w:pPr>
      <w:bookmarkStart w:id="43" w:name="_Toc29543880"/>
      <w:r w:rsidRPr="004F31DE">
        <w:t>Water</w:t>
      </w:r>
      <w:bookmarkEnd w:id="43"/>
    </w:p>
    <w:p w14:paraId="1ECF3591" w14:textId="4C679A7A" w:rsidR="004F31DE" w:rsidRPr="00D811AF" w:rsidRDefault="004F31DE" w:rsidP="004F31DE">
      <w:pPr>
        <w:pStyle w:val="Bodynumbered1"/>
        <w:rPr>
          <w:bCs/>
        </w:rPr>
      </w:pPr>
      <w:r w:rsidRPr="00D811AF">
        <w:t>The quality of water to be used in the mix and for the curing of Geopolymer Concrete must comply with the requirements of Clause 2.4 of AS 1379.</w:t>
      </w:r>
      <w:r w:rsidR="00D433EE">
        <w:t xml:space="preserve"> </w:t>
      </w:r>
      <w:r w:rsidRPr="00D811AF">
        <w:t xml:space="preserve">However, </w:t>
      </w:r>
      <w:r>
        <w:t>f</w:t>
      </w:r>
      <w:r w:rsidRPr="00D811AF">
        <w:t>or sources other than water drawn from a stable reticulated drinking water supply, the amounts of chloride in the water must be not greater than 0.03% and the</w:t>
      </w:r>
      <w:r w:rsidR="00D433EE">
        <w:t xml:space="preserve"> </w:t>
      </w:r>
      <w:r w:rsidRPr="00D811AF">
        <w:t>amount of sulphate (as SO</w:t>
      </w:r>
      <w:r w:rsidRPr="00D811AF">
        <w:rPr>
          <w:vertAlign w:val="subscript"/>
        </w:rPr>
        <w:t>4</w:t>
      </w:r>
      <w:r w:rsidRPr="00D811AF">
        <w:t>) in water must not be greater than 0.04% when tested in accordance with the test methods listed in Table 2.3 of AS1379.</w:t>
      </w:r>
    </w:p>
    <w:p w14:paraId="0E46B9DF" w14:textId="77777777" w:rsidR="004F31DE" w:rsidRPr="004F31DE" w:rsidRDefault="004F31DE" w:rsidP="004F31DE">
      <w:pPr>
        <w:pStyle w:val="Heading2"/>
      </w:pPr>
      <w:bookmarkStart w:id="44" w:name="_Toc29543881"/>
      <w:r w:rsidRPr="004F31DE">
        <w:lastRenderedPageBreak/>
        <w:t>Addition of Water at the Slump Stand</w:t>
      </w:r>
      <w:bookmarkEnd w:id="44"/>
    </w:p>
    <w:p w14:paraId="4A554A59" w14:textId="727B7174" w:rsidR="004F31DE" w:rsidRDefault="004F31DE" w:rsidP="004F31DE">
      <w:pPr>
        <w:pStyle w:val="Bodynumbered1"/>
      </w:pPr>
      <w:bookmarkStart w:id="45" w:name="_Ref21523214"/>
      <w:r w:rsidRPr="0058186A">
        <w:t xml:space="preserve">Slump stand water meters must be initially </w:t>
      </w:r>
      <w:proofErr w:type="gramStart"/>
      <w:r w:rsidRPr="0058186A">
        <w:t>zeroed</w:t>
      </w:r>
      <w:proofErr w:type="gramEnd"/>
      <w:r w:rsidRPr="0058186A">
        <w:t xml:space="preserve"> and actual amounts of water added into the agitator drum must be accurately recorded.</w:t>
      </w:r>
      <w:r w:rsidR="00D433EE">
        <w:t xml:space="preserve"> </w:t>
      </w:r>
      <w:r>
        <w:t>The following r</w:t>
      </w:r>
      <w:r w:rsidRPr="0058186A">
        <w:t>ecords must be made available for review by the Principal upon request</w:t>
      </w:r>
      <w:r>
        <w:t>:</w:t>
      </w:r>
      <w:bookmarkEnd w:id="45"/>
    </w:p>
    <w:p w14:paraId="451203DC" w14:textId="77777777" w:rsidR="004F31DE" w:rsidRDefault="004F31DE" w:rsidP="00D433EE">
      <w:pPr>
        <w:pStyle w:val="Bodynumbered2"/>
        <w:numPr>
          <w:ilvl w:val="0"/>
          <w:numId w:val="25"/>
        </w:numPr>
        <w:spacing w:before="100" w:after="100"/>
        <w:ind w:left="992" w:hanging="425"/>
      </w:pPr>
      <w:r w:rsidRPr="0058186A">
        <w:t>actual amount of water added into the agitator drum at the slump stand,</w:t>
      </w:r>
    </w:p>
    <w:p w14:paraId="5F2AEC5B" w14:textId="77777777" w:rsidR="004F31DE" w:rsidRDefault="004F31DE" w:rsidP="00D433EE">
      <w:pPr>
        <w:pStyle w:val="Bodynumbered2"/>
        <w:spacing w:before="100" w:after="100"/>
        <w:ind w:left="992" w:hanging="425"/>
      </w:pPr>
      <w:r>
        <w:t>time that the water is added; and</w:t>
      </w:r>
    </w:p>
    <w:p w14:paraId="0CBA4C4F" w14:textId="77777777" w:rsidR="004F31DE" w:rsidRPr="0058186A" w:rsidRDefault="004F31DE" w:rsidP="00D433EE">
      <w:pPr>
        <w:pStyle w:val="Bodynumbered2"/>
        <w:spacing w:before="100" w:after="100"/>
        <w:ind w:left="992" w:hanging="425"/>
      </w:pPr>
      <w:r w:rsidRPr="0058186A">
        <w:t>calculated maximum permissible amount of water that can be added</w:t>
      </w:r>
      <w:r>
        <w:t>.</w:t>
      </w:r>
    </w:p>
    <w:p w14:paraId="620E1FBB" w14:textId="77777777" w:rsidR="004F31DE" w:rsidRPr="004F31DE" w:rsidRDefault="004F31DE" w:rsidP="004F31DE">
      <w:pPr>
        <w:pStyle w:val="Heading1"/>
      </w:pPr>
      <w:bookmarkStart w:id="46" w:name="_Toc85027765"/>
      <w:bookmarkStart w:id="47" w:name="_Toc85027810"/>
      <w:bookmarkStart w:id="48" w:name="_Toc85255846"/>
      <w:bookmarkStart w:id="49" w:name="_Toc85255905"/>
      <w:bookmarkStart w:id="50" w:name="_Toc85255964"/>
      <w:bookmarkStart w:id="51" w:name="_Toc85256284"/>
      <w:bookmarkStart w:id="52" w:name="_Toc85258845"/>
      <w:bookmarkStart w:id="53" w:name="_Ref15471825"/>
      <w:bookmarkStart w:id="54" w:name="_Toc25162430"/>
      <w:bookmarkStart w:id="55" w:name="_Toc29543882"/>
      <w:r w:rsidRPr="004F31DE">
        <w:t>Delivery of Geopolymer Concrete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2E42924" w14:textId="77777777" w:rsidR="004F31DE" w:rsidRPr="004F31DE" w:rsidRDefault="004F31DE" w:rsidP="004F31DE">
      <w:pPr>
        <w:pStyle w:val="Heading2"/>
      </w:pPr>
      <w:bookmarkStart w:id="56" w:name="_Toc29543883"/>
      <w:bookmarkStart w:id="57" w:name="_Hlk6316158"/>
      <w:r w:rsidRPr="004F31DE">
        <w:t>General</w:t>
      </w:r>
      <w:bookmarkEnd w:id="56"/>
    </w:p>
    <w:p w14:paraId="160B2C9D" w14:textId="77777777" w:rsidR="004F31DE" w:rsidRPr="0058186A" w:rsidRDefault="004F31DE" w:rsidP="004F31DE">
      <w:pPr>
        <w:pStyle w:val="Bodynumbered1"/>
      </w:pPr>
      <w:r w:rsidRPr="0058186A">
        <w:t>Water may be added to the freshly mixed Geopolymer Concrete prior to commencement of discharge, subject to:</w:t>
      </w:r>
    </w:p>
    <w:p w14:paraId="45BB310B" w14:textId="77777777" w:rsidR="004F31DE" w:rsidRPr="00883D81" w:rsidRDefault="004F31DE" w:rsidP="00D433EE">
      <w:pPr>
        <w:pStyle w:val="Bodynumbered2"/>
        <w:numPr>
          <w:ilvl w:val="0"/>
          <w:numId w:val="26"/>
        </w:numPr>
        <w:spacing w:before="100" w:after="100"/>
        <w:ind w:left="992" w:hanging="425"/>
        <w:rPr>
          <w:rFonts w:eastAsia="Times New Roman"/>
        </w:rPr>
      </w:pPr>
      <w:r w:rsidRPr="00883D81">
        <w:rPr>
          <w:rFonts w:eastAsia="Times New Roman"/>
        </w:rPr>
        <w:t xml:space="preserve">obtaining the manufacturer’s prior </w:t>
      </w:r>
      <w:proofErr w:type="gramStart"/>
      <w:r w:rsidRPr="00883D81">
        <w:rPr>
          <w:rFonts w:eastAsia="Times New Roman"/>
        </w:rPr>
        <w:t>approval;</w:t>
      </w:r>
      <w:proofErr w:type="gramEnd"/>
    </w:p>
    <w:p w14:paraId="39553AB4" w14:textId="77777777" w:rsidR="004F31DE" w:rsidRPr="0058186A" w:rsidRDefault="004F31DE" w:rsidP="00D433EE">
      <w:pPr>
        <w:pStyle w:val="Bodynumbered2"/>
        <w:spacing w:before="100" w:after="100"/>
        <w:ind w:left="992" w:hanging="425"/>
        <w:rPr>
          <w:rFonts w:eastAsia="Times New Roman"/>
        </w:rPr>
      </w:pPr>
      <w:r w:rsidRPr="0058186A">
        <w:t>no more than 10 l/m</w:t>
      </w:r>
      <w:r w:rsidRPr="0058186A">
        <w:rPr>
          <w:vertAlign w:val="superscript"/>
        </w:rPr>
        <w:t xml:space="preserve">3 </w:t>
      </w:r>
      <w:r w:rsidRPr="0058186A">
        <w:t xml:space="preserve">is </w:t>
      </w:r>
      <w:proofErr w:type="gramStart"/>
      <w:r w:rsidRPr="0058186A">
        <w:t>added;</w:t>
      </w:r>
      <w:proofErr w:type="gramEnd"/>
    </w:p>
    <w:p w14:paraId="15B9DEB7" w14:textId="6FC782A3" w:rsidR="004F31DE" w:rsidRPr="00D109A3" w:rsidRDefault="004F31DE" w:rsidP="00D433EE">
      <w:pPr>
        <w:pStyle w:val="Bodynumbered2"/>
        <w:spacing w:before="100" w:after="100"/>
        <w:ind w:left="992" w:hanging="425"/>
        <w:rPr>
          <w:rFonts w:eastAsia="Times New Roman"/>
        </w:rPr>
      </w:pPr>
      <w:r>
        <w:t>the records generated under Clause</w:t>
      </w:r>
      <w:r w:rsidR="00D433EE">
        <w:t xml:space="preserve"> </w:t>
      </w:r>
      <w:r>
        <w:fldChar w:fldCharType="begin"/>
      </w:r>
      <w:r>
        <w:instrText xml:space="preserve"> REF _Ref21523214 \r \h </w:instrText>
      </w:r>
      <w:r w:rsidR="00883D81">
        <w:instrText xml:space="preserve"> \* MERGEFORMAT </w:instrText>
      </w:r>
      <w:r>
        <w:fldChar w:fldCharType="separate"/>
      </w:r>
      <w:r w:rsidR="00D433EE">
        <w:t>6.7</w:t>
      </w:r>
      <w:r>
        <w:fldChar w:fldCharType="end"/>
      </w:r>
      <w:r>
        <w:t xml:space="preserve"> are available for </w:t>
      </w:r>
      <w:proofErr w:type="gramStart"/>
      <w:r>
        <w:t>inspection;</w:t>
      </w:r>
      <w:proofErr w:type="gramEnd"/>
    </w:p>
    <w:p w14:paraId="16A1C55C" w14:textId="77777777" w:rsidR="004F31DE" w:rsidRPr="0058186A" w:rsidRDefault="004F31DE" w:rsidP="00D433EE">
      <w:pPr>
        <w:pStyle w:val="Bodynumbered2"/>
        <w:spacing w:before="100" w:after="100"/>
        <w:ind w:left="992" w:hanging="425"/>
        <w:rPr>
          <w:rFonts w:eastAsia="Times New Roman"/>
        </w:rPr>
      </w:pPr>
      <w:r w:rsidRPr="0058186A">
        <w:t xml:space="preserve">no more than 45 minutes has elapsed since </w:t>
      </w:r>
      <w:proofErr w:type="gramStart"/>
      <w:r w:rsidRPr="0058186A">
        <w:t>batching;</w:t>
      </w:r>
      <w:proofErr w:type="gramEnd"/>
    </w:p>
    <w:p w14:paraId="571D1AB6" w14:textId="77777777" w:rsidR="004F31DE" w:rsidRPr="0058186A" w:rsidRDefault="004F31DE" w:rsidP="00D433EE">
      <w:pPr>
        <w:pStyle w:val="Bodynumbered2"/>
        <w:spacing w:before="100" w:after="100"/>
        <w:ind w:left="992" w:hanging="425"/>
        <w:rPr>
          <w:rFonts w:eastAsia="Times New Roman"/>
        </w:rPr>
      </w:pPr>
      <w:r w:rsidRPr="0058186A">
        <w:rPr>
          <w:rFonts w:eastAsia="Times New Roman"/>
        </w:rPr>
        <w:t xml:space="preserve">the maximum water / Geopolymer Binder ratio is not exceeded; and </w:t>
      </w:r>
    </w:p>
    <w:p w14:paraId="12968C1D" w14:textId="77777777" w:rsidR="004F31DE" w:rsidRPr="0058186A" w:rsidRDefault="004F31DE" w:rsidP="00D433EE">
      <w:pPr>
        <w:pStyle w:val="Bodynumbered2"/>
        <w:spacing w:before="100" w:after="100"/>
        <w:ind w:left="992" w:hanging="425"/>
        <w:rPr>
          <w:rFonts w:eastAsia="Times New Roman"/>
        </w:rPr>
      </w:pPr>
      <w:r w:rsidRPr="0058186A">
        <w:rPr>
          <w:rFonts w:eastAsia="Times New Roman"/>
        </w:rPr>
        <w:t>a means of accurately measuring the volume of water is utilised.</w:t>
      </w:r>
    </w:p>
    <w:p w14:paraId="3489FFC4" w14:textId="77777777" w:rsidR="004F31DE" w:rsidRPr="0058186A" w:rsidRDefault="004F31DE" w:rsidP="004F31DE">
      <w:pPr>
        <w:pStyle w:val="Bodynumbered1"/>
      </w:pPr>
      <w:r w:rsidRPr="0058186A">
        <w:t>Water must not be added after commencement of discharge of Geopolymer Concrete.</w:t>
      </w:r>
    </w:p>
    <w:p w14:paraId="2D25C3C4" w14:textId="77777777" w:rsidR="004F31DE" w:rsidRPr="0058186A" w:rsidRDefault="004F31DE" w:rsidP="004F31DE">
      <w:pPr>
        <w:pStyle w:val="Bodynumbered1"/>
      </w:pPr>
      <w:r w:rsidRPr="0058186A">
        <w:t>Prior to the discharge of Geopolymer Concrete at the site, the mixer or agitator must be operated at mixing speed for not less than three minutes.</w:t>
      </w:r>
    </w:p>
    <w:p w14:paraId="0E196BF0" w14:textId="77777777" w:rsidR="004F31DE" w:rsidRPr="004F31DE" w:rsidRDefault="004F31DE" w:rsidP="004F31DE">
      <w:pPr>
        <w:pStyle w:val="Heading2"/>
      </w:pPr>
      <w:bookmarkStart w:id="58" w:name="_Toc29543884"/>
      <w:bookmarkEnd w:id="57"/>
      <w:r w:rsidRPr="004F31DE">
        <w:t>Delivery Docket</w:t>
      </w:r>
      <w:bookmarkEnd w:id="58"/>
    </w:p>
    <w:p w14:paraId="004E9E1F" w14:textId="77777777" w:rsidR="004F31DE" w:rsidRPr="00D811AF" w:rsidRDefault="004F31DE" w:rsidP="004F31DE">
      <w:pPr>
        <w:pStyle w:val="Bodynumbered1"/>
      </w:pPr>
      <w:bookmarkStart w:id="59" w:name="_Ref6319756"/>
      <w:r w:rsidRPr="00D811AF">
        <w:t>In addition to the information required by Clause 1.7.3 of AS 1379</w:t>
      </w:r>
      <w:r>
        <w:t>,</w:t>
      </w:r>
      <w:r w:rsidRPr="00D811AF">
        <w:t xml:space="preserve"> the following information must </w:t>
      </w:r>
      <w:r w:rsidRPr="003B308C">
        <w:rPr>
          <w:sz w:val="18"/>
          <w:szCs w:val="18"/>
        </w:rPr>
        <w:t>also</w:t>
      </w:r>
      <w:r w:rsidRPr="00D811AF">
        <w:t xml:space="preserve"> be recorded on each delivery docket:</w:t>
      </w:r>
      <w:bookmarkEnd w:id="59"/>
    </w:p>
    <w:p w14:paraId="6314CD1F" w14:textId="77777777" w:rsidR="004F31DE" w:rsidRPr="00883D81" w:rsidRDefault="004F31DE" w:rsidP="00883D81">
      <w:pPr>
        <w:pStyle w:val="Bodynumbered2"/>
        <w:numPr>
          <w:ilvl w:val="0"/>
          <w:numId w:val="27"/>
        </w:numPr>
        <w:ind w:left="993" w:hanging="426"/>
        <w:rPr>
          <w:rFonts w:eastAsia="Times New Roman"/>
        </w:rPr>
      </w:pPr>
      <w:r w:rsidRPr="00883D81">
        <w:rPr>
          <w:rFonts w:eastAsia="Times New Roman"/>
        </w:rPr>
        <w:t>the total water in the batch, including:</w:t>
      </w:r>
    </w:p>
    <w:p w14:paraId="300E1181" w14:textId="77777777" w:rsidR="004F31DE" w:rsidRPr="00D811AF" w:rsidRDefault="004F31DE" w:rsidP="00883D81">
      <w:pPr>
        <w:pStyle w:val="Bodynumbered3"/>
      </w:pPr>
      <w:r w:rsidRPr="00883D81">
        <w:t>the</w:t>
      </w:r>
      <w:r w:rsidRPr="00D811AF">
        <w:t xml:space="preserve"> moisture content of both fine and coarse aggregates </w:t>
      </w:r>
    </w:p>
    <w:p w14:paraId="26C251AA" w14:textId="77777777" w:rsidR="004F31DE" w:rsidRPr="00D811AF" w:rsidRDefault="004F31DE" w:rsidP="00883D81">
      <w:pPr>
        <w:pStyle w:val="Bodynumbered3"/>
      </w:pPr>
      <w:r w:rsidRPr="00D811AF">
        <w:t>batch water</w:t>
      </w:r>
    </w:p>
    <w:p w14:paraId="07C3AB65" w14:textId="77777777" w:rsidR="004F31DE" w:rsidRPr="00D811AF" w:rsidRDefault="004F31DE" w:rsidP="00883D81">
      <w:pPr>
        <w:pStyle w:val="Bodynumbered3"/>
      </w:pPr>
      <w:r w:rsidRPr="00D811AF">
        <w:t>water added at the slump stand</w:t>
      </w:r>
    </w:p>
    <w:p w14:paraId="789303DA" w14:textId="77777777" w:rsidR="004F31DE" w:rsidRPr="00D811AF" w:rsidRDefault="004F31DE" w:rsidP="00883D81">
      <w:pPr>
        <w:pStyle w:val="Bodynumbered3"/>
      </w:pPr>
      <w:r w:rsidRPr="00D811AF">
        <w:t>total amount of water permitted to be added on site</w:t>
      </w:r>
    </w:p>
    <w:p w14:paraId="3B07AAF2" w14:textId="77777777" w:rsidR="004F31DE" w:rsidRPr="00D811AF" w:rsidRDefault="004F31DE" w:rsidP="00883D81">
      <w:pPr>
        <w:pStyle w:val="Bodynumbered3"/>
      </w:pPr>
      <w:r w:rsidRPr="00D811AF">
        <w:t>water added on site before commencement of discharge, including water used to wash down the mixing blades of the mixer or agitator</w:t>
      </w:r>
    </w:p>
    <w:p w14:paraId="3035DD5B" w14:textId="77777777" w:rsidR="004F31DE" w:rsidRDefault="004F31DE" w:rsidP="00883D81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total specified mass of Geopolymer Binder</w:t>
      </w:r>
    </w:p>
    <w:p w14:paraId="1D79C4ED" w14:textId="77777777" w:rsidR="004F31DE" w:rsidRPr="00D811AF" w:rsidRDefault="004F31DE" w:rsidP="00883D81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slumps, including:</w:t>
      </w:r>
    </w:p>
    <w:p w14:paraId="63847BE8" w14:textId="77777777" w:rsidR="004F31DE" w:rsidRPr="00D811AF" w:rsidRDefault="004F31DE" w:rsidP="00883D81">
      <w:pPr>
        <w:pStyle w:val="Bodynumbered3"/>
        <w:numPr>
          <w:ilvl w:val="0"/>
          <w:numId w:val="28"/>
        </w:numPr>
        <w:ind w:left="1276" w:hanging="283"/>
      </w:pPr>
      <w:r w:rsidRPr="00D811AF">
        <w:t>nominated slump</w:t>
      </w:r>
    </w:p>
    <w:p w14:paraId="6C925BE1" w14:textId="77777777" w:rsidR="004F31DE" w:rsidRPr="00D811AF" w:rsidRDefault="004F31DE" w:rsidP="00883D81">
      <w:pPr>
        <w:pStyle w:val="Bodynumbered3"/>
      </w:pPr>
      <w:r w:rsidRPr="00D811AF">
        <w:t>measured slump</w:t>
      </w:r>
    </w:p>
    <w:p w14:paraId="45DBB675" w14:textId="77777777" w:rsidR="004F31DE" w:rsidRPr="00D811AF" w:rsidRDefault="004F31DE" w:rsidP="00883D81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any other additions to a batch</w:t>
      </w:r>
    </w:p>
    <w:p w14:paraId="18F379C0" w14:textId="77777777" w:rsidR="004F31DE" w:rsidRPr="00D811AF" w:rsidRDefault="004F31DE" w:rsidP="00883D81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the unique identification number allocated to the mix design.</w:t>
      </w:r>
    </w:p>
    <w:p w14:paraId="4F928D05" w14:textId="77777777" w:rsidR="004F31DE" w:rsidRPr="00D811AF" w:rsidRDefault="004F31DE" w:rsidP="004F31DE">
      <w:pPr>
        <w:pStyle w:val="Bodynumbered1"/>
      </w:pPr>
      <w:r w:rsidRPr="00D811AF">
        <w:lastRenderedPageBreak/>
        <w:t xml:space="preserve">Further to </w:t>
      </w:r>
      <w:r w:rsidRPr="00457FFE">
        <w:t>the above requirements, the following information must be traceable to the supplier’s batching plant(s) for each</w:t>
      </w:r>
      <w:r w:rsidRPr="00D811AF">
        <w:t xml:space="preserve"> batch (truck load) of Geopolymer Binder used in the works and must be made available for review upon request by the Principal.</w:t>
      </w:r>
    </w:p>
    <w:p w14:paraId="4438E397" w14:textId="77777777" w:rsidR="004F31DE" w:rsidRPr="00D433EE" w:rsidRDefault="004F31DE" w:rsidP="00D433EE">
      <w:pPr>
        <w:pStyle w:val="Bodynumbered2"/>
        <w:numPr>
          <w:ilvl w:val="0"/>
          <w:numId w:val="39"/>
        </w:numPr>
        <w:ind w:left="993" w:hanging="426"/>
        <w:rPr>
          <w:rFonts w:eastAsia="Times New Roman"/>
        </w:rPr>
      </w:pPr>
      <w:bookmarkStart w:id="60" w:name="_Hlk14849989"/>
      <w:r w:rsidRPr="00D433EE">
        <w:rPr>
          <w:rFonts w:eastAsia="Times New Roman"/>
        </w:rPr>
        <w:t xml:space="preserve">Geopolymer Binder </w:t>
      </w:r>
      <w:bookmarkEnd w:id="60"/>
      <w:r w:rsidRPr="00D433EE">
        <w:rPr>
          <w:rFonts w:eastAsia="Times New Roman"/>
        </w:rPr>
        <w:t>brand and type, including:</w:t>
      </w:r>
    </w:p>
    <w:p w14:paraId="557FEB79" w14:textId="77777777" w:rsidR="004F31DE" w:rsidRPr="00D811AF" w:rsidRDefault="004F31DE" w:rsidP="00D433EE">
      <w:pPr>
        <w:pStyle w:val="Bodynumbered3"/>
        <w:numPr>
          <w:ilvl w:val="0"/>
          <w:numId w:val="40"/>
        </w:numPr>
        <w:tabs>
          <w:tab w:val="left" w:pos="1418"/>
        </w:tabs>
        <w:ind w:left="1276" w:hanging="283"/>
      </w:pPr>
      <w:r w:rsidRPr="00D811AF">
        <w:t>proportions of components (by mass); and</w:t>
      </w:r>
    </w:p>
    <w:p w14:paraId="27797612" w14:textId="77777777" w:rsidR="004F31DE" w:rsidRPr="00D811AF" w:rsidRDefault="004F31DE" w:rsidP="00D433EE">
      <w:pPr>
        <w:pStyle w:val="Bodynumbered3"/>
      </w:pPr>
      <w:r w:rsidRPr="00D811AF">
        <w:t xml:space="preserve">total actual mass of </w:t>
      </w:r>
      <w:bookmarkStart w:id="61" w:name="_Hlk14849105"/>
      <w:r w:rsidRPr="00D811AF">
        <w:t>Geopolymer Binder</w:t>
      </w:r>
      <w:bookmarkEnd w:id="61"/>
      <w:r w:rsidRPr="00D811AF">
        <w:t>.</w:t>
      </w:r>
    </w:p>
    <w:p w14:paraId="79B366B4" w14:textId="77777777" w:rsidR="004F31DE" w:rsidRPr="00D811AF" w:rsidRDefault="004F31DE" w:rsidP="00D433EE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chemical admixtures, including:</w:t>
      </w:r>
    </w:p>
    <w:p w14:paraId="7278033F" w14:textId="77777777" w:rsidR="004F31DE" w:rsidRPr="00D811AF" w:rsidRDefault="004F31DE" w:rsidP="00D433EE">
      <w:pPr>
        <w:pStyle w:val="Bodynumbered3"/>
        <w:numPr>
          <w:ilvl w:val="0"/>
          <w:numId w:val="41"/>
        </w:numPr>
        <w:ind w:left="1276" w:hanging="283"/>
      </w:pPr>
      <w:r w:rsidRPr="00D811AF">
        <w:t>types; and</w:t>
      </w:r>
    </w:p>
    <w:p w14:paraId="01216B78" w14:textId="77777777" w:rsidR="004F31DE" w:rsidRPr="00D811AF" w:rsidRDefault="004F31DE" w:rsidP="00D433EE">
      <w:pPr>
        <w:pStyle w:val="Bodynumbered3"/>
      </w:pPr>
      <w:r w:rsidRPr="00D811AF">
        <w:t>amounts.</w:t>
      </w:r>
    </w:p>
    <w:p w14:paraId="7A249D80" w14:textId="77777777" w:rsidR="004F31DE" w:rsidRPr="004F31DE" w:rsidRDefault="004F31DE" w:rsidP="004F31DE">
      <w:pPr>
        <w:pStyle w:val="Heading2"/>
      </w:pPr>
      <w:bookmarkStart w:id="62" w:name="_Toc29543885"/>
      <w:r w:rsidRPr="004F31DE">
        <w:t>Period for Completion of Discharge</w:t>
      </w:r>
      <w:bookmarkEnd w:id="62"/>
    </w:p>
    <w:p w14:paraId="69BB3F92" w14:textId="77777777" w:rsidR="004F31DE" w:rsidRPr="0009316E" w:rsidRDefault="004F31DE" w:rsidP="004F31DE">
      <w:pPr>
        <w:pStyle w:val="Bodynumbered1"/>
      </w:pPr>
      <w:bookmarkStart w:id="63" w:name="_Hlk14852530"/>
      <w:r w:rsidRPr="0009316E">
        <w:t xml:space="preserve">Geopolymer Concrete </w:t>
      </w:r>
      <w:bookmarkEnd w:id="63"/>
      <w:r w:rsidRPr="0009316E">
        <w:t xml:space="preserve">must be placed and compacted within 60 minutes of the commencement of mixing. </w:t>
      </w:r>
    </w:p>
    <w:p w14:paraId="4F82A406" w14:textId="77777777" w:rsidR="004F31DE" w:rsidRPr="0009316E" w:rsidRDefault="004F31DE" w:rsidP="004F31DE">
      <w:pPr>
        <w:pStyle w:val="Bodynumbered1"/>
      </w:pPr>
      <w:r w:rsidRPr="0009316E">
        <w:t xml:space="preserve">The consistency of the </w:t>
      </w:r>
      <w:bookmarkStart w:id="64" w:name="_Hlk14849500"/>
      <w:r w:rsidRPr="0009316E">
        <w:t>Geopolymer</w:t>
      </w:r>
      <w:bookmarkEnd w:id="64"/>
      <w:r w:rsidRPr="0009316E">
        <w:t xml:space="preserve"> Concrete must be determined by a slump test in accordance with AS 1012.3.1.</w:t>
      </w:r>
    </w:p>
    <w:p w14:paraId="61DB47CE" w14:textId="62A19541" w:rsidR="004F31DE" w:rsidRDefault="004F31DE" w:rsidP="004F31DE">
      <w:pPr>
        <w:pStyle w:val="Bodynumbered1"/>
      </w:pPr>
      <w:bookmarkStart w:id="65" w:name="_Ref6317485"/>
      <w:r w:rsidRPr="0009316E">
        <w:t xml:space="preserve">Geopolymer Concrete must not be incorporated into the works if its consistency is outside the tolerance specified in Table </w:t>
      </w:r>
      <w:r w:rsidRPr="0009316E">
        <w:fldChar w:fldCharType="begin"/>
      </w:r>
      <w:r w:rsidRPr="0009316E">
        <w:instrText xml:space="preserve"> REF _Ref6317485 \r \h  \* MERGEFORMAT </w:instrText>
      </w:r>
      <w:r w:rsidRPr="0009316E">
        <w:fldChar w:fldCharType="separate"/>
      </w:r>
      <w:r w:rsidR="00D433EE">
        <w:t>7.8</w:t>
      </w:r>
      <w:r w:rsidRPr="0009316E">
        <w:fldChar w:fldCharType="end"/>
      </w:r>
      <w:r w:rsidRPr="0009316E">
        <w:t xml:space="preserve"> for the corresponding spe</w:t>
      </w:r>
      <w:r w:rsidRPr="00D811AF">
        <w:t>cified slump.</w:t>
      </w:r>
      <w:bookmarkEnd w:id="65"/>
    </w:p>
    <w:p w14:paraId="07204C21" w14:textId="12F8603E" w:rsidR="00D433EE" w:rsidRPr="00D811AF" w:rsidRDefault="00D433EE" w:rsidP="00043630">
      <w:pPr>
        <w:pStyle w:val="Caption"/>
        <w:ind w:left="567"/>
      </w:pPr>
      <w:r w:rsidRPr="00D811AF">
        <w:rPr>
          <w:lang w:eastAsia="en-AU"/>
        </w:rPr>
        <w:t xml:space="preserve">Table </w:t>
      </w:r>
      <w:r w:rsidRPr="00D811AF">
        <w:rPr>
          <w:lang w:eastAsia="en-AU"/>
        </w:rPr>
        <w:fldChar w:fldCharType="begin"/>
      </w:r>
      <w:r w:rsidRPr="00D811AF">
        <w:rPr>
          <w:lang w:eastAsia="en-AU"/>
        </w:rPr>
        <w:instrText xml:space="preserve"> REF _Ref6317485 \r \h  \* MERGEFORMAT </w:instrText>
      </w:r>
      <w:r w:rsidRPr="00D811AF">
        <w:rPr>
          <w:lang w:eastAsia="en-AU"/>
        </w:rPr>
      </w:r>
      <w:r w:rsidRPr="00D811AF">
        <w:rPr>
          <w:lang w:eastAsia="en-AU"/>
        </w:rPr>
        <w:fldChar w:fldCharType="separate"/>
      </w:r>
      <w:r>
        <w:rPr>
          <w:lang w:eastAsia="en-AU"/>
        </w:rPr>
        <w:t>7.8</w:t>
      </w:r>
      <w:r w:rsidRPr="00D811AF">
        <w:rPr>
          <w:lang w:eastAsia="en-AU"/>
        </w:rPr>
        <w:fldChar w:fldCharType="end"/>
      </w:r>
      <w:r>
        <w:rPr>
          <w:lang w:eastAsia="en-AU"/>
        </w:rPr>
        <w:t>:</w:t>
      </w:r>
      <w:r>
        <w:rPr>
          <w:lang w:eastAsia="en-AU"/>
        </w:rPr>
        <w:tab/>
      </w:r>
      <w:r w:rsidRPr="00D811AF">
        <w:rPr>
          <w:lang w:eastAsia="en-AU"/>
        </w:rPr>
        <w:t>Slump Tolerance</w:t>
      </w:r>
    </w:p>
    <w:tbl>
      <w:tblPr>
        <w:tblStyle w:val="TMTable"/>
        <w:tblW w:w="0" w:type="auto"/>
        <w:tblInd w:w="557" w:type="dxa"/>
        <w:tblLayout w:type="fixed"/>
        <w:tblLook w:val="0020" w:firstRow="1" w:lastRow="0" w:firstColumn="0" w:lastColumn="0" w:noHBand="0" w:noVBand="0"/>
      </w:tblPr>
      <w:tblGrid>
        <w:gridCol w:w="3109"/>
        <w:gridCol w:w="3129"/>
      </w:tblGrid>
      <w:tr w:rsidR="004F31DE" w:rsidRPr="00D811AF" w14:paraId="4E65CFE2" w14:textId="77777777" w:rsidTr="00043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9" w:type="dxa"/>
            <w:vAlign w:val="center"/>
          </w:tcPr>
          <w:p w14:paraId="7BA1B6A5" w14:textId="77777777" w:rsidR="004F31DE" w:rsidRPr="00D811AF" w:rsidRDefault="004F31DE" w:rsidP="00D433EE">
            <w:pPr>
              <w:pStyle w:val="TableHeading"/>
              <w:jc w:val="center"/>
              <w:rPr>
                <w:b/>
                <w:snapToGrid w:val="0"/>
              </w:rPr>
            </w:pPr>
            <w:r w:rsidRPr="00D811AF">
              <w:rPr>
                <w:b/>
              </w:rPr>
              <w:t>Specified slump, mm</w:t>
            </w:r>
          </w:p>
        </w:tc>
        <w:tc>
          <w:tcPr>
            <w:tcW w:w="3129" w:type="dxa"/>
            <w:vAlign w:val="center"/>
          </w:tcPr>
          <w:p w14:paraId="05E8C8A3" w14:textId="77777777" w:rsidR="004F31DE" w:rsidRPr="00D811AF" w:rsidRDefault="004F31DE" w:rsidP="00D433EE">
            <w:pPr>
              <w:pStyle w:val="TableHeading"/>
              <w:jc w:val="center"/>
              <w:rPr>
                <w:b/>
                <w:snapToGrid w:val="0"/>
              </w:rPr>
            </w:pPr>
            <w:r w:rsidRPr="00D811AF">
              <w:rPr>
                <w:b/>
              </w:rPr>
              <w:t>Tolerance, mm</w:t>
            </w:r>
          </w:p>
        </w:tc>
      </w:tr>
      <w:tr w:rsidR="004F31DE" w:rsidRPr="00D811AF" w14:paraId="55758286" w14:textId="77777777" w:rsidTr="00043630">
        <w:tc>
          <w:tcPr>
            <w:tcW w:w="3109" w:type="dxa"/>
            <w:vAlign w:val="center"/>
          </w:tcPr>
          <w:p w14:paraId="32E4F38F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t>&lt; 60</w:t>
            </w:r>
          </w:p>
        </w:tc>
        <w:tc>
          <w:tcPr>
            <w:tcW w:w="3129" w:type="dxa"/>
            <w:vAlign w:val="center"/>
          </w:tcPr>
          <w:p w14:paraId="1460825A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rPr>
                <w:rFonts w:ascii="Calibri" w:hAnsi="Calibri" w:cs="Symbol"/>
              </w:rPr>
              <w:t>±</w:t>
            </w:r>
            <w:r w:rsidRPr="00D811AF">
              <w:t>10</w:t>
            </w:r>
          </w:p>
        </w:tc>
      </w:tr>
      <w:tr w:rsidR="004F31DE" w:rsidRPr="00D811AF" w14:paraId="7E90805B" w14:textId="77777777" w:rsidTr="00043630">
        <w:tc>
          <w:tcPr>
            <w:tcW w:w="3109" w:type="dxa"/>
            <w:vAlign w:val="center"/>
          </w:tcPr>
          <w:p w14:paraId="181D21A1" w14:textId="25E106E8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t>≥ 60</w:t>
            </w:r>
            <w:r w:rsidR="00D433EE">
              <w:t xml:space="preserve"> </w:t>
            </w:r>
            <w:r w:rsidRPr="00D811AF">
              <w:t>≤ 80</w:t>
            </w:r>
          </w:p>
        </w:tc>
        <w:tc>
          <w:tcPr>
            <w:tcW w:w="3129" w:type="dxa"/>
            <w:vAlign w:val="center"/>
          </w:tcPr>
          <w:p w14:paraId="309FD3E3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rPr>
                <w:rFonts w:ascii="Calibri" w:hAnsi="Calibri" w:cs="Symbol"/>
              </w:rPr>
              <w:t>±</w:t>
            </w:r>
            <w:r w:rsidRPr="00D811AF">
              <w:t>15</w:t>
            </w:r>
          </w:p>
        </w:tc>
      </w:tr>
      <w:tr w:rsidR="004F31DE" w:rsidRPr="00D811AF" w14:paraId="64C218BD" w14:textId="77777777" w:rsidTr="00043630">
        <w:tc>
          <w:tcPr>
            <w:tcW w:w="3109" w:type="dxa"/>
            <w:vAlign w:val="center"/>
          </w:tcPr>
          <w:p w14:paraId="08991B8C" w14:textId="6324FC92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t>&gt; 80</w:t>
            </w:r>
            <w:r w:rsidR="00D433EE">
              <w:t xml:space="preserve"> </w:t>
            </w:r>
            <w:r w:rsidRPr="00D811AF">
              <w:t>≤ 110</w:t>
            </w:r>
          </w:p>
        </w:tc>
        <w:tc>
          <w:tcPr>
            <w:tcW w:w="3129" w:type="dxa"/>
            <w:vAlign w:val="center"/>
          </w:tcPr>
          <w:p w14:paraId="74C28054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rPr>
                <w:rFonts w:ascii="Calibri" w:hAnsi="Calibri" w:cs="Symbol"/>
              </w:rPr>
              <w:t>±</w:t>
            </w:r>
            <w:r w:rsidRPr="00D811AF">
              <w:t>20</w:t>
            </w:r>
          </w:p>
        </w:tc>
      </w:tr>
      <w:tr w:rsidR="004F31DE" w:rsidRPr="00D811AF" w14:paraId="7EF8B672" w14:textId="77777777" w:rsidTr="00043630">
        <w:tc>
          <w:tcPr>
            <w:tcW w:w="3109" w:type="dxa"/>
            <w:vAlign w:val="center"/>
          </w:tcPr>
          <w:p w14:paraId="053BFF2D" w14:textId="1CFA5C16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t>&gt; 110</w:t>
            </w:r>
            <w:r w:rsidR="00D433EE">
              <w:t xml:space="preserve"> </w:t>
            </w:r>
            <w:r w:rsidRPr="00D811AF">
              <w:t>≤ 150</w:t>
            </w:r>
          </w:p>
        </w:tc>
        <w:tc>
          <w:tcPr>
            <w:tcW w:w="3129" w:type="dxa"/>
            <w:vAlign w:val="center"/>
          </w:tcPr>
          <w:p w14:paraId="69B92621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rPr>
                <w:rFonts w:ascii="Calibri" w:hAnsi="Calibri" w:cs="Symbol"/>
              </w:rPr>
              <w:t>±</w:t>
            </w:r>
            <w:r w:rsidRPr="00D811AF">
              <w:t>30</w:t>
            </w:r>
          </w:p>
        </w:tc>
      </w:tr>
      <w:tr w:rsidR="004F31DE" w:rsidRPr="00D811AF" w14:paraId="2ED18A33" w14:textId="77777777" w:rsidTr="00043630">
        <w:tc>
          <w:tcPr>
            <w:tcW w:w="3109" w:type="dxa"/>
            <w:vAlign w:val="center"/>
          </w:tcPr>
          <w:p w14:paraId="267C3A49" w14:textId="72D124B2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t>&gt; 150</w:t>
            </w:r>
            <w:r w:rsidR="00D433EE">
              <w:t xml:space="preserve"> </w:t>
            </w:r>
            <w:r w:rsidRPr="00D811AF">
              <w:t>&lt;1</w:t>
            </w:r>
            <w:r>
              <w:t>8</w:t>
            </w:r>
            <w:r w:rsidRPr="00D811AF">
              <w:t>0</w:t>
            </w:r>
          </w:p>
        </w:tc>
        <w:tc>
          <w:tcPr>
            <w:tcW w:w="3129" w:type="dxa"/>
            <w:vAlign w:val="center"/>
          </w:tcPr>
          <w:p w14:paraId="06D4DA90" w14:textId="77777777" w:rsidR="004F31DE" w:rsidRPr="00D811AF" w:rsidRDefault="004F31DE" w:rsidP="00D433EE">
            <w:pPr>
              <w:pStyle w:val="TableBodyText"/>
              <w:jc w:val="center"/>
              <w:rPr>
                <w:snapToGrid w:val="0"/>
              </w:rPr>
            </w:pPr>
            <w:r w:rsidRPr="00D811AF">
              <w:rPr>
                <w:rFonts w:ascii="Calibri" w:hAnsi="Calibri" w:cs="Symbol"/>
              </w:rPr>
              <w:t>±</w:t>
            </w:r>
            <w:r w:rsidRPr="00D811AF">
              <w:t>40</w:t>
            </w:r>
          </w:p>
        </w:tc>
      </w:tr>
    </w:tbl>
    <w:p w14:paraId="37AF8FBC" w14:textId="77777777" w:rsidR="004F31DE" w:rsidRPr="004F31DE" w:rsidRDefault="004F31DE" w:rsidP="004F31DE">
      <w:pPr>
        <w:pStyle w:val="Heading2"/>
      </w:pPr>
      <w:bookmarkStart w:id="66" w:name="_Toc29543886"/>
      <w:r w:rsidRPr="004F31DE">
        <w:t>Water Left in the Mixer or Agitator</w:t>
      </w:r>
      <w:bookmarkEnd w:id="66"/>
    </w:p>
    <w:p w14:paraId="6529E487" w14:textId="77777777" w:rsidR="004F31DE" w:rsidRPr="005E7292" w:rsidRDefault="004F31DE" w:rsidP="004F31DE">
      <w:pPr>
        <w:pStyle w:val="Bodynumbered1"/>
      </w:pPr>
      <w:r w:rsidRPr="003B308C">
        <w:rPr>
          <w:sz w:val="18"/>
          <w:szCs w:val="18"/>
        </w:rPr>
        <w:t>Water</w:t>
      </w:r>
      <w:r w:rsidRPr="005E7292">
        <w:t xml:space="preserve"> left in the mixer or agitator from the previous load must be discharged prior to reloading new Geopolymer Concrete in accordance with the requirements of </w:t>
      </w:r>
      <w:r w:rsidRPr="005E7292">
        <w:rPr>
          <w:i/>
          <w:iCs/>
        </w:rPr>
        <w:t>Clause 4.1.3(c)(ii) water in mixing chamber</w:t>
      </w:r>
      <w:r w:rsidRPr="005E7292">
        <w:t xml:space="preserve"> of AS 1379.</w:t>
      </w:r>
    </w:p>
    <w:p w14:paraId="133108F4" w14:textId="77777777" w:rsidR="004F31DE" w:rsidRPr="004F31DE" w:rsidRDefault="004F31DE" w:rsidP="004F31DE">
      <w:pPr>
        <w:pStyle w:val="Heading1"/>
      </w:pPr>
      <w:bookmarkStart w:id="67" w:name="14.4_Locational_tack_welding_of_reinforc"/>
      <w:bookmarkStart w:id="68" w:name="_bookmark35"/>
      <w:bookmarkStart w:id="69" w:name="_Hlk13037469"/>
      <w:bookmarkStart w:id="70" w:name="_Ref15471855"/>
      <w:bookmarkStart w:id="71" w:name="_Ref15471884"/>
      <w:bookmarkStart w:id="72" w:name="_Ref15471986"/>
      <w:bookmarkStart w:id="73" w:name="_Toc25162431"/>
      <w:bookmarkStart w:id="74" w:name="_Toc29543887"/>
      <w:bookmarkStart w:id="75" w:name="_Hlk21526408"/>
      <w:bookmarkStart w:id="76" w:name="_Hlk13037404"/>
      <w:bookmarkEnd w:id="67"/>
      <w:bookmarkEnd w:id="68"/>
      <w:r w:rsidRPr="004F31DE">
        <w:t xml:space="preserve">Geopolymer Concrete </w:t>
      </w:r>
      <w:bookmarkEnd w:id="69"/>
      <w:r w:rsidRPr="004F31DE">
        <w:t>Properties</w:t>
      </w:r>
      <w:bookmarkEnd w:id="70"/>
      <w:bookmarkEnd w:id="71"/>
      <w:bookmarkEnd w:id="72"/>
      <w:bookmarkEnd w:id="73"/>
      <w:bookmarkEnd w:id="74"/>
    </w:p>
    <w:p w14:paraId="5B31406C" w14:textId="47EE5D95" w:rsidR="004F31DE" w:rsidRPr="00D811AF" w:rsidRDefault="004F31DE" w:rsidP="004F31DE">
      <w:pPr>
        <w:pStyle w:val="Bodynumbered1"/>
      </w:pPr>
      <w:bookmarkStart w:id="77" w:name="_Hlk21526455"/>
      <w:bookmarkStart w:id="78" w:name="_Ref13039332"/>
      <w:bookmarkEnd w:id="75"/>
      <w:r w:rsidRPr="00D811AF">
        <w:t xml:space="preserve">If the </w:t>
      </w:r>
      <w:bookmarkStart w:id="79" w:name="_Hlk14852155"/>
      <w:r w:rsidRPr="00D811AF">
        <w:t xml:space="preserve">Geopolymer Concrete </w:t>
      </w:r>
      <w:bookmarkEnd w:id="79"/>
      <w:r w:rsidRPr="00D811AF">
        <w:t xml:space="preserve">is </w:t>
      </w:r>
      <w:bookmarkStart w:id="80" w:name="_Hlk21526800"/>
      <w:r>
        <w:t>cast in place</w:t>
      </w:r>
      <w:r w:rsidRPr="00D811AF">
        <w:t xml:space="preserve"> </w:t>
      </w:r>
      <w:bookmarkEnd w:id="80"/>
      <w:r w:rsidRPr="00D811AF">
        <w:t>with a strength grade not exceeding 40 MPa,</w:t>
      </w:r>
      <w:r w:rsidR="00D433EE">
        <w:t xml:space="preserve"> </w:t>
      </w:r>
      <w:r w:rsidRPr="00D811AF">
        <w:t xml:space="preserve">the Contractor must ensure that production assessment reports are </w:t>
      </w:r>
      <w:r>
        <w:t>prepared</w:t>
      </w:r>
      <w:r w:rsidRPr="00D811AF">
        <w:t xml:space="preserve"> in </w:t>
      </w:r>
      <w:r w:rsidRPr="003B308C">
        <w:rPr>
          <w:sz w:val="18"/>
          <w:szCs w:val="18"/>
        </w:rPr>
        <w:t>accordance</w:t>
      </w:r>
      <w:r w:rsidRPr="00D811AF">
        <w:t xml:space="preserve"> with </w:t>
      </w:r>
      <w:r w:rsidRPr="00D811AF">
        <w:rPr>
          <w:i/>
          <w:iCs/>
        </w:rPr>
        <w:t>Clause 6.4.2 Reports for Production Assessment</w:t>
      </w:r>
      <w:r w:rsidRPr="00D811AF">
        <w:t xml:space="preserve"> </w:t>
      </w:r>
      <w:bookmarkStart w:id="81" w:name="_Hlk14850810"/>
      <w:r w:rsidRPr="00D811AF">
        <w:t>of AS 1379</w:t>
      </w:r>
      <w:bookmarkEnd w:id="81"/>
      <w:r>
        <w:t xml:space="preserve"> and provided to the Principal</w:t>
      </w:r>
      <w:r w:rsidRPr="00D811AF">
        <w:t xml:space="preserve">. </w:t>
      </w:r>
      <w:bookmarkEnd w:id="77"/>
      <w:r w:rsidRPr="00D811AF">
        <w:t xml:space="preserve">The reports must identify the mix as </w:t>
      </w:r>
      <w:bookmarkStart w:id="82" w:name="_Hlk14850405"/>
      <w:r w:rsidRPr="00D811AF">
        <w:t>Geopolymer Concrete</w:t>
      </w:r>
      <w:bookmarkEnd w:id="82"/>
      <w:r w:rsidRPr="00D811AF">
        <w:t>.</w:t>
      </w:r>
      <w:bookmarkEnd w:id="78"/>
    </w:p>
    <w:p w14:paraId="0B814987" w14:textId="77777777" w:rsidR="004F31DE" w:rsidRPr="00D811AF" w:rsidRDefault="004F31DE" w:rsidP="004F31DE">
      <w:pPr>
        <w:pStyle w:val="Bodynumbered1"/>
      </w:pPr>
      <w:bookmarkStart w:id="83" w:name="_Ref14860123"/>
      <w:bookmarkStart w:id="84" w:name="_Hlk14850547"/>
      <w:bookmarkStart w:id="85" w:name="_Ref6479533"/>
      <w:r w:rsidRPr="00D811AF">
        <w:t xml:space="preserve">If the </w:t>
      </w:r>
      <w:bookmarkStart w:id="86" w:name="_Hlk14852177"/>
      <w:r w:rsidRPr="00D811AF">
        <w:t xml:space="preserve">Geopolymer Concrete </w:t>
      </w:r>
      <w:bookmarkEnd w:id="86"/>
      <w:r w:rsidRPr="00D811AF">
        <w:t xml:space="preserve">is used in the manufacture of precast elements or is placed </w:t>
      </w:r>
      <w:r w:rsidRPr="006414D5">
        <w:t xml:space="preserve">cast in place </w:t>
      </w:r>
      <w:r w:rsidRPr="00D811AF">
        <w:t>with a strength grade of 50 MPa:</w:t>
      </w:r>
      <w:bookmarkEnd w:id="83"/>
    </w:p>
    <w:bookmarkEnd w:id="84"/>
    <w:p w14:paraId="79EE6ECC" w14:textId="3BD5B2C1" w:rsidR="004F31DE" w:rsidRPr="00D433EE" w:rsidRDefault="004F31DE" w:rsidP="00D433EE">
      <w:pPr>
        <w:pStyle w:val="Bodynumbered2"/>
        <w:numPr>
          <w:ilvl w:val="0"/>
          <w:numId w:val="42"/>
        </w:numPr>
        <w:ind w:left="993" w:hanging="426"/>
        <w:rPr>
          <w:rFonts w:eastAsia="Times New Roman"/>
        </w:rPr>
      </w:pPr>
      <w:r w:rsidRPr="00D433EE">
        <w:rPr>
          <w:rFonts w:eastAsia="Times New Roman"/>
          <w:i/>
          <w:iCs/>
        </w:rPr>
        <w:t>Clause 6.5.2 Additional project assessment for plants subject to production assessment</w:t>
      </w:r>
      <w:r w:rsidRPr="00D433EE">
        <w:rPr>
          <w:rFonts w:eastAsia="Times New Roman"/>
        </w:rPr>
        <w:t xml:space="preserve"> of AS</w:t>
      </w:r>
      <w:r w:rsidR="00D433EE">
        <w:rPr>
          <w:rFonts w:eastAsia="Times New Roman"/>
        </w:rPr>
        <w:t> </w:t>
      </w:r>
      <w:r w:rsidRPr="00D433EE">
        <w:rPr>
          <w:rFonts w:eastAsia="Times New Roman"/>
        </w:rPr>
        <w:t xml:space="preserve">1379 </w:t>
      </w:r>
      <w:proofErr w:type="gramStart"/>
      <w:r w:rsidRPr="00D433EE">
        <w:rPr>
          <w:rFonts w:eastAsia="Times New Roman"/>
        </w:rPr>
        <w:t>applies;</w:t>
      </w:r>
      <w:proofErr w:type="gramEnd"/>
      <w:r w:rsidRPr="00D433EE">
        <w:rPr>
          <w:rFonts w:eastAsia="Times New Roman"/>
        </w:rPr>
        <w:t xml:space="preserve"> and</w:t>
      </w:r>
    </w:p>
    <w:p w14:paraId="4B1D6F23" w14:textId="788C712E" w:rsidR="004F31DE" w:rsidRDefault="004F31DE" w:rsidP="00D433EE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 xml:space="preserve">the hardened Geopolymer Concrete must be tested to demonstrated conformance with the properties as listed in </w:t>
      </w:r>
      <w:r w:rsidRPr="00197FA2">
        <w:rPr>
          <w:rFonts w:eastAsia="Times New Roman"/>
        </w:rPr>
        <w:t xml:space="preserve">Table </w:t>
      </w:r>
      <w:r w:rsidRPr="00197FA2">
        <w:fldChar w:fldCharType="begin"/>
      </w:r>
      <w:r w:rsidRPr="00197FA2">
        <w:instrText xml:space="preserve"> REF _Ref14860123 \r \h  \* MERGEFORMAT </w:instrText>
      </w:r>
      <w:r w:rsidRPr="00197FA2">
        <w:fldChar w:fldCharType="separate"/>
      </w:r>
      <w:r>
        <w:t>8.2</w:t>
      </w:r>
      <w:r w:rsidRPr="00197FA2">
        <w:fldChar w:fldCharType="end"/>
      </w:r>
      <w:bookmarkEnd w:id="85"/>
      <w:r w:rsidRPr="00197FA2">
        <w:rPr>
          <w:rFonts w:eastAsia="Times New Roman"/>
        </w:rPr>
        <w:t xml:space="preserve"> and the</w:t>
      </w:r>
      <w:r>
        <w:rPr>
          <w:rFonts w:eastAsia="Times New Roman"/>
        </w:rPr>
        <w:t xml:space="preserve"> test results are provided to the Principal.</w:t>
      </w:r>
    </w:p>
    <w:p w14:paraId="3EDEE2C7" w14:textId="63D0DA52" w:rsidR="00922F12" w:rsidRPr="00D811AF" w:rsidRDefault="00922F12" w:rsidP="00043630">
      <w:pPr>
        <w:pStyle w:val="Caption"/>
        <w:ind w:left="567"/>
      </w:pPr>
      <w:r w:rsidRPr="00CA079B">
        <w:lastRenderedPageBreak/>
        <w:t xml:space="preserve">Table </w:t>
      </w:r>
      <w:r w:rsidRPr="00CA079B">
        <w:fldChar w:fldCharType="begin"/>
      </w:r>
      <w:r w:rsidRPr="00CA079B">
        <w:instrText xml:space="preserve"> REF _Ref14860123 \r \h  \* MERGEFORMAT </w:instrText>
      </w:r>
      <w:r w:rsidRPr="00CA079B">
        <w:fldChar w:fldCharType="separate"/>
      </w:r>
      <w:r>
        <w:t>8.2</w:t>
      </w:r>
      <w:r w:rsidRPr="00CA079B">
        <w:fldChar w:fldCharType="end"/>
      </w:r>
      <w:r>
        <w:t>:</w:t>
      </w:r>
      <w:r>
        <w:tab/>
      </w:r>
      <w:r w:rsidRPr="00CA079B">
        <w:t>Hardened Geopolymer Concrete Properties</w:t>
      </w:r>
    </w:p>
    <w:tbl>
      <w:tblPr>
        <w:tblStyle w:val="TMTable"/>
        <w:tblW w:w="9072" w:type="dxa"/>
        <w:tblInd w:w="557" w:type="dxa"/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3828"/>
        <w:gridCol w:w="1275"/>
      </w:tblGrid>
      <w:tr w:rsidR="004F31DE" w:rsidRPr="00D811AF" w14:paraId="7B930F96" w14:textId="77777777" w:rsidTr="00043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70"/>
        </w:trPr>
        <w:tc>
          <w:tcPr>
            <w:tcW w:w="2410" w:type="dxa"/>
            <w:vAlign w:val="center"/>
          </w:tcPr>
          <w:bookmarkEnd w:id="76"/>
          <w:p w14:paraId="577A6C3B" w14:textId="77777777" w:rsidR="004F31DE" w:rsidRPr="00CA079B" w:rsidRDefault="004F31DE" w:rsidP="00922F12">
            <w:pPr>
              <w:pStyle w:val="Tabletext"/>
              <w:keepNext/>
              <w:ind w:left="0" w:firstLine="0"/>
              <w:rPr>
                <w:b w:val="0"/>
                <w:sz w:val="20"/>
              </w:rPr>
            </w:pPr>
            <w:r w:rsidRPr="00CA079B">
              <w:rPr>
                <w:sz w:val="20"/>
              </w:rPr>
              <w:t>Property</w:t>
            </w:r>
          </w:p>
        </w:tc>
        <w:tc>
          <w:tcPr>
            <w:tcW w:w="1559" w:type="dxa"/>
            <w:vAlign w:val="center"/>
          </w:tcPr>
          <w:p w14:paraId="0E96EDE0" w14:textId="77777777" w:rsidR="004F31DE" w:rsidRPr="00CA079B" w:rsidRDefault="004F31DE" w:rsidP="00922F12">
            <w:pPr>
              <w:pStyle w:val="Tabletext"/>
              <w:keepNext/>
              <w:ind w:left="0" w:firstLine="0"/>
              <w:rPr>
                <w:b w:val="0"/>
                <w:sz w:val="20"/>
              </w:rPr>
            </w:pPr>
            <w:r w:rsidRPr="00CA079B">
              <w:rPr>
                <w:sz w:val="20"/>
              </w:rPr>
              <w:t>Test Method</w:t>
            </w:r>
          </w:p>
        </w:tc>
        <w:tc>
          <w:tcPr>
            <w:tcW w:w="3828" w:type="dxa"/>
            <w:vAlign w:val="center"/>
          </w:tcPr>
          <w:p w14:paraId="4F306711" w14:textId="77777777" w:rsidR="004F31DE" w:rsidRPr="00CA079B" w:rsidRDefault="004F31DE" w:rsidP="00922F12">
            <w:pPr>
              <w:pStyle w:val="Tabletext"/>
              <w:keepNext/>
              <w:ind w:left="0" w:firstLine="0"/>
              <w:rPr>
                <w:b w:val="0"/>
                <w:sz w:val="20"/>
              </w:rPr>
            </w:pPr>
            <w:r w:rsidRPr="00CA079B">
              <w:rPr>
                <w:sz w:val="20"/>
              </w:rPr>
              <w:t>Criteria</w:t>
            </w:r>
          </w:p>
        </w:tc>
        <w:tc>
          <w:tcPr>
            <w:tcW w:w="1275" w:type="dxa"/>
            <w:vAlign w:val="center"/>
          </w:tcPr>
          <w:p w14:paraId="0EEED5F7" w14:textId="77777777" w:rsidR="004F31DE" w:rsidRPr="00CA079B" w:rsidRDefault="004F31DE" w:rsidP="00922F12">
            <w:pPr>
              <w:pStyle w:val="Tabletext"/>
              <w:keepNext/>
              <w:ind w:left="0" w:firstLine="0"/>
              <w:rPr>
                <w:b w:val="0"/>
                <w:sz w:val="20"/>
              </w:rPr>
            </w:pPr>
            <w:r w:rsidRPr="00CA079B">
              <w:rPr>
                <w:sz w:val="20"/>
              </w:rPr>
              <w:t>Age</w:t>
            </w:r>
          </w:p>
        </w:tc>
      </w:tr>
      <w:tr w:rsidR="004F31DE" w:rsidRPr="00D811AF" w14:paraId="30B28C09" w14:textId="77777777" w:rsidTr="00043630">
        <w:trPr>
          <w:trHeight w:hRule="exact" w:val="360"/>
        </w:trPr>
        <w:tc>
          <w:tcPr>
            <w:tcW w:w="2410" w:type="dxa"/>
          </w:tcPr>
          <w:p w14:paraId="53C9E9CC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Compressive Strength</w:t>
            </w:r>
          </w:p>
        </w:tc>
        <w:tc>
          <w:tcPr>
            <w:tcW w:w="1559" w:type="dxa"/>
          </w:tcPr>
          <w:p w14:paraId="041B1E24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1012.9</w:t>
            </w:r>
          </w:p>
        </w:tc>
        <w:tc>
          <w:tcPr>
            <w:tcW w:w="3828" w:type="dxa"/>
          </w:tcPr>
          <w:p w14:paraId="1F5FF531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per design</w:t>
            </w:r>
          </w:p>
        </w:tc>
        <w:tc>
          <w:tcPr>
            <w:tcW w:w="1275" w:type="dxa"/>
          </w:tcPr>
          <w:p w14:paraId="3F4E0F6D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28 days</w:t>
            </w:r>
          </w:p>
        </w:tc>
      </w:tr>
      <w:tr w:rsidR="004F31DE" w:rsidRPr="00D811AF" w14:paraId="6AB671AA" w14:textId="77777777" w:rsidTr="00043630">
        <w:trPr>
          <w:trHeight w:hRule="exact" w:val="360"/>
        </w:trPr>
        <w:tc>
          <w:tcPr>
            <w:tcW w:w="2410" w:type="dxa"/>
          </w:tcPr>
          <w:p w14:paraId="4CB2FB07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Flexural Strength</w:t>
            </w:r>
          </w:p>
        </w:tc>
        <w:tc>
          <w:tcPr>
            <w:tcW w:w="1559" w:type="dxa"/>
          </w:tcPr>
          <w:p w14:paraId="09551982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1012.11</w:t>
            </w:r>
          </w:p>
        </w:tc>
        <w:tc>
          <w:tcPr>
            <w:tcW w:w="3828" w:type="dxa"/>
          </w:tcPr>
          <w:p w14:paraId="20C03B2A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≥ 2.5 MPa</w:t>
            </w:r>
          </w:p>
        </w:tc>
        <w:tc>
          <w:tcPr>
            <w:tcW w:w="1275" w:type="dxa"/>
          </w:tcPr>
          <w:p w14:paraId="09AA70CF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28 days</w:t>
            </w:r>
          </w:p>
        </w:tc>
      </w:tr>
      <w:tr w:rsidR="004F31DE" w:rsidRPr="00D811AF" w14:paraId="0DE88FB4" w14:textId="77777777" w:rsidTr="00043630">
        <w:trPr>
          <w:trHeight w:hRule="exact" w:val="360"/>
        </w:trPr>
        <w:tc>
          <w:tcPr>
            <w:tcW w:w="2410" w:type="dxa"/>
          </w:tcPr>
          <w:p w14:paraId="743376FF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Shrinkage</w:t>
            </w:r>
          </w:p>
        </w:tc>
        <w:tc>
          <w:tcPr>
            <w:tcW w:w="1559" w:type="dxa"/>
          </w:tcPr>
          <w:p w14:paraId="75691895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1012.13</w:t>
            </w:r>
          </w:p>
        </w:tc>
        <w:tc>
          <w:tcPr>
            <w:tcW w:w="3828" w:type="dxa"/>
          </w:tcPr>
          <w:p w14:paraId="5BE10762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≤ 750 µε</w:t>
            </w:r>
          </w:p>
        </w:tc>
        <w:tc>
          <w:tcPr>
            <w:tcW w:w="1275" w:type="dxa"/>
          </w:tcPr>
          <w:p w14:paraId="62E53329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91 days</w:t>
            </w:r>
          </w:p>
        </w:tc>
      </w:tr>
      <w:tr w:rsidR="004F31DE" w:rsidRPr="00D811AF" w14:paraId="3EBE969C" w14:textId="77777777" w:rsidTr="00043630">
        <w:trPr>
          <w:trHeight w:hRule="exact" w:val="360"/>
        </w:trPr>
        <w:tc>
          <w:tcPr>
            <w:tcW w:w="2410" w:type="dxa"/>
          </w:tcPr>
          <w:p w14:paraId="2DDD9DC5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Modulus of Elasticity</w:t>
            </w:r>
          </w:p>
        </w:tc>
        <w:tc>
          <w:tcPr>
            <w:tcW w:w="1559" w:type="dxa"/>
          </w:tcPr>
          <w:p w14:paraId="29FA5CF1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1012.17</w:t>
            </w:r>
          </w:p>
        </w:tc>
        <w:tc>
          <w:tcPr>
            <w:tcW w:w="3828" w:type="dxa"/>
          </w:tcPr>
          <w:p w14:paraId="04CC633E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 xml:space="preserve">30 </w:t>
            </w:r>
            <w:proofErr w:type="spellStart"/>
            <w:r w:rsidRPr="00D811AF">
              <w:t>GPa</w:t>
            </w:r>
            <w:proofErr w:type="spellEnd"/>
            <w:r w:rsidRPr="00D811AF">
              <w:t xml:space="preserve"> ± 20%</w:t>
            </w:r>
          </w:p>
        </w:tc>
        <w:tc>
          <w:tcPr>
            <w:tcW w:w="1275" w:type="dxa"/>
          </w:tcPr>
          <w:p w14:paraId="30080543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28 days</w:t>
            </w:r>
          </w:p>
        </w:tc>
      </w:tr>
      <w:tr w:rsidR="004F31DE" w:rsidRPr="00D811AF" w14:paraId="7140D6C3" w14:textId="77777777" w:rsidTr="00043630">
        <w:trPr>
          <w:trHeight w:hRule="exact" w:val="360"/>
        </w:trPr>
        <w:tc>
          <w:tcPr>
            <w:tcW w:w="2410" w:type="dxa"/>
          </w:tcPr>
          <w:p w14:paraId="30A4AC26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Density</w:t>
            </w:r>
          </w:p>
        </w:tc>
        <w:tc>
          <w:tcPr>
            <w:tcW w:w="1559" w:type="dxa"/>
          </w:tcPr>
          <w:p w14:paraId="386D009A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 1012.12</w:t>
            </w:r>
          </w:p>
        </w:tc>
        <w:tc>
          <w:tcPr>
            <w:tcW w:w="3828" w:type="dxa"/>
          </w:tcPr>
          <w:p w14:paraId="48BCE2C5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2.1 – 2.8 t/m³</w:t>
            </w:r>
          </w:p>
        </w:tc>
        <w:tc>
          <w:tcPr>
            <w:tcW w:w="1275" w:type="dxa"/>
          </w:tcPr>
          <w:p w14:paraId="11547CB5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28 days</w:t>
            </w:r>
          </w:p>
        </w:tc>
      </w:tr>
      <w:tr w:rsidR="004F31DE" w:rsidRPr="00D811AF" w14:paraId="1D9CBA67" w14:textId="77777777" w:rsidTr="00043630">
        <w:trPr>
          <w:trHeight w:hRule="exact" w:val="360"/>
        </w:trPr>
        <w:tc>
          <w:tcPr>
            <w:tcW w:w="2410" w:type="dxa"/>
          </w:tcPr>
          <w:p w14:paraId="5F7BDAB8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Chloride Permeability</w:t>
            </w:r>
          </w:p>
        </w:tc>
        <w:tc>
          <w:tcPr>
            <w:tcW w:w="1559" w:type="dxa"/>
          </w:tcPr>
          <w:p w14:paraId="2D82A3A1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ASTM C1202</w:t>
            </w:r>
          </w:p>
        </w:tc>
        <w:tc>
          <w:tcPr>
            <w:tcW w:w="3828" w:type="dxa"/>
          </w:tcPr>
          <w:p w14:paraId="07CC28B7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&lt; 1000 C</w:t>
            </w:r>
          </w:p>
        </w:tc>
        <w:tc>
          <w:tcPr>
            <w:tcW w:w="1275" w:type="dxa"/>
          </w:tcPr>
          <w:p w14:paraId="3E42A40F" w14:textId="77777777" w:rsidR="004F31DE" w:rsidRPr="00D811AF" w:rsidRDefault="004F31DE" w:rsidP="00922F12">
            <w:pPr>
              <w:pStyle w:val="TableBodyText"/>
              <w:keepNext/>
              <w:ind w:left="0"/>
            </w:pPr>
            <w:r w:rsidRPr="00D811AF">
              <w:t>56 days</w:t>
            </w:r>
          </w:p>
        </w:tc>
      </w:tr>
      <w:tr w:rsidR="004F31DE" w:rsidRPr="00D811AF" w14:paraId="66DE7723" w14:textId="77777777" w:rsidTr="00043630">
        <w:trPr>
          <w:trHeight w:hRule="exact" w:val="360"/>
        </w:trPr>
        <w:tc>
          <w:tcPr>
            <w:tcW w:w="2410" w:type="dxa"/>
          </w:tcPr>
          <w:p w14:paraId="20A7CAED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AAR resistance</w:t>
            </w:r>
          </w:p>
        </w:tc>
        <w:tc>
          <w:tcPr>
            <w:tcW w:w="1559" w:type="dxa"/>
          </w:tcPr>
          <w:p w14:paraId="6020A0D7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AS 1141.60.1</w:t>
            </w:r>
          </w:p>
        </w:tc>
        <w:tc>
          <w:tcPr>
            <w:tcW w:w="3828" w:type="dxa"/>
          </w:tcPr>
          <w:p w14:paraId="5EC74187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&lt; 0.1 %</w:t>
            </w:r>
          </w:p>
        </w:tc>
        <w:tc>
          <w:tcPr>
            <w:tcW w:w="1275" w:type="dxa"/>
          </w:tcPr>
          <w:p w14:paraId="1D29C7B0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to 21 days</w:t>
            </w:r>
          </w:p>
        </w:tc>
      </w:tr>
      <w:tr w:rsidR="004F31DE" w:rsidRPr="00D811AF" w14:paraId="3EB6BE06" w14:textId="77777777" w:rsidTr="00043630">
        <w:trPr>
          <w:trHeight w:hRule="exact" w:val="355"/>
        </w:trPr>
        <w:tc>
          <w:tcPr>
            <w:tcW w:w="2410" w:type="dxa"/>
          </w:tcPr>
          <w:p w14:paraId="7F8D6F80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Carbonation resistance</w:t>
            </w:r>
          </w:p>
        </w:tc>
        <w:tc>
          <w:tcPr>
            <w:tcW w:w="1559" w:type="dxa"/>
          </w:tcPr>
          <w:p w14:paraId="6FFB7004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ISO 1920-12</w:t>
            </w:r>
          </w:p>
        </w:tc>
        <w:tc>
          <w:tcPr>
            <w:tcW w:w="3828" w:type="dxa"/>
          </w:tcPr>
          <w:p w14:paraId="1C0546A9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Reported only</w:t>
            </w:r>
          </w:p>
        </w:tc>
        <w:tc>
          <w:tcPr>
            <w:tcW w:w="1275" w:type="dxa"/>
          </w:tcPr>
          <w:p w14:paraId="117488F4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to 91 days</w:t>
            </w:r>
          </w:p>
        </w:tc>
      </w:tr>
      <w:tr w:rsidR="004F31DE" w:rsidRPr="00D811AF" w14:paraId="6782F4D1" w14:textId="77777777" w:rsidTr="00043630">
        <w:trPr>
          <w:trHeight w:hRule="exact" w:val="701"/>
        </w:trPr>
        <w:tc>
          <w:tcPr>
            <w:tcW w:w="2410" w:type="dxa"/>
          </w:tcPr>
          <w:p w14:paraId="6472B24C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Chloride ion content</w:t>
            </w:r>
          </w:p>
        </w:tc>
        <w:tc>
          <w:tcPr>
            <w:tcW w:w="1559" w:type="dxa"/>
          </w:tcPr>
          <w:p w14:paraId="659FF661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AS 1012.20.1</w:t>
            </w:r>
          </w:p>
        </w:tc>
        <w:tc>
          <w:tcPr>
            <w:tcW w:w="3828" w:type="dxa"/>
          </w:tcPr>
          <w:p w14:paraId="44BBCB6B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&lt; 0.4 kg/m³ (Exposure classification C)</w:t>
            </w:r>
          </w:p>
          <w:p w14:paraId="73779C16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&lt; 0.8 kg/m³ (Exposure classification B2)</w:t>
            </w:r>
          </w:p>
        </w:tc>
        <w:tc>
          <w:tcPr>
            <w:tcW w:w="1275" w:type="dxa"/>
          </w:tcPr>
          <w:p w14:paraId="374EDD0C" w14:textId="77777777" w:rsidR="004F31DE" w:rsidRPr="00D811AF" w:rsidRDefault="004F31DE" w:rsidP="00922F12">
            <w:pPr>
              <w:pStyle w:val="TableBodyText"/>
              <w:ind w:left="0"/>
            </w:pPr>
            <w:r w:rsidRPr="00D811AF">
              <w:t>28 days</w:t>
            </w:r>
          </w:p>
        </w:tc>
      </w:tr>
    </w:tbl>
    <w:p w14:paraId="25F6DF80" w14:textId="77777777" w:rsidR="004F31DE" w:rsidRPr="004F31DE" w:rsidRDefault="004F31DE" w:rsidP="004F31DE">
      <w:pPr>
        <w:pStyle w:val="Heading1"/>
      </w:pPr>
      <w:bookmarkStart w:id="87" w:name="_Toc25162432"/>
      <w:bookmarkStart w:id="88" w:name="_Toc29543888"/>
      <w:bookmarkStart w:id="89" w:name="_Hlk21527042"/>
      <w:r w:rsidRPr="004F31DE">
        <w:t>Additional Requirements for Placement of Geopolymer Concrete</w:t>
      </w:r>
      <w:bookmarkEnd w:id="87"/>
      <w:bookmarkEnd w:id="88"/>
    </w:p>
    <w:bookmarkEnd w:id="89"/>
    <w:p w14:paraId="0AE908B8" w14:textId="77777777" w:rsidR="004F31DE" w:rsidRPr="00D811AF" w:rsidRDefault="004F31DE" w:rsidP="004F31DE">
      <w:pPr>
        <w:pStyle w:val="Bodynumbered1"/>
      </w:pPr>
      <w:r w:rsidRPr="00D811AF">
        <w:t xml:space="preserve">Notwithstanding any requirements </w:t>
      </w:r>
      <w:r w:rsidRPr="003B308C">
        <w:rPr>
          <w:sz w:val="18"/>
          <w:szCs w:val="18"/>
        </w:rPr>
        <w:t>specified</w:t>
      </w:r>
      <w:r w:rsidRPr="00D811AF">
        <w:t xml:space="preserve"> elsewhere in this Contract for formwork, placement, finishing and curing of concrete, Geopolymer Concrete must comply with the following:</w:t>
      </w:r>
    </w:p>
    <w:p w14:paraId="29003ECE" w14:textId="77777777" w:rsidR="004F31DE" w:rsidRPr="00922F12" w:rsidRDefault="004F31DE" w:rsidP="00922F12">
      <w:pPr>
        <w:pStyle w:val="Bodynumbered2"/>
        <w:numPr>
          <w:ilvl w:val="0"/>
          <w:numId w:val="43"/>
        </w:numPr>
        <w:ind w:left="993" w:hanging="426"/>
        <w:rPr>
          <w:rFonts w:eastAsia="Times New Roman"/>
        </w:rPr>
      </w:pPr>
      <w:r w:rsidRPr="00922F12">
        <w:rPr>
          <w:rFonts w:eastAsia="Times New Roman"/>
        </w:rPr>
        <w:t xml:space="preserve">curing must be by either: steam, membrane, polyethylene sheet or maintaining the formwork in </w:t>
      </w:r>
      <w:proofErr w:type="gramStart"/>
      <w:r w:rsidRPr="00922F12">
        <w:rPr>
          <w:rFonts w:eastAsia="Times New Roman"/>
        </w:rPr>
        <w:t>place;</w:t>
      </w:r>
      <w:proofErr w:type="gramEnd"/>
      <w:r w:rsidRPr="00922F12">
        <w:rPr>
          <w:rFonts w:eastAsia="Times New Roman"/>
        </w:rPr>
        <w:t xml:space="preserve"> </w:t>
      </w:r>
    </w:p>
    <w:p w14:paraId="09763503" w14:textId="77777777" w:rsidR="004F31DE" w:rsidRPr="00D811AF" w:rsidRDefault="004F31DE" w:rsidP="00922F12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 xml:space="preserve">water curing is not </w:t>
      </w:r>
      <w:proofErr w:type="gramStart"/>
      <w:r w:rsidRPr="00D811AF">
        <w:rPr>
          <w:rFonts w:eastAsia="Times New Roman"/>
        </w:rPr>
        <w:t>permitted;</w:t>
      </w:r>
      <w:proofErr w:type="gramEnd"/>
    </w:p>
    <w:p w14:paraId="16DC7535" w14:textId="77777777" w:rsidR="004F31DE" w:rsidRPr="00D811AF" w:rsidRDefault="004F31DE" w:rsidP="00922F12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 xml:space="preserve">where steam curing is used, care must be taken to prevent condensation pooling on the surface of Geopolymer </w:t>
      </w:r>
      <w:proofErr w:type="gramStart"/>
      <w:r w:rsidRPr="00D811AF">
        <w:rPr>
          <w:rFonts w:eastAsia="Times New Roman"/>
        </w:rPr>
        <w:t>Concrete;</w:t>
      </w:r>
      <w:proofErr w:type="gramEnd"/>
    </w:p>
    <w:p w14:paraId="22891FD0" w14:textId="77777777" w:rsidR="004F31DE" w:rsidRPr="00D811AF" w:rsidRDefault="004F31DE" w:rsidP="00922F12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if temperature-matched curing tanks are used, the manufacturer must protect the sample cylinders from water infiltration; and</w:t>
      </w:r>
    </w:p>
    <w:p w14:paraId="019632D4" w14:textId="77777777" w:rsidR="004F31DE" w:rsidRPr="00D811AF" w:rsidRDefault="004F31DE" w:rsidP="00922F12">
      <w:pPr>
        <w:pStyle w:val="Bodynumbered2"/>
        <w:rPr>
          <w:rFonts w:eastAsia="Times New Roman"/>
        </w:rPr>
      </w:pPr>
      <w:r w:rsidRPr="00D811AF">
        <w:rPr>
          <w:rFonts w:eastAsia="Times New Roman"/>
        </w:rPr>
        <w:t>steamed precast units must be coated with a curing membrane within 1 hour of removal from the enclosure.</w:t>
      </w:r>
    </w:p>
    <w:p w14:paraId="7A288E55" w14:textId="77777777" w:rsidR="004F31DE" w:rsidRPr="004F31DE" w:rsidRDefault="004F31DE" w:rsidP="004F31DE">
      <w:pPr>
        <w:pStyle w:val="AnnexureHeading"/>
      </w:pPr>
      <w:bookmarkStart w:id="90" w:name="_Toc515284185"/>
      <w:bookmarkStart w:id="91" w:name="_Toc1474794"/>
      <w:bookmarkStart w:id="92" w:name="_Hlk1672801"/>
      <w:bookmarkStart w:id="93" w:name="_Toc25162433"/>
      <w:bookmarkStart w:id="94" w:name="_Toc29543889"/>
      <w:r w:rsidRPr="004F31DE">
        <w:lastRenderedPageBreak/>
        <w:t>Annexure A:</w:t>
      </w:r>
      <w:r w:rsidRPr="004F31DE">
        <w:tab/>
      </w:r>
      <w:bookmarkEnd w:id="90"/>
      <w:bookmarkEnd w:id="91"/>
      <w:bookmarkEnd w:id="92"/>
      <w:r w:rsidRPr="004F31DE">
        <w:t>Summary of Hold Points, Witness Points and Records</w:t>
      </w:r>
      <w:bookmarkEnd w:id="93"/>
      <w:bookmarkEnd w:id="94"/>
    </w:p>
    <w:p w14:paraId="58521D79" w14:textId="68292FEA" w:rsidR="004F31DE" w:rsidRPr="002B0595" w:rsidRDefault="00677F9D" w:rsidP="00BE165F">
      <w:pPr>
        <w:pStyle w:val="BodyText"/>
        <w:ind w:left="0"/>
      </w:pPr>
      <w:r w:rsidRPr="00677F9D">
        <w:t>The following is a summary of the Witness Points / Hold Points that apply to this specification and the Records that the Contractor must supply to the Principal to demonstrate compliance with this specification.</w:t>
      </w:r>
    </w:p>
    <w:tbl>
      <w:tblPr>
        <w:tblStyle w:val="TMTable"/>
        <w:tblW w:w="9629" w:type="dxa"/>
        <w:tblLayout w:type="fixed"/>
        <w:tblLook w:val="04A0" w:firstRow="1" w:lastRow="0" w:firstColumn="1" w:lastColumn="0" w:noHBand="0" w:noVBand="1"/>
      </w:tblPr>
      <w:tblGrid>
        <w:gridCol w:w="983"/>
        <w:gridCol w:w="2693"/>
        <w:gridCol w:w="1559"/>
        <w:gridCol w:w="4394"/>
      </w:tblGrid>
      <w:tr w:rsidR="008A0EEC" w:rsidRPr="00D811AF" w14:paraId="718B713B" w14:textId="77777777" w:rsidTr="008A0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3" w:type="dxa"/>
          </w:tcPr>
          <w:p w14:paraId="614183DC" w14:textId="3F2E08B6" w:rsidR="004F31DE" w:rsidRPr="00922F12" w:rsidRDefault="00922F12" w:rsidP="00922F12">
            <w:pPr>
              <w:pStyle w:val="TableHeading"/>
              <w:rPr>
                <w:rFonts w:eastAsia="SimSun"/>
                <w:b/>
                <w:bCs/>
              </w:rPr>
            </w:pPr>
            <w:r w:rsidRPr="00922F12">
              <w:rPr>
                <w:rFonts w:eastAsia="SimSun"/>
                <w:b/>
                <w:bCs/>
              </w:rPr>
              <w:t>Clause</w:t>
            </w:r>
          </w:p>
        </w:tc>
        <w:tc>
          <w:tcPr>
            <w:tcW w:w="2693" w:type="dxa"/>
          </w:tcPr>
          <w:p w14:paraId="296C6970" w14:textId="7B150310" w:rsidR="004F31DE" w:rsidRPr="00922F12" w:rsidRDefault="00922F12" w:rsidP="00922F12">
            <w:pPr>
              <w:pStyle w:val="TableHeading"/>
              <w:rPr>
                <w:rFonts w:eastAsia="SimSun"/>
                <w:b/>
                <w:bCs/>
              </w:rPr>
            </w:pPr>
            <w:r w:rsidRPr="00922F12">
              <w:rPr>
                <w:rFonts w:eastAsia="SimSun"/>
                <w:b/>
                <w:bCs/>
              </w:rPr>
              <w:t>Hold point</w:t>
            </w:r>
          </w:p>
        </w:tc>
        <w:tc>
          <w:tcPr>
            <w:tcW w:w="1559" w:type="dxa"/>
          </w:tcPr>
          <w:p w14:paraId="3F15B159" w14:textId="1B2F8369" w:rsidR="004F31DE" w:rsidRPr="00922F12" w:rsidRDefault="00922F12" w:rsidP="00922F12">
            <w:pPr>
              <w:pStyle w:val="TableHeading"/>
              <w:rPr>
                <w:rFonts w:eastAsia="SimSun"/>
                <w:b/>
                <w:bCs/>
              </w:rPr>
            </w:pPr>
            <w:r w:rsidRPr="00922F12">
              <w:rPr>
                <w:rFonts w:eastAsia="SimSun"/>
                <w:b/>
                <w:bCs/>
              </w:rPr>
              <w:t>Witness point</w:t>
            </w:r>
          </w:p>
        </w:tc>
        <w:tc>
          <w:tcPr>
            <w:tcW w:w="4394" w:type="dxa"/>
          </w:tcPr>
          <w:p w14:paraId="3E417DFF" w14:textId="5584D89B" w:rsidR="004F31DE" w:rsidRPr="00922F12" w:rsidRDefault="00922F12" w:rsidP="00922F12">
            <w:pPr>
              <w:pStyle w:val="TableHeading"/>
              <w:rPr>
                <w:rFonts w:eastAsia="SimSun"/>
                <w:b/>
                <w:bCs/>
              </w:rPr>
            </w:pPr>
            <w:r w:rsidRPr="00922F12">
              <w:rPr>
                <w:rFonts w:eastAsia="SimSun"/>
                <w:b/>
                <w:bCs/>
              </w:rPr>
              <w:t>Record</w:t>
            </w:r>
          </w:p>
        </w:tc>
      </w:tr>
      <w:tr w:rsidR="008A0EEC" w:rsidRPr="00D811AF" w14:paraId="57AC4351" w14:textId="77777777" w:rsidTr="008A0EEC">
        <w:tc>
          <w:tcPr>
            <w:tcW w:w="983" w:type="dxa"/>
          </w:tcPr>
          <w:p w14:paraId="0D83DD39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  <w:r w:rsidRPr="00043630">
              <w:rPr>
                <w:sz w:val="20"/>
              </w:rPr>
              <w:fldChar w:fldCharType="begin"/>
            </w:r>
            <w:r w:rsidRPr="00043630">
              <w:rPr>
                <w:sz w:val="20"/>
              </w:rPr>
              <w:instrText xml:space="preserve"> REF _Ref14859896 \r \h  \* MERGEFORMAT </w:instrText>
            </w:r>
            <w:r w:rsidRPr="00043630">
              <w:rPr>
                <w:sz w:val="20"/>
              </w:rPr>
            </w:r>
            <w:r w:rsidRPr="00043630">
              <w:rPr>
                <w:sz w:val="20"/>
              </w:rPr>
              <w:fldChar w:fldCharType="separate"/>
            </w:r>
            <w:r w:rsidRPr="00043630">
              <w:rPr>
                <w:sz w:val="20"/>
              </w:rPr>
              <w:t>5.2</w:t>
            </w:r>
            <w:r w:rsidRPr="00043630">
              <w:rPr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16CA7FB1" w14:textId="77777777" w:rsidR="004F31DE" w:rsidRPr="00043630" w:rsidRDefault="004F31DE" w:rsidP="005A462D">
            <w:pPr>
              <w:pStyle w:val="Tabletext"/>
              <w:ind w:left="-57" w:firstLine="0"/>
              <w:rPr>
                <w:sz w:val="20"/>
              </w:rPr>
            </w:pPr>
            <w:r w:rsidRPr="00043630">
              <w:rPr>
                <w:sz w:val="20"/>
              </w:rPr>
              <w:t>Manufacture of the Geopolymer Concrete</w:t>
            </w:r>
          </w:p>
        </w:tc>
        <w:tc>
          <w:tcPr>
            <w:tcW w:w="1559" w:type="dxa"/>
          </w:tcPr>
          <w:p w14:paraId="719174AD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</w:p>
        </w:tc>
        <w:tc>
          <w:tcPr>
            <w:tcW w:w="4394" w:type="dxa"/>
          </w:tcPr>
          <w:p w14:paraId="743606B5" w14:textId="4E3293E1" w:rsidR="004F31DE" w:rsidRPr="00043630" w:rsidRDefault="004F31DE" w:rsidP="005A462D">
            <w:pPr>
              <w:pStyle w:val="Tabletext"/>
              <w:ind w:left="34" w:firstLine="0"/>
              <w:rPr>
                <w:sz w:val="20"/>
              </w:rPr>
            </w:pPr>
            <w:r w:rsidRPr="00043630">
              <w:rPr>
                <w:rFonts w:eastAsia="SimSun" w:cs="Arial"/>
                <w:sz w:val="20"/>
              </w:rPr>
              <w:t xml:space="preserve">Evidence that the manufacturer / licensed technology provider has complied with </w:t>
            </w:r>
            <w:r w:rsidRPr="00043630">
              <w:rPr>
                <w:rFonts w:cs="Arial"/>
                <w:sz w:val="20"/>
              </w:rPr>
              <w:t>Clause</w:t>
            </w:r>
            <w:r w:rsidR="00043630">
              <w:rPr>
                <w:rFonts w:cs="Arial"/>
                <w:sz w:val="20"/>
              </w:rPr>
              <w:t> </w:t>
            </w:r>
            <w:r w:rsidRPr="00043630">
              <w:rPr>
                <w:rFonts w:cs="Arial"/>
                <w:sz w:val="20"/>
              </w:rPr>
              <w:fldChar w:fldCharType="begin"/>
            </w:r>
            <w:r w:rsidRPr="00043630">
              <w:rPr>
                <w:rFonts w:cs="Arial"/>
                <w:sz w:val="20"/>
              </w:rPr>
              <w:instrText xml:space="preserve"> REF _Ref14859896 \r \h  \* MERGEFORMAT </w:instrText>
            </w:r>
            <w:r w:rsidRPr="00043630">
              <w:rPr>
                <w:rFonts w:cs="Arial"/>
                <w:sz w:val="20"/>
              </w:rPr>
            </w:r>
            <w:r w:rsidRPr="00043630">
              <w:rPr>
                <w:rFonts w:cs="Arial"/>
                <w:sz w:val="20"/>
              </w:rPr>
              <w:fldChar w:fldCharType="separate"/>
            </w:r>
            <w:r w:rsidRPr="00043630">
              <w:rPr>
                <w:rFonts w:cs="Arial"/>
                <w:sz w:val="20"/>
              </w:rPr>
              <w:t>5.2</w:t>
            </w:r>
            <w:r w:rsidRPr="00043630">
              <w:rPr>
                <w:rFonts w:cs="Arial"/>
                <w:sz w:val="20"/>
              </w:rPr>
              <w:fldChar w:fldCharType="end"/>
            </w:r>
            <w:r w:rsidRPr="00043630">
              <w:rPr>
                <w:rFonts w:eastAsia="SimSun" w:cs="Arial"/>
                <w:sz w:val="20"/>
              </w:rPr>
              <w:t>.</w:t>
            </w:r>
          </w:p>
        </w:tc>
      </w:tr>
      <w:tr w:rsidR="008A0EEC" w:rsidRPr="00D811AF" w14:paraId="208DC77B" w14:textId="77777777" w:rsidTr="008A0EEC">
        <w:tc>
          <w:tcPr>
            <w:tcW w:w="983" w:type="dxa"/>
          </w:tcPr>
          <w:p w14:paraId="069F541E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  <w:r w:rsidRPr="00043630">
              <w:rPr>
                <w:sz w:val="20"/>
              </w:rPr>
              <w:fldChar w:fldCharType="begin"/>
            </w:r>
            <w:r w:rsidRPr="00043630">
              <w:rPr>
                <w:sz w:val="20"/>
              </w:rPr>
              <w:instrText xml:space="preserve"> REF _Ref6319756 \r \h  \* MERGEFORMAT </w:instrText>
            </w:r>
            <w:r w:rsidRPr="00043630">
              <w:rPr>
                <w:sz w:val="20"/>
              </w:rPr>
            </w:r>
            <w:r w:rsidRPr="00043630">
              <w:rPr>
                <w:sz w:val="20"/>
              </w:rPr>
              <w:fldChar w:fldCharType="separate"/>
            </w:r>
            <w:r w:rsidRPr="00043630">
              <w:rPr>
                <w:sz w:val="20"/>
              </w:rPr>
              <w:t>7.4</w:t>
            </w:r>
            <w:r w:rsidRPr="00043630">
              <w:rPr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296AC6A3" w14:textId="77777777" w:rsidR="004F31DE" w:rsidRPr="00043630" w:rsidRDefault="004F31DE" w:rsidP="005A462D">
            <w:pPr>
              <w:pStyle w:val="Tabletext"/>
              <w:ind w:left="-57" w:firstLine="0"/>
              <w:rPr>
                <w:sz w:val="20"/>
              </w:rPr>
            </w:pPr>
          </w:p>
        </w:tc>
        <w:tc>
          <w:tcPr>
            <w:tcW w:w="1559" w:type="dxa"/>
          </w:tcPr>
          <w:p w14:paraId="0053167D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</w:p>
        </w:tc>
        <w:tc>
          <w:tcPr>
            <w:tcW w:w="4394" w:type="dxa"/>
          </w:tcPr>
          <w:p w14:paraId="0E926087" w14:textId="77777777" w:rsidR="004F31DE" w:rsidRPr="00043630" w:rsidRDefault="004F31DE" w:rsidP="005A462D">
            <w:pPr>
              <w:pStyle w:val="Tabletext"/>
              <w:ind w:left="34" w:firstLine="0"/>
              <w:rPr>
                <w:sz w:val="20"/>
              </w:rPr>
            </w:pPr>
            <w:r w:rsidRPr="00043630">
              <w:rPr>
                <w:sz w:val="20"/>
              </w:rPr>
              <w:t>Delivery docket with additional information.</w:t>
            </w:r>
          </w:p>
        </w:tc>
      </w:tr>
      <w:tr w:rsidR="008A0EEC" w:rsidRPr="00D811AF" w14:paraId="09F3A5FD" w14:textId="77777777" w:rsidTr="008A0EEC">
        <w:tc>
          <w:tcPr>
            <w:tcW w:w="983" w:type="dxa"/>
          </w:tcPr>
          <w:p w14:paraId="7A2A7082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  <w:r w:rsidRPr="00043630">
              <w:rPr>
                <w:sz w:val="20"/>
              </w:rPr>
              <w:fldChar w:fldCharType="begin"/>
            </w:r>
            <w:r w:rsidRPr="00043630">
              <w:rPr>
                <w:sz w:val="20"/>
              </w:rPr>
              <w:instrText xml:space="preserve"> REF _Ref13039332 \r \h  \* MERGEFORMAT </w:instrText>
            </w:r>
            <w:r w:rsidRPr="00043630">
              <w:rPr>
                <w:sz w:val="20"/>
              </w:rPr>
            </w:r>
            <w:r w:rsidRPr="00043630">
              <w:rPr>
                <w:sz w:val="20"/>
              </w:rPr>
              <w:fldChar w:fldCharType="separate"/>
            </w:r>
            <w:r w:rsidRPr="00043630">
              <w:rPr>
                <w:sz w:val="20"/>
              </w:rPr>
              <w:t>8.1</w:t>
            </w:r>
            <w:r w:rsidRPr="00043630">
              <w:rPr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492B31CC" w14:textId="77777777" w:rsidR="004F31DE" w:rsidRPr="00043630" w:rsidRDefault="004F31DE" w:rsidP="005A462D">
            <w:pPr>
              <w:pStyle w:val="Tabletext"/>
              <w:ind w:left="-57" w:firstLine="0"/>
              <w:rPr>
                <w:sz w:val="20"/>
              </w:rPr>
            </w:pPr>
          </w:p>
        </w:tc>
        <w:tc>
          <w:tcPr>
            <w:tcW w:w="1559" w:type="dxa"/>
          </w:tcPr>
          <w:p w14:paraId="192241A5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</w:p>
        </w:tc>
        <w:tc>
          <w:tcPr>
            <w:tcW w:w="4394" w:type="dxa"/>
          </w:tcPr>
          <w:p w14:paraId="523D04F2" w14:textId="77777777" w:rsidR="004F31DE" w:rsidRPr="00043630" w:rsidRDefault="004F31DE" w:rsidP="005A462D">
            <w:pPr>
              <w:pStyle w:val="Tabletext"/>
              <w:ind w:left="34" w:firstLine="0"/>
              <w:rPr>
                <w:sz w:val="20"/>
              </w:rPr>
            </w:pPr>
            <w:r w:rsidRPr="00043630">
              <w:rPr>
                <w:sz w:val="20"/>
              </w:rPr>
              <w:t>Production assessment reports</w:t>
            </w:r>
          </w:p>
        </w:tc>
      </w:tr>
      <w:tr w:rsidR="008A0EEC" w:rsidRPr="00F70927" w14:paraId="60EC317E" w14:textId="77777777" w:rsidTr="008A0EEC">
        <w:tc>
          <w:tcPr>
            <w:tcW w:w="983" w:type="dxa"/>
          </w:tcPr>
          <w:p w14:paraId="633387DE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  <w:r w:rsidRPr="00043630">
              <w:rPr>
                <w:sz w:val="20"/>
              </w:rPr>
              <w:fldChar w:fldCharType="begin"/>
            </w:r>
            <w:r w:rsidRPr="00043630">
              <w:rPr>
                <w:sz w:val="20"/>
              </w:rPr>
              <w:instrText xml:space="preserve"> REF _Ref14860123 \r \h  \* MERGEFORMAT </w:instrText>
            </w:r>
            <w:r w:rsidRPr="00043630">
              <w:rPr>
                <w:sz w:val="20"/>
              </w:rPr>
            </w:r>
            <w:r w:rsidRPr="00043630">
              <w:rPr>
                <w:sz w:val="20"/>
              </w:rPr>
              <w:fldChar w:fldCharType="separate"/>
            </w:r>
            <w:r w:rsidRPr="00043630">
              <w:rPr>
                <w:sz w:val="20"/>
              </w:rPr>
              <w:t>8.2</w:t>
            </w:r>
            <w:r w:rsidRPr="00043630">
              <w:rPr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4AF028E3" w14:textId="77777777" w:rsidR="004F31DE" w:rsidRPr="00043630" w:rsidRDefault="004F31DE" w:rsidP="005A462D">
            <w:pPr>
              <w:pStyle w:val="Tabletext"/>
              <w:ind w:left="-57" w:firstLine="0"/>
              <w:rPr>
                <w:sz w:val="20"/>
              </w:rPr>
            </w:pPr>
          </w:p>
        </w:tc>
        <w:tc>
          <w:tcPr>
            <w:tcW w:w="1559" w:type="dxa"/>
          </w:tcPr>
          <w:p w14:paraId="7A5D731D" w14:textId="77777777" w:rsidR="004F31DE" w:rsidRPr="00043630" w:rsidRDefault="004F31DE" w:rsidP="005A462D">
            <w:pPr>
              <w:pStyle w:val="Tabletext"/>
              <w:ind w:left="157" w:hanging="141"/>
              <w:rPr>
                <w:sz w:val="20"/>
              </w:rPr>
            </w:pPr>
          </w:p>
        </w:tc>
        <w:tc>
          <w:tcPr>
            <w:tcW w:w="4394" w:type="dxa"/>
          </w:tcPr>
          <w:p w14:paraId="6E1619E4" w14:textId="77777777" w:rsidR="004F31DE" w:rsidRPr="00043630" w:rsidRDefault="004F31DE" w:rsidP="005A462D">
            <w:pPr>
              <w:pStyle w:val="Tabletext"/>
              <w:ind w:left="34" w:firstLine="0"/>
              <w:rPr>
                <w:sz w:val="20"/>
              </w:rPr>
            </w:pPr>
            <w:r w:rsidRPr="00043630">
              <w:rPr>
                <w:sz w:val="20"/>
              </w:rPr>
              <w:t>Project assessment test results</w:t>
            </w:r>
          </w:p>
        </w:tc>
      </w:tr>
    </w:tbl>
    <w:p w14:paraId="60339DBE" w14:textId="77777777" w:rsidR="004F31DE" w:rsidRPr="00A17DE1" w:rsidRDefault="004F31DE" w:rsidP="004F31DE"/>
    <w:p w14:paraId="669F0CBD" w14:textId="77777777" w:rsidR="00AF1D72" w:rsidRPr="008C101C" w:rsidRDefault="00AF1D72" w:rsidP="001B7F72">
      <w:pPr>
        <w:pStyle w:val="Heading1nonumber"/>
        <w:pageBreakBefore/>
      </w:pPr>
      <w:r w:rsidRPr="008C101C">
        <w:lastRenderedPageBreak/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09"/>
        <w:gridCol w:w="5103"/>
        <w:gridCol w:w="1275"/>
        <w:gridCol w:w="1631"/>
      </w:tblGrid>
      <w:tr w:rsidR="00AF1D72" w:rsidRPr="00731EA0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77777777" w:rsidR="00AF1D72" w:rsidRPr="001B7F72" w:rsidRDefault="00AF1D72" w:rsidP="00BF2605">
            <w:pPr>
              <w:pStyle w:val="TableBodyText"/>
              <w:jc w:val="center"/>
            </w:pPr>
            <w:r w:rsidRPr="001B7F72">
              <w:t>Amendment no.</w:t>
            </w:r>
          </w:p>
        </w:tc>
        <w:tc>
          <w:tcPr>
            <w:tcW w:w="2709" w:type="pct"/>
          </w:tcPr>
          <w:p w14:paraId="09845ABA" w14:textId="77777777" w:rsidR="00AF1D72" w:rsidRPr="001B7F72" w:rsidRDefault="00AF1D72" w:rsidP="001B7F72">
            <w:pPr>
              <w:pStyle w:val="TableBodyText"/>
            </w:pPr>
            <w:r w:rsidRPr="001B7F72"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1B7F72" w:rsidRDefault="00AF1D72" w:rsidP="001B7F72">
            <w:pPr>
              <w:pStyle w:val="TableBodyText"/>
            </w:pPr>
            <w:r w:rsidRPr="001B7F72">
              <w:t>Action</w:t>
            </w:r>
          </w:p>
        </w:tc>
        <w:tc>
          <w:tcPr>
            <w:tcW w:w="866" w:type="pct"/>
          </w:tcPr>
          <w:p w14:paraId="52F23AEE" w14:textId="77777777" w:rsidR="00AF1D72" w:rsidRPr="001B7F72" w:rsidRDefault="00AF1D72" w:rsidP="001B7F72">
            <w:pPr>
              <w:pStyle w:val="TableBodyText"/>
            </w:pPr>
            <w:r w:rsidRPr="001B7F72">
              <w:t>Date</w:t>
            </w:r>
          </w:p>
        </w:tc>
      </w:tr>
      <w:tr w:rsidR="00AF1D72" w14:paraId="04352636" w14:textId="77777777" w:rsidTr="00B23DC4">
        <w:tc>
          <w:tcPr>
            <w:tcW w:w="748" w:type="pct"/>
          </w:tcPr>
          <w:p w14:paraId="6994222E" w14:textId="12EC8E13" w:rsidR="00AF1D72" w:rsidRPr="00B23DC4" w:rsidRDefault="00BF2605" w:rsidP="00BF2605">
            <w:pPr>
              <w:pStyle w:val="Table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9" w:type="pct"/>
          </w:tcPr>
          <w:p w14:paraId="72F01B8B" w14:textId="26E15D64" w:rsidR="00AF1D72" w:rsidRPr="00B23DC4" w:rsidRDefault="00B23DC4" w:rsidP="00B23DC4">
            <w:pPr>
              <w:pStyle w:val="TableBodyText"/>
              <w:rPr>
                <w:sz w:val="18"/>
                <w:szCs w:val="18"/>
              </w:rPr>
            </w:pPr>
            <w:r w:rsidRPr="00B23DC4">
              <w:rPr>
                <w:sz w:val="18"/>
                <w:szCs w:val="18"/>
              </w:rPr>
              <w:t>New specification</w:t>
            </w:r>
          </w:p>
        </w:tc>
        <w:tc>
          <w:tcPr>
            <w:tcW w:w="677" w:type="pct"/>
          </w:tcPr>
          <w:p w14:paraId="005DA5BA" w14:textId="449F917F" w:rsidR="00AF1D72" w:rsidRPr="00B23DC4" w:rsidRDefault="00BF2605" w:rsidP="00B23DC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66" w:type="pct"/>
          </w:tcPr>
          <w:p w14:paraId="23AB785C" w14:textId="641FF585" w:rsidR="00AF1D72" w:rsidRPr="00B23DC4" w:rsidRDefault="00F72E3F" w:rsidP="00B23DC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2020</w:t>
            </w:r>
          </w:p>
        </w:tc>
      </w:tr>
      <w:tr w:rsidR="00AF1D72" w14:paraId="2517FC0B" w14:textId="77777777" w:rsidTr="00B23DC4">
        <w:tc>
          <w:tcPr>
            <w:tcW w:w="748" w:type="pct"/>
          </w:tcPr>
          <w:p w14:paraId="06079DBE" w14:textId="77777777" w:rsidR="00AF1D72" w:rsidRPr="00AF45E6" w:rsidRDefault="00AF1D72" w:rsidP="00AF1D72">
            <w:pPr>
              <w:pStyle w:val="TableFigureCenter"/>
            </w:pPr>
          </w:p>
        </w:tc>
        <w:tc>
          <w:tcPr>
            <w:tcW w:w="2709" w:type="pct"/>
          </w:tcPr>
          <w:p w14:paraId="6D3B375F" w14:textId="77777777" w:rsidR="00AF1D72" w:rsidRPr="00F6126C" w:rsidRDefault="00AF1D72" w:rsidP="00AF1D72">
            <w:pPr>
              <w:pStyle w:val="TableFigureLeft"/>
            </w:pPr>
          </w:p>
        </w:tc>
        <w:tc>
          <w:tcPr>
            <w:tcW w:w="677" w:type="pct"/>
          </w:tcPr>
          <w:p w14:paraId="13C81DF1" w14:textId="77777777" w:rsidR="00AF1D72" w:rsidRPr="008049FA" w:rsidRDefault="00AF1D72" w:rsidP="00AF1D72">
            <w:pPr>
              <w:pStyle w:val="TableFigureCenter"/>
            </w:pPr>
          </w:p>
        </w:tc>
        <w:tc>
          <w:tcPr>
            <w:tcW w:w="866" w:type="pct"/>
          </w:tcPr>
          <w:p w14:paraId="7F3165B6" w14:textId="77777777" w:rsidR="00AF1D72" w:rsidRPr="00AF45E6" w:rsidRDefault="00AF1D72" w:rsidP="00AF1D72">
            <w:pPr>
              <w:pStyle w:val="TableFigureCenter"/>
            </w:pPr>
          </w:p>
        </w:tc>
      </w:tr>
    </w:tbl>
    <w:p w14:paraId="5AA22917" w14:textId="77777777" w:rsidR="00AF1D72" w:rsidRDefault="00AF1D72" w:rsidP="00492F96">
      <w:pPr>
        <w:pStyle w:val="Paragraph"/>
        <w:numPr>
          <w:ilvl w:val="0"/>
          <w:numId w:val="10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1B7F72" w:rsidRDefault="00AF1D72" w:rsidP="001B7F72">
            <w:pPr>
              <w:pStyle w:val="TableBodyText"/>
              <w:rPr>
                <w:b/>
                <w:bCs w:val="0"/>
                <w:sz w:val="16"/>
              </w:rPr>
            </w:pPr>
            <w:r w:rsidRPr="001B7F72">
              <w:rPr>
                <w:b/>
                <w:bCs w:val="0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95718B" w:rsidRDefault="00AF1D72" w:rsidP="001B7F72">
            <w:pPr>
              <w:pStyle w:val="TableBodyText"/>
            </w:pPr>
          </w:p>
        </w:tc>
      </w:tr>
      <w:tr w:rsidR="00AF1D72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E6543E" w:rsidRDefault="00AF1D72" w:rsidP="001B7F72">
            <w:pPr>
              <w:pStyle w:val="TableBodyText"/>
            </w:pPr>
            <w:r w:rsidRPr="00E6543E"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E6543E" w:rsidRDefault="00AF1D72" w:rsidP="001B7F72">
            <w:pPr>
              <w:pStyle w:val="TableBodyText"/>
            </w:pPr>
            <w:r w:rsidRPr="00E6543E">
              <w:t>Change in format</w:t>
            </w:r>
          </w:p>
        </w:tc>
      </w:tr>
      <w:tr w:rsidR="00AF1D72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E6543E" w:rsidRDefault="00AF1D72" w:rsidP="001B7F72">
            <w:pPr>
              <w:pStyle w:val="TableBodyText"/>
            </w:pPr>
            <w:r w:rsidRPr="00E6543E"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E6543E" w:rsidRDefault="00AF1D72" w:rsidP="001B7F72">
            <w:pPr>
              <w:pStyle w:val="TableBodyText"/>
            </w:pPr>
            <w:r w:rsidRPr="00E6543E">
              <w:t>Old clause removed and replaced with new clause</w:t>
            </w:r>
          </w:p>
        </w:tc>
      </w:tr>
      <w:tr w:rsidR="00AF1D72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E6543E" w:rsidRDefault="00AF1D72" w:rsidP="001B7F72">
            <w:pPr>
              <w:pStyle w:val="TableBodyText"/>
            </w:pPr>
            <w:r w:rsidRPr="00E6543E"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E6543E" w:rsidRDefault="00AF1D72" w:rsidP="001B7F72">
            <w:pPr>
              <w:pStyle w:val="TableBodyText"/>
            </w:pPr>
            <w:r w:rsidRPr="00E6543E">
              <w:t>Insertion of new clause</w:t>
            </w:r>
          </w:p>
        </w:tc>
      </w:tr>
      <w:tr w:rsidR="00AF1D72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E6543E" w:rsidRDefault="00AF1D72" w:rsidP="001B7F72">
            <w:pPr>
              <w:pStyle w:val="TableBodyText"/>
            </w:pPr>
            <w:r w:rsidRPr="00E6543E"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E6543E" w:rsidRDefault="00AF1D72" w:rsidP="001B7F72">
            <w:pPr>
              <w:pStyle w:val="TableBodyText"/>
            </w:pPr>
            <w:r w:rsidRPr="00E6543E">
              <w:t>Old clauses removed</w:t>
            </w:r>
          </w:p>
        </w:tc>
      </w:tr>
    </w:tbl>
    <w:p w14:paraId="082E5D1B" w14:textId="77777777" w:rsidR="00AF1D72" w:rsidRDefault="00AF1D72" w:rsidP="00492F96">
      <w:pPr>
        <w:pStyle w:val="Paragraph"/>
        <w:numPr>
          <w:ilvl w:val="0"/>
          <w:numId w:val="10"/>
        </w:numPr>
      </w:pPr>
    </w:p>
    <w:p w14:paraId="75B6880E" w14:textId="77777777" w:rsidR="00AF1D72" w:rsidRDefault="00AF1D72" w:rsidP="00492F96">
      <w:pPr>
        <w:pStyle w:val="Paragraph"/>
        <w:numPr>
          <w:ilvl w:val="0"/>
          <w:numId w:val="10"/>
        </w:numPr>
      </w:pPr>
    </w:p>
    <w:p w14:paraId="2E7C9868" w14:textId="4B1BAE79" w:rsidR="002372EC" w:rsidRDefault="002372EC">
      <w:pPr>
        <w:rPr>
          <w:rFonts w:cs="Arial"/>
          <w:b/>
          <w:color w:val="244061" w:themeColor="accent1" w:themeShade="80"/>
          <w:sz w:val="12"/>
          <w:szCs w:val="12"/>
        </w:rPr>
      </w:pPr>
    </w:p>
    <w:sectPr w:rsidR="002372EC" w:rsidSect="00AE427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65E3" w14:textId="77777777" w:rsidR="006A56D7" w:rsidRDefault="006A56D7">
      <w:r>
        <w:separator/>
      </w:r>
    </w:p>
  </w:endnote>
  <w:endnote w:type="continuationSeparator" w:id="0">
    <w:p w14:paraId="424AFDDC" w14:textId="77777777" w:rsidR="006A56D7" w:rsidRDefault="006A56D7">
      <w:r>
        <w:continuationSeparator/>
      </w:r>
    </w:p>
  </w:endnote>
  <w:endnote w:type="continuationNotice" w:id="1">
    <w:p w14:paraId="731D0C6A" w14:textId="77777777" w:rsidR="006A56D7" w:rsidRDefault="006A5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F2B3" w14:textId="4F64FAEE" w:rsidR="006A56D7" w:rsidRDefault="006A56D7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A4A09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6A56D7" w:rsidRDefault="006A56D7">
                          <w:pPr>
                            <w:spacing w:before="10"/>
                            <w:ind w:left="20"/>
                          </w:pPr>
                          <w: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" filled="f" stroked="f">
              <v:textbox inset="0,0,0,0">
                <w:txbxContent>
                  <w:p w14:paraId="7FA9F3DA" w14:textId="77777777" w:rsidR="006A56D7" w:rsidRDefault="006A56D7">
                    <w:pPr>
                      <w:spacing w:before="10"/>
                      <w:ind w:left="20"/>
                    </w:pPr>
                    <w: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6A56D7" w:rsidRDefault="006A56D7">
                          <w:pPr>
                            <w:spacing w:before="10"/>
                            <w:ind w:left="20"/>
                          </w:pPr>
                          <w: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" filled="f" stroked="f">
              <v:textbox inset="0,0,0,0">
                <w:txbxContent>
                  <w:p w14:paraId="7FA9F3DB" w14:textId="77777777" w:rsidR="006A56D7" w:rsidRDefault="006A56D7">
                    <w:pPr>
                      <w:spacing w:before="10"/>
                      <w:ind w:left="20"/>
                    </w:pPr>
                    <w: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C5E90" w14:textId="1846B8C7" w:rsidR="006A56D7" w:rsidRDefault="006A56D7">
    <w:pPr>
      <w:pStyle w:val="Footer"/>
    </w:pPr>
  </w:p>
  <w:p w14:paraId="6C2B5812" w14:textId="0AD6CADB" w:rsidR="006A56D7" w:rsidRPr="005252CA" w:rsidRDefault="006A56D7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Cs/>
        <w:noProof/>
        <w:color w:val="6F7C87"/>
        <w:lang w:eastAsia="ja-JP"/>
      </w:rPr>
    </w:pPr>
    <w:r>
      <w:rPr>
        <w:rFonts w:eastAsia="SimSun" w:cs="Arial"/>
        <w:b/>
        <w:sz w:val="16"/>
        <w:szCs w:val="16"/>
        <w:lang w:eastAsia="ja-JP"/>
      </w:rPr>
      <w:br/>
    </w:r>
    <w:r w:rsidRPr="005252CA">
      <w:rPr>
        <w:rFonts w:eastAsia="SimSun" w:cs="Arial"/>
        <w:bCs/>
        <w:sz w:val="16"/>
        <w:szCs w:val="16"/>
        <w:lang w:eastAsia="ja-JP"/>
      </w:rPr>
      <w:t xml:space="preserve">Edition 1.0 </w:t>
    </w:r>
    <w:r w:rsidR="00A12F5E">
      <w:rPr>
        <w:rFonts w:eastAsia="SimSun" w:cs="Arial"/>
        <w:bCs/>
        <w:sz w:val="16"/>
        <w:szCs w:val="16"/>
        <w:lang w:eastAsia="ja-JP"/>
      </w:rPr>
      <w:t>January 2020</w:t>
    </w:r>
    <w:r w:rsidRPr="005252CA">
      <w:rPr>
        <w:rFonts w:eastAsia="SimSun" w:cs="Arial"/>
        <w:bCs/>
        <w:sz w:val="16"/>
        <w:szCs w:val="16"/>
        <w:lang w:eastAsia="ja-JP"/>
      </w:rPr>
      <w:t xml:space="preserve"> | page </w:t>
    </w:r>
    <w:r w:rsidRPr="005252CA">
      <w:rPr>
        <w:rFonts w:eastAsia="SimSun" w:cs="Arial"/>
        <w:bCs/>
        <w:sz w:val="16"/>
        <w:szCs w:val="16"/>
        <w:lang w:eastAsia="ja-JP"/>
      </w:rPr>
      <w:fldChar w:fldCharType="begin"/>
    </w:r>
    <w:r w:rsidRPr="005252CA">
      <w:rPr>
        <w:rFonts w:eastAsia="SimSun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 w:cs="Arial"/>
        <w:bCs/>
        <w:sz w:val="16"/>
        <w:szCs w:val="16"/>
        <w:lang w:eastAsia="ja-JP"/>
      </w:rPr>
      <w:fldChar w:fldCharType="separate"/>
    </w:r>
    <w:r w:rsidRPr="005252CA">
      <w:rPr>
        <w:rFonts w:eastAsia="SimSun" w:cs="Arial"/>
        <w:bCs/>
        <w:noProof/>
        <w:sz w:val="16"/>
        <w:szCs w:val="16"/>
        <w:lang w:eastAsia="ja-JP"/>
      </w:rPr>
      <w:t>7</w:t>
    </w:r>
    <w:r w:rsidRPr="005252CA">
      <w:rPr>
        <w:rFonts w:eastAsia="SimSun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1EE4" w14:textId="79F7048C" w:rsidR="006A56D7" w:rsidRDefault="006A56D7">
    <w:pPr>
      <w:pStyle w:val="Footer"/>
    </w:pPr>
  </w:p>
  <w:p w14:paraId="53E5821A" w14:textId="23C9DB58" w:rsidR="006A56D7" w:rsidRPr="004A7CAA" w:rsidRDefault="006A56D7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noProof/>
        <w:color w:val="6F7C87"/>
        <w:lang w:eastAsia="ja-JP"/>
      </w:rPr>
    </w:pP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br/>
    </w:r>
    <w:r w:rsidRPr="005252CA">
      <w:rPr>
        <w:rFonts w:eastAsia="SimSun" w:cs="Arial"/>
        <w:bCs/>
        <w:sz w:val="16"/>
        <w:szCs w:val="16"/>
        <w:lang w:eastAsia="ja-JP"/>
      </w:rPr>
      <w:t xml:space="preserve">Edition 1.0 </w:t>
    </w:r>
    <w:r w:rsidR="00E43A9A">
      <w:rPr>
        <w:rFonts w:eastAsia="SimSun" w:cs="Arial"/>
        <w:sz w:val="16"/>
        <w:szCs w:val="16"/>
        <w:lang w:eastAsia="ja-JP"/>
      </w:rPr>
      <w:t>January 2020</w:t>
    </w:r>
    <w:r w:rsidRPr="003F7623">
      <w:rPr>
        <w:rFonts w:eastAsia="SimSun" w:cs="Arial"/>
        <w:sz w:val="16"/>
        <w:szCs w:val="16"/>
        <w:lang w:eastAsia="ja-JP"/>
      </w:rPr>
      <w:t xml:space="preserve"> | page </w:t>
    </w:r>
    <w:r w:rsidRPr="003F7623">
      <w:rPr>
        <w:rFonts w:eastAsia="SimSun" w:cs="Arial"/>
        <w:sz w:val="16"/>
        <w:szCs w:val="16"/>
        <w:lang w:eastAsia="ja-JP"/>
      </w:rPr>
      <w:fldChar w:fldCharType="begin"/>
    </w:r>
    <w:r w:rsidRPr="003F7623">
      <w:rPr>
        <w:rFonts w:eastAsia="SimSun" w:cs="Arial"/>
        <w:sz w:val="16"/>
        <w:szCs w:val="16"/>
        <w:lang w:eastAsia="ja-JP"/>
      </w:rPr>
      <w:instrText xml:space="preserve"> PAGE   \* MERGEFORMAT </w:instrText>
    </w:r>
    <w:r w:rsidRPr="003F7623">
      <w:rPr>
        <w:rFonts w:eastAsia="SimSun" w:cs="Arial"/>
        <w:sz w:val="16"/>
        <w:szCs w:val="16"/>
        <w:lang w:eastAsia="ja-JP"/>
      </w:rPr>
      <w:fldChar w:fldCharType="separate"/>
    </w:r>
    <w:r w:rsidRPr="003F7623">
      <w:rPr>
        <w:rFonts w:eastAsia="SimSun" w:cs="Arial"/>
        <w:noProof/>
        <w:sz w:val="16"/>
        <w:szCs w:val="16"/>
        <w:lang w:eastAsia="ja-JP"/>
      </w:rPr>
      <w:t>1</w:t>
    </w:r>
    <w:r w:rsidRPr="003F7623">
      <w:rPr>
        <w:rFonts w:eastAsia="SimSun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2C7B3" w14:textId="77777777" w:rsidR="006A56D7" w:rsidRDefault="006A56D7">
      <w:r>
        <w:separator/>
      </w:r>
    </w:p>
  </w:footnote>
  <w:footnote w:type="continuationSeparator" w:id="0">
    <w:p w14:paraId="432BFBE9" w14:textId="77777777" w:rsidR="006A56D7" w:rsidRDefault="006A56D7">
      <w:r>
        <w:continuationSeparator/>
      </w:r>
    </w:p>
  </w:footnote>
  <w:footnote w:type="continuationNotice" w:id="1">
    <w:p w14:paraId="0B3DE6AF" w14:textId="77777777" w:rsidR="006A56D7" w:rsidRDefault="006A5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58B9" w14:textId="79322180" w:rsidR="006A56D7" w:rsidRPr="003F7623" w:rsidRDefault="006A56D7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/>
        <w:sz w:val="16"/>
        <w:szCs w:val="16"/>
        <w:lang w:eastAsia="ja-JP"/>
      </w:rPr>
    </w:pPr>
    <w:r w:rsidRPr="003F7623">
      <w:rPr>
        <w:rFonts w:eastAsia="SimSun" w:cs="Arial"/>
        <w:b/>
        <w:sz w:val="16"/>
        <w:szCs w:val="16"/>
        <w:lang w:eastAsia="ja-JP"/>
      </w:rPr>
      <w:t xml:space="preserve">ATS </w:t>
    </w:r>
    <w:r w:rsidR="004F31DE">
      <w:rPr>
        <w:rFonts w:eastAsia="SimSun" w:cs="Arial"/>
        <w:b/>
        <w:sz w:val="16"/>
        <w:szCs w:val="16"/>
        <w:lang w:eastAsia="ja-JP"/>
      </w:rPr>
      <w:t>533</w:t>
    </w:r>
    <w:r w:rsidRPr="003F7623">
      <w:rPr>
        <w:rFonts w:eastAsia="SimSun" w:cs="Arial"/>
        <w:b/>
        <w:sz w:val="16"/>
        <w:szCs w:val="16"/>
        <w:lang w:eastAsia="ja-JP"/>
      </w:rPr>
      <w:t xml:space="preserve">0 Supply of </w:t>
    </w:r>
    <w:r w:rsidR="004F31DE">
      <w:rPr>
        <w:rFonts w:eastAsia="SimSun" w:cs="Arial"/>
        <w:b/>
        <w:sz w:val="16"/>
        <w:szCs w:val="16"/>
        <w:lang w:eastAsia="ja-JP"/>
      </w:rPr>
      <w:t>Geop</w:t>
    </w:r>
    <w:r>
      <w:rPr>
        <w:rFonts w:eastAsia="SimSun" w:cs="Arial"/>
        <w:b/>
        <w:sz w:val="16"/>
        <w:szCs w:val="16"/>
        <w:lang w:eastAsia="ja-JP"/>
      </w:rPr>
      <w:t xml:space="preserve">olymer </w:t>
    </w:r>
    <w:r w:rsidR="004F31DE">
      <w:rPr>
        <w:rFonts w:eastAsia="SimSun" w:cs="Arial"/>
        <w:b/>
        <w:sz w:val="16"/>
        <w:szCs w:val="16"/>
        <w:lang w:eastAsia="ja-JP"/>
      </w:rPr>
      <w:t>Concrete</w:t>
    </w:r>
  </w:p>
  <w:p w14:paraId="35BA0088" w14:textId="7748489B" w:rsidR="006A56D7" w:rsidRPr="00AE427D" w:rsidRDefault="006A56D7" w:rsidP="00AE427D">
    <w:pPr>
      <w:pStyle w:val="Header"/>
      <w:jc w:val="right"/>
      <w:rPr>
        <w:rFonts w:cs="Arial"/>
        <w:sz w:val="18"/>
        <w:szCs w:val="18"/>
      </w:rPr>
    </w:pPr>
  </w:p>
  <w:p w14:paraId="2B1651BB" w14:textId="77777777" w:rsidR="006A56D7" w:rsidRPr="00AE427D" w:rsidRDefault="006A56D7" w:rsidP="00AE427D">
    <w:pPr>
      <w:pStyle w:val="Header"/>
      <w:jc w:val="right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69544" w14:textId="0852E6B9" w:rsidR="006A56D7" w:rsidRDefault="006A56D7">
    <w:pPr>
      <w:pStyle w:val="Header"/>
    </w:pPr>
  </w:p>
  <w:p w14:paraId="53F80914" w14:textId="77777777" w:rsidR="006A56D7" w:rsidRDefault="006A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D0B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02A5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C4AF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809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148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6C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C1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6EB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0A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E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12223E"/>
    <w:multiLevelType w:val="multilevel"/>
    <w:tmpl w:val="EFB69B38"/>
    <w:lvl w:ilvl="0">
      <w:start w:val="1"/>
      <w:numFmt w:val="lowerLetter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5" w15:restartNumberingAfterBreak="0">
    <w:nsid w:val="247C51A8"/>
    <w:multiLevelType w:val="multilevel"/>
    <w:tmpl w:val="468016AA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6" w15:restartNumberingAfterBreak="0">
    <w:nsid w:val="27BF0B80"/>
    <w:multiLevelType w:val="hybridMultilevel"/>
    <w:tmpl w:val="17509B90"/>
    <w:lvl w:ilvl="0" w:tplc="59D01346">
      <w:start w:val="1"/>
      <w:numFmt w:val="lowerLetter"/>
      <w:pStyle w:val="Bodynumbered2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8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9" w15:restartNumberingAfterBreak="0">
    <w:nsid w:val="33D36368"/>
    <w:multiLevelType w:val="multilevel"/>
    <w:tmpl w:val="EFB69B38"/>
    <w:lvl w:ilvl="0">
      <w:start w:val="1"/>
      <w:numFmt w:val="lowerLetter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0" w15:restartNumberingAfterBreak="0">
    <w:nsid w:val="40CB6B1B"/>
    <w:multiLevelType w:val="multilevel"/>
    <w:tmpl w:val="EFB69B38"/>
    <w:lvl w:ilvl="0">
      <w:start w:val="1"/>
      <w:numFmt w:val="lowerLetter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2" w15:restartNumberingAfterBreak="0">
    <w:nsid w:val="4B5C6022"/>
    <w:multiLevelType w:val="hybridMultilevel"/>
    <w:tmpl w:val="CBC4AF40"/>
    <w:lvl w:ilvl="0" w:tplc="E7D0C5F0">
      <w:start w:val="1"/>
      <w:numFmt w:val="lowerRoman"/>
      <w:lvlText w:val="%1)"/>
      <w:lvlJc w:val="left"/>
      <w:pPr>
        <w:ind w:left="9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01" w:hanging="360"/>
      </w:pPr>
    </w:lvl>
    <w:lvl w:ilvl="2" w:tplc="0C09001B" w:tentative="1">
      <w:start w:val="1"/>
      <w:numFmt w:val="lowerRoman"/>
      <w:lvlText w:val="%3."/>
      <w:lvlJc w:val="right"/>
      <w:pPr>
        <w:ind w:left="2421" w:hanging="180"/>
      </w:pPr>
    </w:lvl>
    <w:lvl w:ilvl="3" w:tplc="0C09000F" w:tentative="1">
      <w:start w:val="1"/>
      <w:numFmt w:val="decimal"/>
      <w:lvlText w:val="%4."/>
      <w:lvlJc w:val="left"/>
      <w:pPr>
        <w:ind w:left="3141" w:hanging="360"/>
      </w:pPr>
    </w:lvl>
    <w:lvl w:ilvl="4" w:tplc="0C090019" w:tentative="1">
      <w:start w:val="1"/>
      <w:numFmt w:val="lowerLetter"/>
      <w:lvlText w:val="%5."/>
      <w:lvlJc w:val="left"/>
      <w:pPr>
        <w:ind w:left="3861" w:hanging="360"/>
      </w:pPr>
    </w:lvl>
    <w:lvl w:ilvl="5" w:tplc="0C09001B" w:tentative="1">
      <w:start w:val="1"/>
      <w:numFmt w:val="lowerRoman"/>
      <w:lvlText w:val="%6."/>
      <w:lvlJc w:val="right"/>
      <w:pPr>
        <w:ind w:left="4581" w:hanging="180"/>
      </w:pPr>
    </w:lvl>
    <w:lvl w:ilvl="6" w:tplc="0C09000F" w:tentative="1">
      <w:start w:val="1"/>
      <w:numFmt w:val="decimal"/>
      <w:lvlText w:val="%7."/>
      <w:lvlJc w:val="left"/>
      <w:pPr>
        <w:ind w:left="5301" w:hanging="360"/>
      </w:pPr>
    </w:lvl>
    <w:lvl w:ilvl="7" w:tplc="0C090019" w:tentative="1">
      <w:start w:val="1"/>
      <w:numFmt w:val="lowerLetter"/>
      <w:lvlText w:val="%8."/>
      <w:lvlJc w:val="left"/>
      <w:pPr>
        <w:ind w:left="6021" w:hanging="360"/>
      </w:pPr>
    </w:lvl>
    <w:lvl w:ilvl="8" w:tplc="0C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455653"/>
    <w:multiLevelType w:val="multilevel"/>
    <w:tmpl w:val="ED186DAC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002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6" w15:restartNumberingAfterBreak="0">
    <w:nsid w:val="6A592B9F"/>
    <w:multiLevelType w:val="hybridMultilevel"/>
    <w:tmpl w:val="CBC4AF40"/>
    <w:lvl w:ilvl="0" w:tplc="E7D0C5F0">
      <w:start w:val="1"/>
      <w:numFmt w:val="lowerRoman"/>
      <w:lvlText w:val="%1)"/>
      <w:lvlJc w:val="left"/>
      <w:pPr>
        <w:ind w:left="9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01" w:hanging="360"/>
      </w:pPr>
    </w:lvl>
    <w:lvl w:ilvl="2" w:tplc="0C09001B" w:tentative="1">
      <w:start w:val="1"/>
      <w:numFmt w:val="lowerRoman"/>
      <w:lvlText w:val="%3."/>
      <w:lvlJc w:val="right"/>
      <w:pPr>
        <w:ind w:left="2421" w:hanging="180"/>
      </w:pPr>
    </w:lvl>
    <w:lvl w:ilvl="3" w:tplc="0C09000F" w:tentative="1">
      <w:start w:val="1"/>
      <w:numFmt w:val="decimal"/>
      <w:lvlText w:val="%4."/>
      <w:lvlJc w:val="left"/>
      <w:pPr>
        <w:ind w:left="3141" w:hanging="360"/>
      </w:pPr>
    </w:lvl>
    <w:lvl w:ilvl="4" w:tplc="0C090019" w:tentative="1">
      <w:start w:val="1"/>
      <w:numFmt w:val="lowerLetter"/>
      <w:lvlText w:val="%5."/>
      <w:lvlJc w:val="left"/>
      <w:pPr>
        <w:ind w:left="3861" w:hanging="360"/>
      </w:pPr>
    </w:lvl>
    <w:lvl w:ilvl="5" w:tplc="0C09001B" w:tentative="1">
      <w:start w:val="1"/>
      <w:numFmt w:val="lowerRoman"/>
      <w:lvlText w:val="%6."/>
      <w:lvlJc w:val="right"/>
      <w:pPr>
        <w:ind w:left="4581" w:hanging="180"/>
      </w:pPr>
    </w:lvl>
    <w:lvl w:ilvl="6" w:tplc="0C09000F" w:tentative="1">
      <w:start w:val="1"/>
      <w:numFmt w:val="decimal"/>
      <w:lvlText w:val="%7."/>
      <w:lvlJc w:val="left"/>
      <w:pPr>
        <w:ind w:left="5301" w:hanging="360"/>
      </w:pPr>
    </w:lvl>
    <w:lvl w:ilvl="7" w:tplc="0C090019" w:tentative="1">
      <w:start w:val="1"/>
      <w:numFmt w:val="lowerLetter"/>
      <w:lvlText w:val="%8."/>
      <w:lvlJc w:val="left"/>
      <w:pPr>
        <w:ind w:left="6021" w:hanging="360"/>
      </w:pPr>
    </w:lvl>
    <w:lvl w:ilvl="8" w:tplc="0C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7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9" w15:restartNumberingAfterBreak="0">
    <w:nsid w:val="75E535F4"/>
    <w:multiLevelType w:val="hybridMultilevel"/>
    <w:tmpl w:val="43D6E964"/>
    <w:lvl w:ilvl="0" w:tplc="31E224C4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31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num w:numId="1">
    <w:abstractNumId w:val="31"/>
  </w:num>
  <w:num w:numId="2">
    <w:abstractNumId w:val="21"/>
  </w:num>
  <w:num w:numId="3">
    <w:abstractNumId w:val="28"/>
  </w:num>
  <w:num w:numId="4">
    <w:abstractNumId w:val="17"/>
  </w:num>
  <w:num w:numId="5">
    <w:abstractNumId w:val="11"/>
  </w:num>
  <w:num w:numId="6">
    <w:abstractNumId w:val="27"/>
  </w:num>
  <w:num w:numId="7">
    <w:abstractNumId w:val="18"/>
  </w:num>
  <w:num w:numId="8">
    <w:abstractNumId w:val="25"/>
  </w:num>
  <w:num w:numId="9">
    <w:abstractNumId w:val="13"/>
  </w:num>
  <w:num w:numId="10">
    <w:abstractNumId w:val="12"/>
  </w:num>
  <w:num w:numId="11">
    <w:abstractNumId w:val="24"/>
  </w:num>
  <w:num w:numId="12">
    <w:abstractNumId w:val="30"/>
  </w:num>
  <w:num w:numId="13">
    <w:abstractNumId w:val="16"/>
  </w:num>
  <w:num w:numId="14">
    <w:abstractNumId w:val="29"/>
  </w:num>
  <w:num w:numId="15">
    <w:abstractNumId w:val="15"/>
  </w:num>
  <w:num w:numId="16">
    <w:abstractNumId w:val="10"/>
  </w:num>
  <w:num w:numId="17">
    <w:abstractNumId w:val="23"/>
  </w:num>
  <w:num w:numId="18">
    <w:abstractNumId w:val="20"/>
  </w:num>
  <w:num w:numId="19">
    <w:abstractNumId w:val="22"/>
  </w:num>
  <w:num w:numId="20">
    <w:abstractNumId w:val="26"/>
  </w:num>
  <w:num w:numId="21">
    <w:abstractNumId w:val="14"/>
  </w:num>
  <w:num w:numId="22">
    <w:abstractNumId w:val="19"/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29"/>
    <w:lvlOverride w:ilvl="0">
      <w:startOverride w:val="1"/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6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29"/>
    <w:lvlOverride w:ilvl="0">
      <w:startOverride w:val="1"/>
    </w:lvlOverride>
  </w:num>
  <w:num w:numId="42">
    <w:abstractNumId w:val="16"/>
    <w:lvlOverride w:ilvl="0">
      <w:startOverride w:val="1"/>
    </w:lvlOverride>
  </w:num>
  <w:num w:numId="43">
    <w:abstractNumId w:val="16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3330"/>
    <w:rsid w:val="00006D2F"/>
    <w:rsid w:val="000074BA"/>
    <w:rsid w:val="00010315"/>
    <w:rsid w:val="00011356"/>
    <w:rsid w:val="000115DE"/>
    <w:rsid w:val="00012880"/>
    <w:rsid w:val="0001371F"/>
    <w:rsid w:val="0001456B"/>
    <w:rsid w:val="00017D92"/>
    <w:rsid w:val="00020BB3"/>
    <w:rsid w:val="00025D9A"/>
    <w:rsid w:val="00037DFF"/>
    <w:rsid w:val="00042467"/>
    <w:rsid w:val="00043630"/>
    <w:rsid w:val="00045CDF"/>
    <w:rsid w:val="00050542"/>
    <w:rsid w:val="000561B6"/>
    <w:rsid w:val="00057CE9"/>
    <w:rsid w:val="00062399"/>
    <w:rsid w:val="00066FF7"/>
    <w:rsid w:val="00073A3D"/>
    <w:rsid w:val="00075012"/>
    <w:rsid w:val="000750A5"/>
    <w:rsid w:val="00077815"/>
    <w:rsid w:val="00080AB7"/>
    <w:rsid w:val="00082B1B"/>
    <w:rsid w:val="00083DD0"/>
    <w:rsid w:val="00085392"/>
    <w:rsid w:val="000900DB"/>
    <w:rsid w:val="00090BB5"/>
    <w:rsid w:val="000934BE"/>
    <w:rsid w:val="000940DD"/>
    <w:rsid w:val="00095B6D"/>
    <w:rsid w:val="000A4160"/>
    <w:rsid w:val="000A4BE4"/>
    <w:rsid w:val="000A51A0"/>
    <w:rsid w:val="000A5626"/>
    <w:rsid w:val="000A6357"/>
    <w:rsid w:val="000A7CAC"/>
    <w:rsid w:val="000B262B"/>
    <w:rsid w:val="000B2831"/>
    <w:rsid w:val="000B3CF1"/>
    <w:rsid w:val="000B5520"/>
    <w:rsid w:val="000C089A"/>
    <w:rsid w:val="000C1C06"/>
    <w:rsid w:val="000D76D6"/>
    <w:rsid w:val="000D79CC"/>
    <w:rsid w:val="000E508E"/>
    <w:rsid w:val="000E5E53"/>
    <w:rsid w:val="000F09D1"/>
    <w:rsid w:val="000F1AB8"/>
    <w:rsid w:val="000F600D"/>
    <w:rsid w:val="000F633D"/>
    <w:rsid w:val="000F76C4"/>
    <w:rsid w:val="0010568B"/>
    <w:rsid w:val="001058EC"/>
    <w:rsid w:val="00106602"/>
    <w:rsid w:val="00106951"/>
    <w:rsid w:val="00107CDA"/>
    <w:rsid w:val="001119AB"/>
    <w:rsid w:val="0011467B"/>
    <w:rsid w:val="0011479C"/>
    <w:rsid w:val="00114D7E"/>
    <w:rsid w:val="00116F61"/>
    <w:rsid w:val="0011774C"/>
    <w:rsid w:val="001216A8"/>
    <w:rsid w:val="00121877"/>
    <w:rsid w:val="0012515A"/>
    <w:rsid w:val="00125972"/>
    <w:rsid w:val="00126E9F"/>
    <w:rsid w:val="001344CC"/>
    <w:rsid w:val="00136BB5"/>
    <w:rsid w:val="00140C1C"/>
    <w:rsid w:val="0014109A"/>
    <w:rsid w:val="00144616"/>
    <w:rsid w:val="00145118"/>
    <w:rsid w:val="0014592C"/>
    <w:rsid w:val="001474AB"/>
    <w:rsid w:val="00147797"/>
    <w:rsid w:val="00151296"/>
    <w:rsid w:val="00151CD8"/>
    <w:rsid w:val="00155A1F"/>
    <w:rsid w:val="00163BA1"/>
    <w:rsid w:val="00167824"/>
    <w:rsid w:val="00176137"/>
    <w:rsid w:val="00176931"/>
    <w:rsid w:val="0017727E"/>
    <w:rsid w:val="001852C3"/>
    <w:rsid w:val="001872B3"/>
    <w:rsid w:val="00191F45"/>
    <w:rsid w:val="00193DE3"/>
    <w:rsid w:val="001970AC"/>
    <w:rsid w:val="001A2692"/>
    <w:rsid w:val="001A2BE5"/>
    <w:rsid w:val="001A3BE4"/>
    <w:rsid w:val="001A3C09"/>
    <w:rsid w:val="001A5DF5"/>
    <w:rsid w:val="001B0059"/>
    <w:rsid w:val="001B0E77"/>
    <w:rsid w:val="001B45FD"/>
    <w:rsid w:val="001B7F72"/>
    <w:rsid w:val="001C2754"/>
    <w:rsid w:val="001C3AF9"/>
    <w:rsid w:val="001C5350"/>
    <w:rsid w:val="001C7621"/>
    <w:rsid w:val="001D0B84"/>
    <w:rsid w:val="001E7290"/>
    <w:rsid w:val="001F1124"/>
    <w:rsid w:val="001F256F"/>
    <w:rsid w:val="00202253"/>
    <w:rsid w:val="002034F5"/>
    <w:rsid w:val="00205A11"/>
    <w:rsid w:val="0020725E"/>
    <w:rsid w:val="00211052"/>
    <w:rsid w:val="002118F2"/>
    <w:rsid w:val="002364A3"/>
    <w:rsid w:val="002372EC"/>
    <w:rsid w:val="002423B2"/>
    <w:rsid w:val="00245CF3"/>
    <w:rsid w:val="002616C5"/>
    <w:rsid w:val="00264B4E"/>
    <w:rsid w:val="002652B9"/>
    <w:rsid w:val="002654CE"/>
    <w:rsid w:val="00265C46"/>
    <w:rsid w:val="00265E28"/>
    <w:rsid w:val="00272EF7"/>
    <w:rsid w:val="0027453C"/>
    <w:rsid w:val="0028284E"/>
    <w:rsid w:val="00282B2D"/>
    <w:rsid w:val="002852C2"/>
    <w:rsid w:val="00292D3B"/>
    <w:rsid w:val="002A01BE"/>
    <w:rsid w:val="002A03F6"/>
    <w:rsid w:val="002A13EF"/>
    <w:rsid w:val="002A197C"/>
    <w:rsid w:val="002A5934"/>
    <w:rsid w:val="002A5FE2"/>
    <w:rsid w:val="002B0595"/>
    <w:rsid w:val="002B1188"/>
    <w:rsid w:val="002B1BEB"/>
    <w:rsid w:val="002B3553"/>
    <w:rsid w:val="002B4A84"/>
    <w:rsid w:val="002C3A6D"/>
    <w:rsid w:val="002C46FD"/>
    <w:rsid w:val="002C5250"/>
    <w:rsid w:val="002C74E9"/>
    <w:rsid w:val="002D17E9"/>
    <w:rsid w:val="002D1BA4"/>
    <w:rsid w:val="002D38E3"/>
    <w:rsid w:val="002D6C9F"/>
    <w:rsid w:val="002E4E55"/>
    <w:rsid w:val="002E5D4C"/>
    <w:rsid w:val="002E643F"/>
    <w:rsid w:val="002E7870"/>
    <w:rsid w:val="002E7CDE"/>
    <w:rsid w:val="002F0386"/>
    <w:rsid w:val="002F2D3C"/>
    <w:rsid w:val="002F4AA6"/>
    <w:rsid w:val="002F6570"/>
    <w:rsid w:val="00300679"/>
    <w:rsid w:val="00301089"/>
    <w:rsid w:val="00302829"/>
    <w:rsid w:val="00303261"/>
    <w:rsid w:val="00303332"/>
    <w:rsid w:val="00303A16"/>
    <w:rsid w:val="003072DE"/>
    <w:rsid w:val="00310369"/>
    <w:rsid w:val="00315872"/>
    <w:rsid w:val="003173C9"/>
    <w:rsid w:val="00321170"/>
    <w:rsid w:val="003215D5"/>
    <w:rsid w:val="00323181"/>
    <w:rsid w:val="003244CB"/>
    <w:rsid w:val="00333742"/>
    <w:rsid w:val="00333FDE"/>
    <w:rsid w:val="00335CFE"/>
    <w:rsid w:val="0034353E"/>
    <w:rsid w:val="003447F6"/>
    <w:rsid w:val="00356525"/>
    <w:rsid w:val="0036499C"/>
    <w:rsid w:val="00364DE9"/>
    <w:rsid w:val="0037122F"/>
    <w:rsid w:val="00372FE5"/>
    <w:rsid w:val="003753A4"/>
    <w:rsid w:val="003772BF"/>
    <w:rsid w:val="003825DE"/>
    <w:rsid w:val="003828D4"/>
    <w:rsid w:val="00382D26"/>
    <w:rsid w:val="00383EA0"/>
    <w:rsid w:val="003851D2"/>
    <w:rsid w:val="003859D0"/>
    <w:rsid w:val="00387A4A"/>
    <w:rsid w:val="00393EDA"/>
    <w:rsid w:val="00396510"/>
    <w:rsid w:val="003A1F38"/>
    <w:rsid w:val="003A36BB"/>
    <w:rsid w:val="003B4784"/>
    <w:rsid w:val="003B51CD"/>
    <w:rsid w:val="003B76B8"/>
    <w:rsid w:val="003D2A92"/>
    <w:rsid w:val="003D7B9E"/>
    <w:rsid w:val="003E0DCC"/>
    <w:rsid w:val="003E1278"/>
    <w:rsid w:val="003E1EC5"/>
    <w:rsid w:val="003E292B"/>
    <w:rsid w:val="003E7B6B"/>
    <w:rsid w:val="003F2CC2"/>
    <w:rsid w:val="003F3BBE"/>
    <w:rsid w:val="003F4149"/>
    <w:rsid w:val="003F7623"/>
    <w:rsid w:val="003F7CD0"/>
    <w:rsid w:val="00400F6C"/>
    <w:rsid w:val="004014BB"/>
    <w:rsid w:val="00401B70"/>
    <w:rsid w:val="00401E9A"/>
    <w:rsid w:val="00402097"/>
    <w:rsid w:val="00402E39"/>
    <w:rsid w:val="004039E5"/>
    <w:rsid w:val="004079E4"/>
    <w:rsid w:val="00407BC8"/>
    <w:rsid w:val="0041075A"/>
    <w:rsid w:val="00411FBE"/>
    <w:rsid w:val="0041743B"/>
    <w:rsid w:val="004237A6"/>
    <w:rsid w:val="00426C2C"/>
    <w:rsid w:val="004330D7"/>
    <w:rsid w:val="00435EDE"/>
    <w:rsid w:val="0043661F"/>
    <w:rsid w:val="00437C48"/>
    <w:rsid w:val="0044402B"/>
    <w:rsid w:val="00450C88"/>
    <w:rsid w:val="00450F14"/>
    <w:rsid w:val="00453734"/>
    <w:rsid w:val="004555A0"/>
    <w:rsid w:val="004561B8"/>
    <w:rsid w:val="00456BAA"/>
    <w:rsid w:val="00461A2B"/>
    <w:rsid w:val="0046275D"/>
    <w:rsid w:val="0047210C"/>
    <w:rsid w:val="0048264D"/>
    <w:rsid w:val="004845D9"/>
    <w:rsid w:val="00485E41"/>
    <w:rsid w:val="004860D5"/>
    <w:rsid w:val="004868FA"/>
    <w:rsid w:val="004905F8"/>
    <w:rsid w:val="00492622"/>
    <w:rsid w:val="00492F96"/>
    <w:rsid w:val="00496983"/>
    <w:rsid w:val="00496A7E"/>
    <w:rsid w:val="00496EE6"/>
    <w:rsid w:val="004973A9"/>
    <w:rsid w:val="004A2083"/>
    <w:rsid w:val="004A2379"/>
    <w:rsid w:val="004A480C"/>
    <w:rsid w:val="004A7182"/>
    <w:rsid w:val="004A7CAA"/>
    <w:rsid w:val="004B10CB"/>
    <w:rsid w:val="004B213E"/>
    <w:rsid w:val="004B2367"/>
    <w:rsid w:val="004B3AA9"/>
    <w:rsid w:val="004B3ACF"/>
    <w:rsid w:val="004B629B"/>
    <w:rsid w:val="004C0A60"/>
    <w:rsid w:val="004C0DEA"/>
    <w:rsid w:val="004C3B9E"/>
    <w:rsid w:val="004C50CF"/>
    <w:rsid w:val="004E0C55"/>
    <w:rsid w:val="004E2059"/>
    <w:rsid w:val="004E293C"/>
    <w:rsid w:val="004E4E46"/>
    <w:rsid w:val="004F200B"/>
    <w:rsid w:val="004F2C7D"/>
    <w:rsid w:val="004F31DE"/>
    <w:rsid w:val="004F39EE"/>
    <w:rsid w:val="004F3C82"/>
    <w:rsid w:val="004F48F2"/>
    <w:rsid w:val="00501BD1"/>
    <w:rsid w:val="00502381"/>
    <w:rsid w:val="00510256"/>
    <w:rsid w:val="005113F9"/>
    <w:rsid w:val="00514D64"/>
    <w:rsid w:val="0051540A"/>
    <w:rsid w:val="005154B9"/>
    <w:rsid w:val="00517C2B"/>
    <w:rsid w:val="00522C55"/>
    <w:rsid w:val="005230B1"/>
    <w:rsid w:val="005252CA"/>
    <w:rsid w:val="00526E2C"/>
    <w:rsid w:val="00526F85"/>
    <w:rsid w:val="005366E4"/>
    <w:rsid w:val="00537A89"/>
    <w:rsid w:val="00540242"/>
    <w:rsid w:val="00540A85"/>
    <w:rsid w:val="00541015"/>
    <w:rsid w:val="005417E9"/>
    <w:rsid w:val="00543EF6"/>
    <w:rsid w:val="00545DF6"/>
    <w:rsid w:val="005468C4"/>
    <w:rsid w:val="00546A4D"/>
    <w:rsid w:val="00546A7E"/>
    <w:rsid w:val="00547389"/>
    <w:rsid w:val="00556793"/>
    <w:rsid w:val="00557601"/>
    <w:rsid w:val="00560D94"/>
    <w:rsid w:val="0056195E"/>
    <w:rsid w:val="00563984"/>
    <w:rsid w:val="00564CBD"/>
    <w:rsid w:val="00565DFA"/>
    <w:rsid w:val="005675C1"/>
    <w:rsid w:val="005739C7"/>
    <w:rsid w:val="00575444"/>
    <w:rsid w:val="005764D1"/>
    <w:rsid w:val="00580551"/>
    <w:rsid w:val="00582820"/>
    <w:rsid w:val="0058543E"/>
    <w:rsid w:val="00586E7A"/>
    <w:rsid w:val="00592A38"/>
    <w:rsid w:val="005935AE"/>
    <w:rsid w:val="00597374"/>
    <w:rsid w:val="005A1104"/>
    <w:rsid w:val="005A3D67"/>
    <w:rsid w:val="005A3DFC"/>
    <w:rsid w:val="005A3EEA"/>
    <w:rsid w:val="005A72AE"/>
    <w:rsid w:val="005B20A5"/>
    <w:rsid w:val="005B3CEF"/>
    <w:rsid w:val="005B4D72"/>
    <w:rsid w:val="005B4DF1"/>
    <w:rsid w:val="005B59EE"/>
    <w:rsid w:val="005C0086"/>
    <w:rsid w:val="005C1D9E"/>
    <w:rsid w:val="005C732A"/>
    <w:rsid w:val="005D2099"/>
    <w:rsid w:val="005D26A2"/>
    <w:rsid w:val="005D7851"/>
    <w:rsid w:val="005F034C"/>
    <w:rsid w:val="005F2F98"/>
    <w:rsid w:val="00601022"/>
    <w:rsid w:val="00601E10"/>
    <w:rsid w:val="00602587"/>
    <w:rsid w:val="0060703A"/>
    <w:rsid w:val="006072FF"/>
    <w:rsid w:val="0061151F"/>
    <w:rsid w:val="00612591"/>
    <w:rsid w:val="0061511A"/>
    <w:rsid w:val="0061717F"/>
    <w:rsid w:val="00620A30"/>
    <w:rsid w:val="006226ED"/>
    <w:rsid w:val="00622B75"/>
    <w:rsid w:val="00624966"/>
    <w:rsid w:val="006258D4"/>
    <w:rsid w:val="00627FA4"/>
    <w:rsid w:val="00632C58"/>
    <w:rsid w:val="006340D1"/>
    <w:rsid w:val="00637261"/>
    <w:rsid w:val="00637A34"/>
    <w:rsid w:val="0064731F"/>
    <w:rsid w:val="0065153A"/>
    <w:rsid w:val="006627ED"/>
    <w:rsid w:val="00662EAC"/>
    <w:rsid w:val="006653CE"/>
    <w:rsid w:val="00666A2A"/>
    <w:rsid w:val="006706B6"/>
    <w:rsid w:val="006708E9"/>
    <w:rsid w:val="0067345E"/>
    <w:rsid w:val="00676D46"/>
    <w:rsid w:val="0067705E"/>
    <w:rsid w:val="0067737B"/>
    <w:rsid w:val="006776C5"/>
    <w:rsid w:val="00677F9D"/>
    <w:rsid w:val="00680436"/>
    <w:rsid w:val="006830DD"/>
    <w:rsid w:val="00692658"/>
    <w:rsid w:val="006A3505"/>
    <w:rsid w:val="006A4A97"/>
    <w:rsid w:val="006A4C68"/>
    <w:rsid w:val="006A56D7"/>
    <w:rsid w:val="006A6DF3"/>
    <w:rsid w:val="006A7BE0"/>
    <w:rsid w:val="006B6F9C"/>
    <w:rsid w:val="006C183A"/>
    <w:rsid w:val="006C3B3F"/>
    <w:rsid w:val="006C497B"/>
    <w:rsid w:val="006C55D5"/>
    <w:rsid w:val="006C5BE9"/>
    <w:rsid w:val="006C66E9"/>
    <w:rsid w:val="006D0CD8"/>
    <w:rsid w:val="006D487B"/>
    <w:rsid w:val="006D6F11"/>
    <w:rsid w:val="006E17EB"/>
    <w:rsid w:val="006E2400"/>
    <w:rsid w:val="006E2495"/>
    <w:rsid w:val="006E2B0F"/>
    <w:rsid w:val="006E5888"/>
    <w:rsid w:val="006E6067"/>
    <w:rsid w:val="006E71F2"/>
    <w:rsid w:val="006F78DA"/>
    <w:rsid w:val="00700A13"/>
    <w:rsid w:val="00703242"/>
    <w:rsid w:val="00704FB2"/>
    <w:rsid w:val="00706D3A"/>
    <w:rsid w:val="00706D9C"/>
    <w:rsid w:val="007130DF"/>
    <w:rsid w:val="00714595"/>
    <w:rsid w:val="00715F90"/>
    <w:rsid w:val="00716130"/>
    <w:rsid w:val="00722D93"/>
    <w:rsid w:val="007261D3"/>
    <w:rsid w:val="00733163"/>
    <w:rsid w:val="0073440A"/>
    <w:rsid w:val="00736509"/>
    <w:rsid w:val="00740269"/>
    <w:rsid w:val="00741372"/>
    <w:rsid w:val="0074545A"/>
    <w:rsid w:val="00752524"/>
    <w:rsid w:val="007576FC"/>
    <w:rsid w:val="00760A37"/>
    <w:rsid w:val="00760D5D"/>
    <w:rsid w:val="00761330"/>
    <w:rsid w:val="00765197"/>
    <w:rsid w:val="0076643A"/>
    <w:rsid w:val="00770ACC"/>
    <w:rsid w:val="00771612"/>
    <w:rsid w:val="007750D1"/>
    <w:rsid w:val="007753C2"/>
    <w:rsid w:val="00776284"/>
    <w:rsid w:val="00776E79"/>
    <w:rsid w:val="00781035"/>
    <w:rsid w:val="007828D9"/>
    <w:rsid w:val="00783F83"/>
    <w:rsid w:val="00787F76"/>
    <w:rsid w:val="007904F3"/>
    <w:rsid w:val="00792D9C"/>
    <w:rsid w:val="00795981"/>
    <w:rsid w:val="00795BF2"/>
    <w:rsid w:val="007A1E2F"/>
    <w:rsid w:val="007A37FA"/>
    <w:rsid w:val="007B18F2"/>
    <w:rsid w:val="007B4B5C"/>
    <w:rsid w:val="007C2D09"/>
    <w:rsid w:val="007C4230"/>
    <w:rsid w:val="007C5DC9"/>
    <w:rsid w:val="007D0410"/>
    <w:rsid w:val="007D3448"/>
    <w:rsid w:val="007D5E65"/>
    <w:rsid w:val="007E1B97"/>
    <w:rsid w:val="007E50B4"/>
    <w:rsid w:val="007E74F7"/>
    <w:rsid w:val="007F1B48"/>
    <w:rsid w:val="007F25E1"/>
    <w:rsid w:val="007F5AC3"/>
    <w:rsid w:val="007F6C82"/>
    <w:rsid w:val="007F6DDA"/>
    <w:rsid w:val="00802250"/>
    <w:rsid w:val="00805E9C"/>
    <w:rsid w:val="00811495"/>
    <w:rsid w:val="00817CE2"/>
    <w:rsid w:val="00821F86"/>
    <w:rsid w:val="00824C0E"/>
    <w:rsid w:val="00827FCF"/>
    <w:rsid w:val="0083703A"/>
    <w:rsid w:val="008405F7"/>
    <w:rsid w:val="00840A04"/>
    <w:rsid w:val="00843508"/>
    <w:rsid w:val="00845113"/>
    <w:rsid w:val="00846925"/>
    <w:rsid w:val="00847E7D"/>
    <w:rsid w:val="008545AF"/>
    <w:rsid w:val="00862130"/>
    <w:rsid w:val="0086443D"/>
    <w:rsid w:val="008658A8"/>
    <w:rsid w:val="0086612A"/>
    <w:rsid w:val="00872A67"/>
    <w:rsid w:val="008746BE"/>
    <w:rsid w:val="0087479A"/>
    <w:rsid w:val="0087697A"/>
    <w:rsid w:val="00877BB2"/>
    <w:rsid w:val="00882342"/>
    <w:rsid w:val="00883BAC"/>
    <w:rsid w:val="00883D81"/>
    <w:rsid w:val="00887E19"/>
    <w:rsid w:val="00887EC6"/>
    <w:rsid w:val="00890348"/>
    <w:rsid w:val="00890C98"/>
    <w:rsid w:val="00890D14"/>
    <w:rsid w:val="008931D4"/>
    <w:rsid w:val="00894A14"/>
    <w:rsid w:val="00897B04"/>
    <w:rsid w:val="008A0EEC"/>
    <w:rsid w:val="008B2FCF"/>
    <w:rsid w:val="008B40CA"/>
    <w:rsid w:val="008B424E"/>
    <w:rsid w:val="008B726F"/>
    <w:rsid w:val="008C209E"/>
    <w:rsid w:val="008C22D7"/>
    <w:rsid w:val="008C41A3"/>
    <w:rsid w:val="008C5383"/>
    <w:rsid w:val="008C555A"/>
    <w:rsid w:val="008D01EF"/>
    <w:rsid w:val="008D6532"/>
    <w:rsid w:val="008D694B"/>
    <w:rsid w:val="008D7E39"/>
    <w:rsid w:val="008F2BA6"/>
    <w:rsid w:val="008F445D"/>
    <w:rsid w:val="008F472B"/>
    <w:rsid w:val="008F56ED"/>
    <w:rsid w:val="008F672B"/>
    <w:rsid w:val="0090207A"/>
    <w:rsid w:val="009031ED"/>
    <w:rsid w:val="00906646"/>
    <w:rsid w:val="009206B9"/>
    <w:rsid w:val="00920B43"/>
    <w:rsid w:val="00922F12"/>
    <w:rsid w:val="009235DC"/>
    <w:rsid w:val="00933C96"/>
    <w:rsid w:val="00935E20"/>
    <w:rsid w:val="00937B27"/>
    <w:rsid w:val="009420CF"/>
    <w:rsid w:val="0094489A"/>
    <w:rsid w:val="00945044"/>
    <w:rsid w:val="00947689"/>
    <w:rsid w:val="00950912"/>
    <w:rsid w:val="009623A7"/>
    <w:rsid w:val="009665B4"/>
    <w:rsid w:val="00966D0C"/>
    <w:rsid w:val="00971602"/>
    <w:rsid w:val="00972027"/>
    <w:rsid w:val="009720F2"/>
    <w:rsid w:val="00975DFD"/>
    <w:rsid w:val="009815B3"/>
    <w:rsid w:val="00982032"/>
    <w:rsid w:val="00991F4D"/>
    <w:rsid w:val="009A4F89"/>
    <w:rsid w:val="009A5139"/>
    <w:rsid w:val="009A64EC"/>
    <w:rsid w:val="009B005D"/>
    <w:rsid w:val="009B1195"/>
    <w:rsid w:val="009B5834"/>
    <w:rsid w:val="009C1D78"/>
    <w:rsid w:val="009C38B6"/>
    <w:rsid w:val="009C4B72"/>
    <w:rsid w:val="009C5AB2"/>
    <w:rsid w:val="009D179E"/>
    <w:rsid w:val="009D6280"/>
    <w:rsid w:val="009D6F5B"/>
    <w:rsid w:val="009E0204"/>
    <w:rsid w:val="009E1699"/>
    <w:rsid w:val="009E1F92"/>
    <w:rsid w:val="009E521D"/>
    <w:rsid w:val="009E6F16"/>
    <w:rsid w:val="009E7768"/>
    <w:rsid w:val="009F1982"/>
    <w:rsid w:val="009F28F9"/>
    <w:rsid w:val="009F41DB"/>
    <w:rsid w:val="00A016F3"/>
    <w:rsid w:val="00A05F6E"/>
    <w:rsid w:val="00A068B6"/>
    <w:rsid w:val="00A069C9"/>
    <w:rsid w:val="00A070F3"/>
    <w:rsid w:val="00A11E91"/>
    <w:rsid w:val="00A12F5E"/>
    <w:rsid w:val="00A13A70"/>
    <w:rsid w:val="00A23D9B"/>
    <w:rsid w:val="00A27029"/>
    <w:rsid w:val="00A32A8B"/>
    <w:rsid w:val="00A34119"/>
    <w:rsid w:val="00A34A45"/>
    <w:rsid w:val="00A37B7E"/>
    <w:rsid w:val="00A37EC3"/>
    <w:rsid w:val="00A460F1"/>
    <w:rsid w:val="00A50483"/>
    <w:rsid w:val="00A53022"/>
    <w:rsid w:val="00A54DA7"/>
    <w:rsid w:val="00A61AC9"/>
    <w:rsid w:val="00A62D33"/>
    <w:rsid w:val="00A64438"/>
    <w:rsid w:val="00A64AA3"/>
    <w:rsid w:val="00A73EEE"/>
    <w:rsid w:val="00A77DF0"/>
    <w:rsid w:val="00A851FE"/>
    <w:rsid w:val="00A86B82"/>
    <w:rsid w:val="00A96A6D"/>
    <w:rsid w:val="00A972AD"/>
    <w:rsid w:val="00AA1678"/>
    <w:rsid w:val="00AA2454"/>
    <w:rsid w:val="00AA3B1B"/>
    <w:rsid w:val="00AA5053"/>
    <w:rsid w:val="00AA642B"/>
    <w:rsid w:val="00AA7263"/>
    <w:rsid w:val="00AA7568"/>
    <w:rsid w:val="00AB0254"/>
    <w:rsid w:val="00AB107D"/>
    <w:rsid w:val="00AC14F8"/>
    <w:rsid w:val="00AC7D06"/>
    <w:rsid w:val="00AD1BAC"/>
    <w:rsid w:val="00AD2384"/>
    <w:rsid w:val="00AD29BB"/>
    <w:rsid w:val="00AD2C4F"/>
    <w:rsid w:val="00AD41AD"/>
    <w:rsid w:val="00AD613A"/>
    <w:rsid w:val="00AE17EB"/>
    <w:rsid w:val="00AE427D"/>
    <w:rsid w:val="00AE57ED"/>
    <w:rsid w:val="00AE6F16"/>
    <w:rsid w:val="00AE7626"/>
    <w:rsid w:val="00AE7EB7"/>
    <w:rsid w:val="00AF1D72"/>
    <w:rsid w:val="00AF2CE3"/>
    <w:rsid w:val="00AF4051"/>
    <w:rsid w:val="00AF5456"/>
    <w:rsid w:val="00AF60AC"/>
    <w:rsid w:val="00B05AA3"/>
    <w:rsid w:val="00B069D0"/>
    <w:rsid w:val="00B14381"/>
    <w:rsid w:val="00B162A1"/>
    <w:rsid w:val="00B20DC3"/>
    <w:rsid w:val="00B20F29"/>
    <w:rsid w:val="00B21CC0"/>
    <w:rsid w:val="00B22DD3"/>
    <w:rsid w:val="00B230D1"/>
    <w:rsid w:val="00B23DC4"/>
    <w:rsid w:val="00B3135A"/>
    <w:rsid w:val="00B315A4"/>
    <w:rsid w:val="00B31A7B"/>
    <w:rsid w:val="00B36C44"/>
    <w:rsid w:val="00B36C8E"/>
    <w:rsid w:val="00B403DB"/>
    <w:rsid w:val="00B440B0"/>
    <w:rsid w:val="00B442F4"/>
    <w:rsid w:val="00B44670"/>
    <w:rsid w:val="00B467EE"/>
    <w:rsid w:val="00B50A4D"/>
    <w:rsid w:val="00B5652C"/>
    <w:rsid w:val="00B57303"/>
    <w:rsid w:val="00B600E8"/>
    <w:rsid w:val="00B71310"/>
    <w:rsid w:val="00B75258"/>
    <w:rsid w:val="00B772A4"/>
    <w:rsid w:val="00B83813"/>
    <w:rsid w:val="00B83B9C"/>
    <w:rsid w:val="00B84426"/>
    <w:rsid w:val="00B87214"/>
    <w:rsid w:val="00B9000E"/>
    <w:rsid w:val="00B90AC6"/>
    <w:rsid w:val="00B93D9E"/>
    <w:rsid w:val="00BA034C"/>
    <w:rsid w:val="00BA195A"/>
    <w:rsid w:val="00BA2A2D"/>
    <w:rsid w:val="00BA45C9"/>
    <w:rsid w:val="00BA5854"/>
    <w:rsid w:val="00BA623A"/>
    <w:rsid w:val="00BB1468"/>
    <w:rsid w:val="00BC785F"/>
    <w:rsid w:val="00BC7D3F"/>
    <w:rsid w:val="00BD3A7F"/>
    <w:rsid w:val="00BE165F"/>
    <w:rsid w:val="00BE3093"/>
    <w:rsid w:val="00BE3095"/>
    <w:rsid w:val="00BF05B1"/>
    <w:rsid w:val="00BF2605"/>
    <w:rsid w:val="00C0206C"/>
    <w:rsid w:val="00C054EA"/>
    <w:rsid w:val="00C10D9F"/>
    <w:rsid w:val="00C12910"/>
    <w:rsid w:val="00C2045A"/>
    <w:rsid w:val="00C23008"/>
    <w:rsid w:val="00C24FEA"/>
    <w:rsid w:val="00C3013A"/>
    <w:rsid w:val="00C323F4"/>
    <w:rsid w:val="00C32C62"/>
    <w:rsid w:val="00C35C17"/>
    <w:rsid w:val="00C40007"/>
    <w:rsid w:val="00C411E5"/>
    <w:rsid w:val="00C427EC"/>
    <w:rsid w:val="00C443A9"/>
    <w:rsid w:val="00C45558"/>
    <w:rsid w:val="00C472D1"/>
    <w:rsid w:val="00C540D7"/>
    <w:rsid w:val="00C6531D"/>
    <w:rsid w:val="00C65440"/>
    <w:rsid w:val="00C72B5B"/>
    <w:rsid w:val="00C73AEB"/>
    <w:rsid w:val="00C76C3A"/>
    <w:rsid w:val="00C80945"/>
    <w:rsid w:val="00C86E96"/>
    <w:rsid w:val="00C96A56"/>
    <w:rsid w:val="00CA223C"/>
    <w:rsid w:val="00CA485B"/>
    <w:rsid w:val="00CA4A84"/>
    <w:rsid w:val="00CA62F4"/>
    <w:rsid w:val="00CB1275"/>
    <w:rsid w:val="00CB5FAF"/>
    <w:rsid w:val="00CB771B"/>
    <w:rsid w:val="00CB7BD9"/>
    <w:rsid w:val="00CC202C"/>
    <w:rsid w:val="00CD2CAC"/>
    <w:rsid w:val="00CD58C8"/>
    <w:rsid w:val="00CD58E1"/>
    <w:rsid w:val="00CD6F15"/>
    <w:rsid w:val="00CD726C"/>
    <w:rsid w:val="00CE116A"/>
    <w:rsid w:val="00CE19AD"/>
    <w:rsid w:val="00CE31C5"/>
    <w:rsid w:val="00CE6502"/>
    <w:rsid w:val="00CF1EC2"/>
    <w:rsid w:val="00D007E0"/>
    <w:rsid w:val="00D00B38"/>
    <w:rsid w:val="00D0567E"/>
    <w:rsid w:val="00D065D1"/>
    <w:rsid w:val="00D06C37"/>
    <w:rsid w:val="00D15A6E"/>
    <w:rsid w:val="00D16EF4"/>
    <w:rsid w:val="00D20104"/>
    <w:rsid w:val="00D265DB"/>
    <w:rsid w:val="00D31754"/>
    <w:rsid w:val="00D3244D"/>
    <w:rsid w:val="00D32834"/>
    <w:rsid w:val="00D344F4"/>
    <w:rsid w:val="00D357E2"/>
    <w:rsid w:val="00D3619B"/>
    <w:rsid w:val="00D37191"/>
    <w:rsid w:val="00D402EC"/>
    <w:rsid w:val="00D433EE"/>
    <w:rsid w:val="00D51473"/>
    <w:rsid w:val="00D53F84"/>
    <w:rsid w:val="00D55501"/>
    <w:rsid w:val="00D55931"/>
    <w:rsid w:val="00D55CD5"/>
    <w:rsid w:val="00D60D6E"/>
    <w:rsid w:val="00D6747C"/>
    <w:rsid w:val="00D70C11"/>
    <w:rsid w:val="00D76C55"/>
    <w:rsid w:val="00D80282"/>
    <w:rsid w:val="00D81AF4"/>
    <w:rsid w:val="00D84292"/>
    <w:rsid w:val="00D85ED1"/>
    <w:rsid w:val="00D8793B"/>
    <w:rsid w:val="00D92271"/>
    <w:rsid w:val="00D93ACA"/>
    <w:rsid w:val="00DA4DEE"/>
    <w:rsid w:val="00DA5A3D"/>
    <w:rsid w:val="00DA5B5E"/>
    <w:rsid w:val="00DA68DA"/>
    <w:rsid w:val="00DB030F"/>
    <w:rsid w:val="00DB1AB8"/>
    <w:rsid w:val="00DC02AA"/>
    <w:rsid w:val="00DC0992"/>
    <w:rsid w:val="00DC0DC8"/>
    <w:rsid w:val="00DC1702"/>
    <w:rsid w:val="00DC26A9"/>
    <w:rsid w:val="00DD15C5"/>
    <w:rsid w:val="00DD26AA"/>
    <w:rsid w:val="00DD662D"/>
    <w:rsid w:val="00DD699F"/>
    <w:rsid w:val="00DE2530"/>
    <w:rsid w:val="00DF1218"/>
    <w:rsid w:val="00DF1C58"/>
    <w:rsid w:val="00DF4166"/>
    <w:rsid w:val="00DF72D5"/>
    <w:rsid w:val="00DF783F"/>
    <w:rsid w:val="00E12001"/>
    <w:rsid w:val="00E13CBF"/>
    <w:rsid w:val="00E20D50"/>
    <w:rsid w:val="00E2158E"/>
    <w:rsid w:val="00E24594"/>
    <w:rsid w:val="00E25184"/>
    <w:rsid w:val="00E25AA9"/>
    <w:rsid w:val="00E27757"/>
    <w:rsid w:val="00E31159"/>
    <w:rsid w:val="00E31531"/>
    <w:rsid w:val="00E32D1F"/>
    <w:rsid w:val="00E33032"/>
    <w:rsid w:val="00E37A0C"/>
    <w:rsid w:val="00E40242"/>
    <w:rsid w:val="00E43A9A"/>
    <w:rsid w:val="00E50E67"/>
    <w:rsid w:val="00E61B85"/>
    <w:rsid w:val="00E630C9"/>
    <w:rsid w:val="00E635CA"/>
    <w:rsid w:val="00E64D04"/>
    <w:rsid w:val="00E656C6"/>
    <w:rsid w:val="00E667BC"/>
    <w:rsid w:val="00E66A60"/>
    <w:rsid w:val="00E70C3E"/>
    <w:rsid w:val="00E7240A"/>
    <w:rsid w:val="00E724D8"/>
    <w:rsid w:val="00E769AB"/>
    <w:rsid w:val="00E80CDA"/>
    <w:rsid w:val="00E82F96"/>
    <w:rsid w:val="00E9022B"/>
    <w:rsid w:val="00E937F1"/>
    <w:rsid w:val="00E93F23"/>
    <w:rsid w:val="00E9467E"/>
    <w:rsid w:val="00E94792"/>
    <w:rsid w:val="00E952A8"/>
    <w:rsid w:val="00E95B09"/>
    <w:rsid w:val="00E95F72"/>
    <w:rsid w:val="00E9646A"/>
    <w:rsid w:val="00E96927"/>
    <w:rsid w:val="00EA3A0F"/>
    <w:rsid w:val="00EA4FF4"/>
    <w:rsid w:val="00EA62D5"/>
    <w:rsid w:val="00EA6890"/>
    <w:rsid w:val="00EA7390"/>
    <w:rsid w:val="00EB2E75"/>
    <w:rsid w:val="00EC012E"/>
    <w:rsid w:val="00EC12EE"/>
    <w:rsid w:val="00EC650E"/>
    <w:rsid w:val="00EC74E8"/>
    <w:rsid w:val="00ED0DFB"/>
    <w:rsid w:val="00ED3212"/>
    <w:rsid w:val="00ED3A2A"/>
    <w:rsid w:val="00EE00E0"/>
    <w:rsid w:val="00EE094F"/>
    <w:rsid w:val="00EE0B53"/>
    <w:rsid w:val="00EE18D6"/>
    <w:rsid w:val="00EE52CC"/>
    <w:rsid w:val="00EF1B29"/>
    <w:rsid w:val="00EF5C98"/>
    <w:rsid w:val="00EF71F8"/>
    <w:rsid w:val="00EF74BD"/>
    <w:rsid w:val="00F023D7"/>
    <w:rsid w:val="00F02507"/>
    <w:rsid w:val="00F037A6"/>
    <w:rsid w:val="00F055A0"/>
    <w:rsid w:val="00F07550"/>
    <w:rsid w:val="00F11589"/>
    <w:rsid w:val="00F24339"/>
    <w:rsid w:val="00F3173A"/>
    <w:rsid w:val="00F31FE0"/>
    <w:rsid w:val="00F33FD4"/>
    <w:rsid w:val="00F36B08"/>
    <w:rsid w:val="00F40305"/>
    <w:rsid w:val="00F408B1"/>
    <w:rsid w:val="00F42331"/>
    <w:rsid w:val="00F4347E"/>
    <w:rsid w:val="00F43FE8"/>
    <w:rsid w:val="00F440CC"/>
    <w:rsid w:val="00F45888"/>
    <w:rsid w:val="00F46E34"/>
    <w:rsid w:val="00F5038F"/>
    <w:rsid w:val="00F53952"/>
    <w:rsid w:val="00F53955"/>
    <w:rsid w:val="00F57E52"/>
    <w:rsid w:val="00F645B0"/>
    <w:rsid w:val="00F71560"/>
    <w:rsid w:val="00F71B98"/>
    <w:rsid w:val="00F72E3F"/>
    <w:rsid w:val="00F75B6E"/>
    <w:rsid w:val="00F77275"/>
    <w:rsid w:val="00F819E1"/>
    <w:rsid w:val="00F8235E"/>
    <w:rsid w:val="00F8435C"/>
    <w:rsid w:val="00F9045E"/>
    <w:rsid w:val="00F90D3B"/>
    <w:rsid w:val="00F95938"/>
    <w:rsid w:val="00F95A0D"/>
    <w:rsid w:val="00F96469"/>
    <w:rsid w:val="00F96FCE"/>
    <w:rsid w:val="00FA360E"/>
    <w:rsid w:val="00FB3D8D"/>
    <w:rsid w:val="00FB5264"/>
    <w:rsid w:val="00FB686D"/>
    <w:rsid w:val="00FC0193"/>
    <w:rsid w:val="00FC14EA"/>
    <w:rsid w:val="00FC6427"/>
    <w:rsid w:val="00FD294A"/>
    <w:rsid w:val="00FD2E43"/>
    <w:rsid w:val="00FD6FB3"/>
    <w:rsid w:val="00FD7F36"/>
    <w:rsid w:val="00FE2278"/>
    <w:rsid w:val="00FE2297"/>
    <w:rsid w:val="00FE3474"/>
    <w:rsid w:val="00FE4F58"/>
    <w:rsid w:val="00FE5E22"/>
    <w:rsid w:val="00FE5FF9"/>
    <w:rsid w:val="00FE6B4C"/>
    <w:rsid w:val="00FE7C2B"/>
    <w:rsid w:val="00FF0769"/>
    <w:rsid w:val="00FF2F2C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1DE"/>
    <w:rPr>
      <w:rFonts w:ascii="Arial" w:eastAsia="Times New Roman" w:hAnsi="Arial" w:cs="Times New Roman"/>
      <w:sz w:val="20"/>
      <w:lang w:val="en-AU"/>
    </w:rPr>
  </w:style>
  <w:style w:type="paragraph" w:styleId="Heading1">
    <w:name w:val="heading 1"/>
    <w:basedOn w:val="Normal"/>
    <w:link w:val="Heading1Char"/>
    <w:uiPriority w:val="1"/>
    <w:qFormat/>
    <w:rsid w:val="006A56D7"/>
    <w:pPr>
      <w:keepNext/>
      <w:widowControl/>
      <w:numPr>
        <w:numId w:val="11"/>
      </w:numPr>
      <w:autoSpaceDE/>
      <w:autoSpaceDN/>
      <w:spacing w:before="600" w:after="120"/>
      <w:ind w:left="567" w:hanging="567"/>
      <w:outlineLvl w:val="0"/>
    </w:pPr>
    <w:rPr>
      <w:rFonts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4F31DE"/>
    <w:pPr>
      <w:keepNext/>
      <w:spacing w:before="360"/>
      <w:ind w:left="992" w:hanging="992"/>
      <w:outlineLvl w:val="1"/>
    </w:pPr>
    <w:rPr>
      <w:rFonts w:eastAsia="SimSun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cs="Arial"/>
      <w:b/>
      <w:bCs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2423B2"/>
    <w:pPr>
      <w:tabs>
        <w:tab w:val="left" w:pos="567"/>
        <w:tab w:val="right" w:leader="dot" w:pos="9356"/>
      </w:tabs>
      <w:spacing w:before="240"/>
      <w:ind w:left="709" w:hanging="567"/>
    </w:pPr>
    <w:rPr>
      <w:b/>
      <w:sz w:val="18"/>
      <w:szCs w:val="18"/>
    </w:rPr>
  </w:style>
  <w:style w:type="paragraph" w:styleId="TOC2">
    <w:name w:val="toc 2"/>
    <w:basedOn w:val="Normal"/>
    <w:uiPriority w:val="39"/>
    <w:qFormat/>
    <w:rsid w:val="00B23DC4"/>
    <w:pPr>
      <w:tabs>
        <w:tab w:val="left" w:pos="1134"/>
        <w:tab w:val="right" w:leader="dot" w:pos="9356"/>
      </w:tabs>
      <w:spacing w:before="120"/>
      <w:ind w:left="1134" w:hanging="567"/>
    </w:pPr>
    <w:rPr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eastAsia="SimSun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eastAsia="SimSun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cs="Arial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4E2059"/>
    <w:pPr>
      <w:numPr>
        <w:ilvl w:val="1"/>
        <w:numId w:val="11"/>
      </w:numPr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4E2059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AD29BB"/>
    <w:pPr>
      <w:keepLines/>
      <w:spacing w:before="240" w:after="120"/>
      <w:ind w:left="567" w:hanging="567"/>
    </w:pPr>
    <w:rPr>
      <w:lang w:val="en-AU"/>
    </w:rPr>
  </w:style>
  <w:style w:type="paragraph" w:customStyle="1" w:styleId="Bodynumbered2">
    <w:name w:val="Body numbered 2"/>
    <w:basedOn w:val="Bodynumbered1"/>
    <w:qFormat/>
    <w:rsid w:val="006A56D7"/>
    <w:pPr>
      <w:numPr>
        <w:ilvl w:val="0"/>
        <w:numId w:val="13"/>
      </w:numPr>
      <w:spacing w:before="120"/>
      <w:ind w:left="993" w:hanging="426"/>
    </w:pPr>
  </w:style>
  <w:style w:type="paragraph" w:customStyle="1" w:styleId="Bodynumbered3">
    <w:name w:val="Body numbered 3"/>
    <w:basedOn w:val="Bodynumbered2"/>
    <w:qFormat/>
    <w:rsid w:val="00883D81"/>
    <w:pPr>
      <w:numPr>
        <w:numId w:val="14"/>
      </w:numPr>
      <w:ind w:left="1276" w:hanging="283"/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A12F5E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A12F5E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D433EE"/>
    <w:pPr>
      <w:spacing w:before="60" w:after="60" w:line="240" w:lineRule="atLeast"/>
      <w:ind w:left="0"/>
    </w:pPr>
    <w:rPr>
      <w:b/>
      <w:bCs w:val="0"/>
      <w:szCs w:val="22"/>
      <w:lang w:eastAsia="en-AU"/>
    </w:rPr>
  </w:style>
  <w:style w:type="character" w:customStyle="1" w:styleId="TableHeadingChar">
    <w:name w:val="Table Heading Char"/>
    <w:link w:val="TableHeading"/>
    <w:rsid w:val="00D433EE"/>
    <w:rPr>
      <w:rFonts w:ascii="Arial" w:eastAsiaTheme="minorEastAsia" w:hAnsi="Arial" w:cs="Times New Roman"/>
      <w:b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A56D7"/>
    <w:rPr>
      <w:rFonts w:ascii="Arial" w:eastAsia="Times New Roman" w:hAnsi="Arial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eastAsiaTheme="minorEastAsia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A56D7"/>
    <w:pPr>
      <w:numPr>
        <w:numId w:val="0"/>
      </w:numPr>
    </w:pPr>
    <w:rPr>
      <w:rFonts w:ascii="Arial Bold" w:hAnsi="Arial Bold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6A56D7"/>
    <w:pPr>
      <w:spacing w:before="240"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A56D7"/>
    <w:rPr>
      <w:rFonts w:ascii="Arial" w:eastAsia="Times New Roman" w:hAnsi="Arial" w:cs="Times New Roman"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C3013A"/>
    <w:pPr>
      <w:keepNext/>
      <w:tabs>
        <w:tab w:val="left" w:pos="1134"/>
      </w:tabs>
      <w:spacing w:before="240" w:after="120"/>
    </w:pPr>
    <w:rPr>
      <w:rFonts w:eastAsia="Arial" w:cs="Arial"/>
      <w:b/>
      <w:bCs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72E3F"/>
    <w:pPr>
      <w:keepLines/>
      <w:widowControl/>
      <w:tabs>
        <w:tab w:val="left" w:pos="1276"/>
      </w:tabs>
      <w:autoSpaceDE/>
      <w:autoSpaceDN/>
      <w:spacing w:before="240"/>
    </w:pPr>
    <w:rPr>
      <w:rFonts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72E3F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F72E3F"/>
    <w:pPr>
      <w:keepLines/>
      <w:widowControl/>
      <w:numPr>
        <w:numId w:val="15"/>
      </w:numPr>
      <w:tabs>
        <w:tab w:val="left" w:pos="1276"/>
      </w:tabs>
      <w:autoSpaceDE/>
      <w:autoSpaceDN/>
      <w:spacing w:before="120" w:after="120"/>
      <w:ind w:left="284" w:hanging="284"/>
    </w:pPr>
    <w:rPr>
      <w:rFonts w:cs="Arial"/>
      <w:i/>
      <w:iCs/>
      <w:sz w:val="18"/>
      <w:szCs w:val="18"/>
    </w:rPr>
  </w:style>
  <w:style w:type="character" w:customStyle="1" w:styleId="Style12Char">
    <w:name w:val="Style12 Char"/>
    <w:basedOn w:val="DefaultParagraphFont"/>
    <w:link w:val="Style12"/>
    <w:locked/>
    <w:rsid w:val="004F31DE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"/>
    <w:link w:val="Style12Char"/>
    <w:qFormat/>
    <w:rsid w:val="004F31DE"/>
    <w:pPr>
      <w:widowControl/>
      <w:autoSpaceDE/>
      <w:autoSpaceDN/>
      <w:spacing w:before="180"/>
      <w:ind w:left="1002" w:hanging="576"/>
    </w:pPr>
    <w:rPr>
      <w:rFonts w:eastAsiaTheme="minorHAnsi" w:cs="Arial"/>
      <w:szCs w:val="20"/>
      <w:lang w:val="en-US"/>
    </w:rPr>
  </w:style>
  <w:style w:type="paragraph" w:customStyle="1" w:styleId="PubTableBullet1">
    <w:name w:val="Pub Table Bullet 1"/>
    <w:basedOn w:val="Normal"/>
    <w:uiPriority w:val="3"/>
    <w:qFormat/>
    <w:rsid w:val="004F31DE"/>
    <w:pPr>
      <w:widowControl/>
      <w:numPr>
        <w:numId w:val="16"/>
      </w:numPr>
      <w:autoSpaceDE/>
      <w:autoSpaceDN/>
      <w:spacing w:before="40" w:after="40"/>
      <w:ind w:left="206" w:hanging="206"/>
    </w:pPr>
    <w:rPr>
      <w:rFonts w:eastAsiaTheme="minorHAnsi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4F31DE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4F31DE"/>
    <w:pPr>
      <w:numPr>
        <w:ilvl w:val="2"/>
      </w:numPr>
      <w:ind w:left="731" w:hanging="142"/>
    </w:pPr>
  </w:style>
  <w:style w:type="table" w:customStyle="1" w:styleId="MainTableStyle">
    <w:name w:val="Main Table Style"/>
    <w:basedOn w:val="TableNormal"/>
    <w:uiPriority w:val="99"/>
    <w:rsid w:val="004F31D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numbering" w:styleId="1ai">
    <w:name w:val="Outline List 1"/>
    <w:basedOn w:val="NoList"/>
    <w:semiHidden/>
    <w:rsid w:val="004F31DE"/>
    <w:pPr>
      <w:numPr>
        <w:numId w:val="17"/>
      </w:numPr>
    </w:pPr>
  </w:style>
  <w:style w:type="paragraph" w:customStyle="1" w:styleId="Tabletext">
    <w:name w:val="Table text"/>
    <w:basedOn w:val="Normal"/>
    <w:rsid w:val="004F31DE"/>
    <w:pPr>
      <w:widowControl/>
      <w:autoSpaceDE/>
      <w:autoSpaceDN/>
      <w:spacing w:before="60" w:after="60"/>
      <w:ind w:left="2268" w:hanging="1417"/>
    </w:pPr>
    <w:rPr>
      <w:rFonts w:eastAsia="Calibri"/>
      <w:kern w:val="2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mr.qld.gov.au/business-industry/Business-with-us/Approved-products-and-supplier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e85daaf6-55f8-4e64-9dc5-0f62b5e2d7b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E7FB6-F3B8-477F-9062-F25085CC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1992</Words>
  <Characters>10782</Characters>
  <Application>Microsoft Office Word</Application>
  <DocSecurity>0</DocSecurity>
  <Lines>336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B201 - Steelwork for Bridges</dc:title>
  <dc:subject>B201 - Steelwork for Bridges</dc:subject>
  <dc:creator>Roads and Maritime Services</dc:creator>
  <cp:keywords>B201 - Steelwork for Bridges</cp:keywords>
  <cp:lastModifiedBy>Elaena Gardner</cp:lastModifiedBy>
  <cp:revision>15</cp:revision>
  <dcterms:created xsi:type="dcterms:W3CDTF">2020-01-07T22:13:00Z</dcterms:created>
  <dcterms:modified xsi:type="dcterms:W3CDTF">2020-01-10T03:33:00Z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