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6271" w14:textId="792019C1" w:rsidR="00360BFB" w:rsidRPr="00200689" w:rsidRDefault="003647CC" w:rsidP="00360BFB">
      <w:r>
        <w:rPr>
          <w:noProof/>
        </w:rPr>
        <mc:AlternateContent>
          <mc:Choice Requires="wps">
            <w:drawing>
              <wp:anchor distT="45720" distB="45720" distL="114300" distR="114300" simplePos="0" relativeHeight="251664384" behindDoc="0" locked="0" layoutInCell="1" allowOverlap="1" wp14:anchorId="5F88F3C1" wp14:editId="273883ED">
                <wp:simplePos x="0" y="0"/>
                <wp:positionH relativeFrom="column">
                  <wp:posOffset>4419600</wp:posOffset>
                </wp:positionH>
                <wp:positionV relativeFrom="paragraph">
                  <wp:posOffset>742950</wp:posOffset>
                </wp:positionV>
                <wp:extent cx="16192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4B1524F2" w14:textId="318B9D9D" w:rsidR="003647CC" w:rsidRPr="003647CC" w:rsidRDefault="00936FA3" w:rsidP="003647CC">
                            <w:pPr>
                              <w:spacing w:before="0"/>
                              <w:ind w:left="0" w:firstLine="0"/>
                              <w:jc w:val="center"/>
                              <w:rPr>
                                <w:b/>
                                <w:bCs/>
                                <w:color w:val="FFFFFF" w:themeColor="background1"/>
                                <w:sz w:val="22"/>
                                <w:szCs w:val="22"/>
                              </w:rPr>
                            </w:pPr>
                            <w:r>
                              <w:rPr>
                                <w:b/>
                                <w:bCs/>
                                <w:color w:val="FFFFFF" w:themeColor="background1"/>
                                <w:sz w:val="22"/>
                                <w:szCs w:val="22"/>
                              </w:rPr>
                              <w:t>Corporate Report</w:t>
                            </w:r>
                          </w:p>
                          <w:p w14:paraId="576D90CF" w14:textId="371F693D" w:rsidR="003647CC" w:rsidRPr="003647CC" w:rsidRDefault="003647CC" w:rsidP="003647CC">
                            <w:pPr>
                              <w:spacing w:before="0"/>
                              <w:ind w:left="0" w:firstLine="0"/>
                              <w:jc w:val="center"/>
                              <w:rPr>
                                <w:b/>
                                <w:bCs/>
                                <w:color w:val="FFFFFF" w:themeColor="background1"/>
                                <w:sz w:val="22"/>
                                <w:szCs w:val="22"/>
                              </w:rPr>
                            </w:pPr>
                            <w:r w:rsidRPr="003647CC">
                              <w:rPr>
                                <w:b/>
                                <w:bCs/>
                                <w:color w:val="FFFFFF" w:themeColor="background1"/>
                                <w:sz w:val="22"/>
                                <w:szCs w:val="22"/>
                              </w:rPr>
                              <w:t>AP-C112-23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8F3C1" id="_x0000_t202" coordsize="21600,21600" o:spt="202" path="m,l,21600r21600,l21600,xe">
                <v:stroke joinstyle="miter"/>
                <v:path gradientshapeok="t" o:connecttype="rect"/>
              </v:shapetype>
              <v:shape id="Text Box 2" o:spid="_x0000_s1026" type="#_x0000_t202" style="position:absolute;left:0;text-align:left;margin-left:348pt;margin-top:58.5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" filled="f" stroked="f">
                <v:textbox style="mso-fit-shape-to-text:t">
                  <w:txbxContent>
                    <w:p w14:paraId="4B1524F2" w14:textId="318B9D9D" w:rsidR="003647CC" w:rsidRPr="003647CC" w:rsidRDefault="00936FA3" w:rsidP="003647CC">
                      <w:pPr>
                        <w:spacing w:before="0"/>
                        <w:ind w:left="0" w:firstLine="0"/>
                        <w:jc w:val="center"/>
                        <w:rPr>
                          <w:b/>
                          <w:bCs/>
                          <w:color w:val="FFFFFF" w:themeColor="background1"/>
                          <w:sz w:val="22"/>
                          <w:szCs w:val="22"/>
                        </w:rPr>
                      </w:pPr>
                      <w:r>
                        <w:rPr>
                          <w:b/>
                          <w:bCs/>
                          <w:color w:val="FFFFFF" w:themeColor="background1"/>
                          <w:sz w:val="22"/>
                          <w:szCs w:val="22"/>
                        </w:rPr>
                        <w:t>Corporate Report</w:t>
                      </w:r>
                    </w:p>
                    <w:p w14:paraId="576D90CF" w14:textId="371F693D" w:rsidR="003647CC" w:rsidRPr="003647CC" w:rsidRDefault="003647CC" w:rsidP="003647CC">
                      <w:pPr>
                        <w:spacing w:before="0"/>
                        <w:ind w:left="0" w:firstLine="0"/>
                        <w:jc w:val="center"/>
                        <w:rPr>
                          <w:b/>
                          <w:bCs/>
                          <w:color w:val="FFFFFF" w:themeColor="background1"/>
                          <w:sz w:val="22"/>
                          <w:szCs w:val="22"/>
                        </w:rPr>
                      </w:pPr>
                      <w:r w:rsidRPr="003647CC">
                        <w:rPr>
                          <w:b/>
                          <w:bCs/>
                          <w:color w:val="FFFFFF" w:themeColor="background1"/>
                          <w:sz w:val="22"/>
                          <w:szCs w:val="22"/>
                        </w:rPr>
                        <w:t>AP-C112-23</w:t>
                      </w:r>
                    </w:p>
                  </w:txbxContent>
                </v:textbox>
                <w10:wrap type="square"/>
              </v:shape>
            </w:pict>
          </mc:Fallback>
        </mc:AlternateContent>
      </w:r>
      <w:r w:rsidRPr="00200689">
        <w:rPr>
          <w:rFonts w:eastAsia="Times New Roman"/>
          <w:noProof/>
          <w:lang w:val="en-GB" w:eastAsia="en-GB"/>
        </w:rPr>
        <w:drawing>
          <wp:anchor distT="0" distB="0" distL="114300" distR="114300" simplePos="0" relativeHeight="251659264" behindDoc="1" locked="0" layoutInCell="1" allowOverlap="1" wp14:anchorId="11FA333D" wp14:editId="0947DF7C">
            <wp:simplePos x="0" y="0"/>
            <wp:positionH relativeFrom="page">
              <wp:align>right</wp:align>
            </wp:positionH>
            <wp:positionV relativeFrom="page">
              <wp:align>top</wp:align>
            </wp:positionV>
            <wp:extent cx="7543800" cy="10670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3800" cy="10670540"/>
                    </a:xfrm>
                    <a:prstGeom prst="rect">
                      <a:avLst/>
                    </a:prstGeom>
                  </pic:spPr>
                </pic:pic>
              </a:graphicData>
            </a:graphic>
            <wp14:sizeRelH relativeFrom="page">
              <wp14:pctWidth>0</wp14:pctWidth>
            </wp14:sizeRelH>
            <wp14:sizeRelV relativeFrom="page">
              <wp14:pctHeight>0</wp14:pctHeight>
            </wp14:sizeRelV>
          </wp:anchor>
        </w:drawing>
      </w:r>
      <w:r w:rsidR="00170BDC" w:rsidRPr="00200689">
        <w:rPr>
          <w:rFonts w:eastAsia="SimSun"/>
          <w:noProof/>
          <w:szCs w:val="22"/>
          <w:lang w:val="en-GB" w:eastAsia="en-GB"/>
        </w:rPr>
        <mc:AlternateContent>
          <mc:Choice Requires="wps">
            <w:drawing>
              <wp:anchor distT="0" distB="0" distL="114300" distR="114300" simplePos="0" relativeHeight="251661312" behindDoc="0" locked="1" layoutInCell="1" allowOverlap="1" wp14:anchorId="40A39914" wp14:editId="0E896A8F">
                <wp:simplePos x="0" y="0"/>
                <wp:positionH relativeFrom="margin">
                  <wp:posOffset>803910</wp:posOffset>
                </wp:positionH>
                <wp:positionV relativeFrom="margin">
                  <wp:posOffset>5975985</wp:posOffset>
                </wp:positionV>
                <wp:extent cx="5721350" cy="34290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3429000"/>
                        </a:xfrm>
                        <a:prstGeom prst="rect">
                          <a:avLst/>
                        </a:prstGeom>
                        <a:noFill/>
                        <a:ln w="9525">
                          <a:noFill/>
                          <a:miter lim="800000"/>
                          <a:headEnd/>
                          <a:tailEnd/>
                        </a:ln>
                      </wps:spPr>
                      <wps:txbx>
                        <w:txbxContent>
                          <w:p w14:paraId="2761C3DC" w14:textId="4FE54538" w:rsidR="00666157" w:rsidRDefault="00C06659" w:rsidP="00170BDC">
                            <w:pPr>
                              <w:pStyle w:val="CoverTitle"/>
                            </w:pPr>
                            <w:r>
                              <w:t xml:space="preserve">Code of Practice for the Management of </w:t>
                            </w:r>
                            <w:r w:rsidR="00A53850" w:rsidRPr="00A53850">
                              <w:t xml:space="preserve">Alkali Aggregate Reactivity </w:t>
                            </w:r>
                            <w:r w:rsidR="004F48B8" w:rsidRPr="004F48B8">
                              <w:t xml:space="preserve"> </w:t>
                            </w:r>
                          </w:p>
                          <w:p w14:paraId="499EAFB5" w14:textId="0D9D7775" w:rsidR="00170BDC" w:rsidRPr="0084727E" w:rsidRDefault="00743D97" w:rsidP="00170BDC">
                            <w:pPr>
                              <w:pStyle w:val="CoverTitle"/>
                              <w:rPr>
                                <w:color w:val="FF4519"/>
                              </w:rPr>
                            </w:pPr>
                            <w:r w:rsidRPr="0084727E">
                              <w:rPr>
                                <w:i/>
                                <w:iCs/>
                                <w:color w:val="FF4519"/>
                                <w:sz w:val="36"/>
                                <w:szCs w:val="36"/>
                              </w:rPr>
                              <w:t>[</w:t>
                            </w:r>
                            <w:r w:rsidR="00666157" w:rsidRPr="0084727E">
                              <w:rPr>
                                <w:i/>
                                <w:iCs/>
                                <w:color w:val="FF4519"/>
                                <w:sz w:val="36"/>
                                <w:szCs w:val="36"/>
                              </w:rPr>
                              <w:t xml:space="preserve">Road Agency </w:t>
                            </w:r>
                            <w:r w:rsidRPr="0084727E">
                              <w:rPr>
                                <w:i/>
                                <w:iCs/>
                                <w:color w:val="FF4519"/>
                                <w:sz w:val="36"/>
                                <w:szCs w:val="36"/>
                              </w:rPr>
                              <w:t xml:space="preserve">to modify cover, fonts, </w:t>
                            </w:r>
                            <w:proofErr w:type="gramStart"/>
                            <w:r w:rsidRPr="0084727E">
                              <w:rPr>
                                <w:i/>
                                <w:iCs/>
                                <w:color w:val="FF4519"/>
                                <w:sz w:val="36"/>
                                <w:szCs w:val="36"/>
                              </w:rPr>
                              <w:t>headers</w:t>
                            </w:r>
                            <w:proofErr w:type="gramEnd"/>
                            <w:r w:rsidRPr="0084727E">
                              <w:rPr>
                                <w:i/>
                                <w:iCs/>
                                <w:color w:val="FF4519"/>
                                <w:sz w:val="36"/>
                                <w:szCs w:val="36"/>
                              </w:rPr>
                              <w:t xml:space="preserve"> and footers to suit corporate branding requirements]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39914" id="_x0000_s1027" type="#_x0000_t202" style="position:absolute;left:0;text-align:left;margin-left:63.3pt;margin-top:470.55pt;width:450.5pt;height:27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" filled="f" stroked="f">
                <v:textbox>
                  <w:txbxContent>
                    <w:p w14:paraId="2761C3DC" w14:textId="4FE54538" w:rsidR="00666157" w:rsidRDefault="00C06659" w:rsidP="00170BDC">
                      <w:pPr>
                        <w:pStyle w:val="CoverTitle"/>
                      </w:pPr>
                      <w:r>
                        <w:t xml:space="preserve">Code of Practice for the Management of </w:t>
                      </w:r>
                      <w:r w:rsidR="00A53850" w:rsidRPr="00A53850">
                        <w:t xml:space="preserve">Alkali Aggregate Reactivity </w:t>
                      </w:r>
                      <w:r w:rsidR="004F48B8" w:rsidRPr="004F48B8">
                        <w:t xml:space="preserve"> </w:t>
                      </w:r>
                    </w:p>
                    <w:p w14:paraId="499EAFB5" w14:textId="0D9D7775" w:rsidR="00170BDC" w:rsidRPr="0084727E" w:rsidRDefault="00743D97" w:rsidP="00170BDC">
                      <w:pPr>
                        <w:pStyle w:val="CoverTitle"/>
                        <w:rPr>
                          <w:color w:val="FF4519"/>
                        </w:rPr>
                      </w:pPr>
                      <w:r w:rsidRPr="0084727E">
                        <w:rPr>
                          <w:i/>
                          <w:iCs/>
                          <w:color w:val="FF4519"/>
                          <w:sz w:val="36"/>
                          <w:szCs w:val="36"/>
                        </w:rPr>
                        <w:t>[</w:t>
                      </w:r>
                      <w:r w:rsidR="00666157" w:rsidRPr="0084727E">
                        <w:rPr>
                          <w:i/>
                          <w:iCs/>
                          <w:color w:val="FF4519"/>
                          <w:sz w:val="36"/>
                          <w:szCs w:val="36"/>
                        </w:rPr>
                        <w:t xml:space="preserve">Road Agency </w:t>
                      </w:r>
                      <w:r w:rsidRPr="0084727E">
                        <w:rPr>
                          <w:i/>
                          <w:iCs/>
                          <w:color w:val="FF4519"/>
                          <w:sz w:val="36"/>
                          <w:szCs w:val="36"/>
                        </w:rPr>
                        <w:t xml:space="preserve">to modify cover, fonts, </w:t>
                      </w:r>
                      <w:proofErr w:type="gramStart"/>
                      <w:r w:rsidRPr="0084727E">
                        <w:rPr>
                          <w:i/>
                          <w:iCs/>
                          <w:color w:val="FF4519"/>
                          <w:sz w:val="36"/>
                          <w:szCs w:val="36"/>
                        </w:rPr>
                        <w:t>headers</w:t>
                      </w:r>
                      <w:proofErr w:type="gramEnd"/>
                      <w:r w:rsidRPr="0084727E">
                        <w:rPr>
                          <w:i/>
                          <w:iCs/>
                          <w:color w:val="FF4519"/>
                          <w:sz w:val="36"/>
                          <w:szCs w:val="36"/>
                        </w:rPr>
                        <w:t xml:space="preserve"> and footers to suit corporate branding requirements]</w:t>
                      </w:r>
                    </w:p>
                  </w:txbxContent>
                </v:textbox>
                <w10:wrap anchorx="margin" anchory="margin"/>
                <w10:anchorlock/>
              </v:shape>
            </w:pict>
          </mc:Fallback>
        </mc:AlternateContent>
      </w:r>
    </w:p>
    <w:bookmarkStart w:id="0" w:name="_Toc124413908" w:displacedByCustomXml="next"/>
    <w:bookmarkStart w:id="1" w:name="_Toc112738514" w:displacedByCustomXml="next"/>
    <w:sdt>
      <w:sdtPr>
        <w:rPr>
          <w:rFonts w:ascii="Arial" w:eastAsiaTheme="minorHAnsi" w:hAnsi="Arial"/>
          <w:caps/>
          <w:color w:val="auto"/>
          <w:sz w:val="20"/>
          <w:szCs w:val="20"/>
        </w:rPr>
        <w:id w:val="295113638"/>
        <w:docPartObj>
          <w:docPartGallery w:val="Table of Contents"/>
          <w:docPartUnique/>
        </w:docPartObj>
      </w:sdtPr>
      <w:sdtEndPr>
        <w:rPr>
          <w:b w:val="0"/>
          <w:bCs w:val="0"/>
          <w:caps w:val="0"/>
          <w:noProof/>
        </w:rPr>
      </w:sdtEndPr>
      <w:sdtContent>
        <w:p w14:paraId="13ECA994" w14:textId="04EF78C9" w:rsidR="006F1D4E" w:rsidRPr="00200689" w:rsidRDefault="006F1D4E" w:rsidP="00936FA3">
          <w:pPr>
            <w:pStyle w:val="Heading1-nonumber"/>
          </w:pPr>
          <w:r w:rsidRPr="001769D6">
            <w:t>Contents</w:t>
          </w:r>
          <w:bookmarkEnd w:id="1"/>
          <w:bookmarkEnd w:id="0"/>
        </w:p>
        <w:p w14:paraId="2D87AB89" w14:textId="55BE3434" w:rsidR="0084727E" w:rsidRDefault="006F1D4E" w:rsidP="0084727E">
          <w:pPr>
            <w:pStyle w:val="TOC1"/>
            <w:rPr>
              <w:rFonts w:asciiTheme="minorHAnsi" w:eastAsiaTheme="minorEastAsia" w:hAnsiTheme="minorHAnsi" w:cstheme="minorBidi"/>
              <w:sz w:val="22"/>
              <w:szCs w:val="22"/>
              <w:lang w:eastAsia="en-AU"/>
            </w:rPr>
          </w:pPr>
          <w:r w:rsidRPr="00200689">
            <w:rPr>
              <w:noProof w:val="0"/>
            </w:rPr>
            <w:fldChar w:fldCharType="begin"/>
          </w:r>
          <w:r w:rsidRPr="00200689">
            <w:instrText xml:space="preserve"> TOC \o "1-3" \h \z \u </w:instrText>
          </w:r>
          <w:r w:rsidRPr="00200689">
            <w:rPr>
              <w:noProof w:val="0"/>
            </w:rPr>
            <w:fldChar w:fldCharType="separate"/>
          </w:r>
          <w:hyperlink w:anchor="_Toc124413909" w:history="1">
            <w:r w:rsidR="0084727E" w:rsidRPr="00FF2C1D">
              <w:rPr>
                <w:rStyle w:val="Hyperlink"/>
                <w14:scene3d>
                  <w14:camera w14:prst="orthographicFront"/>
                  <w14:lightRig w14:rig="threePt" w14:dir="t">
                    <w14:rot w14:lat="0" w14:lon="0" w14:rev="0"/>
                  </w14:lightRig>
                </w14:scene3d>
              </w:rPr>
              <w:t>1.</w:t>
            </w:r>
            <w:r w:rsidR="0084727E">
              <w:rPr>
                <w:rFonts w:asciiTheme="minorHAnsi" w:eastAsiaTheme="minorEastAsia" w:hAnsiTheme="minorHAnsi" w:cstheme="minorBidi"/>
                <w:sz w:val="22"/>
                <w:szCs w:val="22"/>
                <w:lang w:eastAsia="en-AU"/>
              </w:rPr>
              <w:tab/>
            </w:r>
            <w:r w:rsidR="0084727E" w:rsidRPr="00FF2C1D">
              <w:rPr>
                <w:rStyle w:val="Hyperlink"/>
              </w:rPr>
              <w:t>Introduction</w:t>
            </w:r>
            <w:r w:rsidR="0084727E">
              <w:rPr>
                <w:webHidden/>
              </w:rPr>
              <w:tab/>
            </w:r>
            <w:r w:rsidR="0084727E">
              <w:rPr>
                <w:webHidden/>
              </w:rPr>
              <w:fldChar w:fldCharType="begin"/>
            </w:r>
            <w:r w:rsidR="0084727E">
              <w:rPr>
                <w:webHidden/>
              </w:rPr>
              <w:instrText xml:space="preserve"> PAGEREF _Toc124413909 \h </w:instrText>
            </w:r>
            <w:r w:rsidR="0084727E">
              <w:rPr>
                <w:webHidden/>
              </w:rPr>
            </w:r>
            <w:r w:rsidR="0084727E">
              <w:rPr>
                <w:webHidden/>
              </w:rPr>
              <w:fldChar w:fldCharType="separate"/>
            </w:r>
            <w:r w:rsidR="00936FA3">
              <w:rPr>
                <w:webHidden/>
              </w:rPr>
              <w:t>3</w:t>
            </w:r>
            <w:r w:rsidR="0084727E">
              <w:rPr>
                <w:webHidden/>
              </w:rPr>
              <w:fldChar w:fldCharType="end"/>
            </w:r>
          </w:hyperlink>
        </w:p>
        <w:p w14:paraId="48CC62A3" w14:textId="0E05D0BD" w:rsidR="0084727E" w:rsidRPr="0084727E" w:rsidRDefault="0084727E" w:rsidP="0084727E">
          <w:pPr>
            <w:pStyle w:val="TOC1"/>
          </w:pPr>
          <w:hyperlink w:anchor="_Toc124413910" w:history="1">
            <w:r w:rsidRPr="0084727E">
              <w:rPr>
                <w:rStyle w:val="Hyperlink"/>
                <w:color w:val="auto"/>
                <w:u w:val="none"/>
              </w:rPr>
              <w:t>2.</w:t>
            </w:r>
            <w:r w:rsidRPr="0084727E">
              <w:tab/>
            </w:r>
            <w:r w:rsidRPr="0084727E">
              <w:rPr>
                <w:rStyle w:val="Hyperlink"/>
                <w:color w:val="auto"/>
                <w:u w:val="none"/>
              </w:rPr>
              <w:t>References</w:t>
            </w:r>
            <w:r w:rsidRPr="0084727E">
              <w:rPr>
                <w:webHidden/>
              </w:rPr>
              <w:tab/>
            </w:r>
            <w:r w:rsidRPr="0084727E">
              <w:rPr>
                <w:webHidden/>
              </w:rPr>
              <w:fldChar w:fldCharType="begin"/>
            </w:r>
            <w:r w:rsidRPr="0084727E">
              <w:rPr>
                <w:webHidden/>
              </w:rPr>
              <w:instrText xml:space="preserve"> PAGEREF _Toc124413910 \h </w:instrText>
            </w:r>
            <w:r w:rsidRPr="0084727E">
              <w:rPr>
                <w:webHidden/>
              </w:rPr>
            </w:r>
            <w:r w:rsidRPr="0084727E">
              <w:rPr>
                <w:webHidden/>
              </w:rPr>
              <w:fldChar w:fldCharType="separate"/>
            </w:r>
            <w:r w:rsidR="00936FA3">
              <w:rPr>
                <w:webHidden/>
              </w:rPr>
              <w:t>3</w:t>
            </w:r>
            <w:r w:rsidRPr="0084727E">
              <w:rPr>
                <w:webHidden/>
              </w:rPr>
              <w:fldChar w:fldCharType="end"/>
            </w:r>
          </w:hyperlink>
        </w:p>
        <w:p w14:paraId="63F0E612" w14:textId="0AE6E672" w:rsidR="0084727E" w:rsidRDefault="0084727E" w:rsidP="0084727E">
          <w:pPr>
            <w:pStyle w:val="TOC1"/>
            <w:rPr>
              <w:rFonts w:asciiTheme="minorHAnsi" w:eastAsiaTheme="minorEastAsia" w:hAnsiTheme="minorHAnsi" w:cstheme="minorBidi"/>
              <w:sz w:val="22"/>
              <w:szCs w:val="22"/>
              <w:lang w:eastAsia="en-AU"/>
            </w:rPr>
          </w:pPr>
          <w:hyperlink w:anchor="_Toc124413911" w:history="1">
            <w:r w:rsidRPr="00FF2C1D">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sz w:val="22"/>
                <w:szCs w:val="22"/>
                <w:lang w:eastAsia="en-AU"/>
              </w:rPr>
              <w:tab/>
            </w:r>
            <w:r w:rsidRPr="00FF2C1D">
              <w:rPr>
                <w:rStyle w:val="Hyperlink"/>
              </w:rPr>
              <w:t>Definitions and Abbreviations</w:t>
            </w:r>
            <w:r>
              <w:rPr>
                <w:webHidden/>
              </w:rPr>
              <w:tab/>
            </w:r>
            <w:r>
              <w:rPr>
                <w:webHidden/>
              </w:rPr>
              <w:fldChar w:fldCharType="begin"/>
            </w:r>
            <w:r>
              <w:rPr>
                <w:webHidden/>
              </w:rPr>
              <w:instrText xml:space="preserve"> PAGEREF _Toc124413911 \h </w:instrText>
            </w:r>
            <w:r>
              <w:rPr>
                <w:webHidden/>
              </w:rPr>
            </w:r>
            <w:r>
              <w:rPr>
                <w:webHidden/>
              </w:rPr>
              <w:fldChar w:fldCharType="separate"/>
            </w:r>
            <w:r w:rsidR="00936FA3">
              <w:rPr>
                <w:webHidden/>
              </w:rPr>
              <w:t>3</w:t>
            </w:r>
            <w:r>
              <w:rPr>
                <w:webHidden/>
              </w:rPr>
              <w:fldChar w:fldCharType="end"/>
            </w:r>
          </w:hyperlink>
        </w:p>
        <w:p w14:paraId="2BB73F18" w14:textId="019B3C93" w:rsidR="0084727E" w:rsidRDefault="0084727E" w:rsidP="0084727E">
          <w:pPr>
            <w:pStyle w:val="TOC1"/>
            <w:rPr>
              <w:rFonts w:asciiTheme="minorHAnsi" w:eastAsiaTheme="minorEastAsia" w:hAnsiTheme="minorHAnsi" w:cstheme="minorBidi"/>
              <w:sz w:val="22"/>
              <w:szCs w:val="22"/>
              <w:lang w:eastAsia="en-AU"/>
            </w:rPr>
          </w:pPr>
          <w:hyperlink w:anchor="_Toc124413912" w:history="1">
            <w:r w:rsidRPr="00FF2C1D">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sz w:val="22"/>
                <w:szCs w:val="22"/>
                <w:lang w:eastAsia="en-AU"/>
              </w:rPr>
              <w:tab/>
            </w:r>
            <w:r w:rsidRPr="00FF2C1D">
              <w:rPr>
                <w:rStyle w:val="Hyperlink"/>
              </w:rPr>
              <w:t>Approval of the Aggregate</w:t>
            </w:r>
            <w:r>
              <w:rPr>
                <w:webHidden/>
              </w:rPr>
              <w:tab/>
            </w:r>
            <w:r>
              <w:rPr>
                <w:webHidden/>
              </w:rPr>
              <w:fldChar w:fldCharType="begin"/>
            </w:r>
            <w:r>
              <w:rPr>
                <w:webHidden/>
              </w:rPr>
              <w:instrText xml:space="preserve"> PAGEREF _Toc124413912 \h </w:instrText>
            </w:r>
            <w:r>
              <w:rPr>
                <w:webHidden/>
              </w:rPr>
            </w:r>
            <w:r>
              <w:rPr>
                <w:webHidden/>
              </w:rPr>
              <w:fldChar w:fldCharType="separate"/>
            </w:r>
            <w:r w:rsidR="00936FA3">
              <w:rPr>
                <w:webHidden/>
              </w:rPr>
              <w:t>4</w:t>
            </w:r>
            <w:r>
              <w:rPr>
                <w:webHidden/>
              </w:rPr>
              <w:fldChar w:fldCharType="end"/>
            </w:r>
          </w:hyperlink>
        </w:p>
        <w:p w14:paraId="2FFC4D8B" w14:textId="3EE70AD0" w:rsidR="0084727E" w:rsidRDefault="0084727E" w:rsidP="0084727E">
          <w:pPr>
            <w:pStyle w:val="TOC1"/>
            <w:rPr>
              <w:rFonts w:asciiTheme="minorHAnsi" w:eastAsiaTheme="minorEastAsia" w:hAnsiTheme="minorHAnsi" w:cstheme="minorBidi"/>
              <w:sz w:val="22"/>
              <w:szCs w:val="22"/>
              <w:lang w:eastAsia="en-AU"/>
            </w:rPr>
          </w:pPr>
          <w:hyperlink w:anchor="_Toc124413913" w:history="1">
            <w:r w:rsidRPr="00FF2C1D">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sz w:val="22"/>
                <w:szCs w:val="22"/>
                <w:lang w:eastAsia="en-AU"/>
              </w:rPr>
              <w:tab/>
            </w:r>
            <w:r w:rsidRPr="00FF2C1D">
              <w:rPr>
                <w:rStyle w:val="Hyperlink"/>
              </w:rPr>
              <w:t>Petrographic Examination</w:t>
            </w:r>
            <w:r>
              <w:rPr>
                <w:webHidden/>
              </w:rPr>
              <w:tab/>
            </w:r>
            <w:r>
              <w:rPr>
                <w:webHidden/>
              </w:rPr>
              <w:fldChar w:fldCharType="begin"/>
            </w:r>
            <w:r>
              <w:rPr>
                <w:webHidden/>
              </w:rPr>
              <w:instrText xml:space="preserve"> PAGEREF _Toc124413913 \h </w:instrText>
            </w:r>
            <w:r>
              <w:rPr>
                <w:webHidden/>
              </w:rPr>
            </w:r>
            <w:r>
              <w:rPr>
                <w:webHidden/>
              </w:rPr>
              <w:fldChar w:fldCharType="separate"/>
            </w:r>
            <w:r w:rsidR="00936FA3">
              <w:rPr>
                <w:webHidden/>
              </w:rPr>
              <w:t>5</w:t>
            </w:r>
            <w:r>
              <w:rPr>
                <w:webHidden/>
              </w:rPr>
              <w:fldChar w:fldCharType="end"/>
            </w:r>
          </w:hyperlink>
        </w:p>
        <w:p w14:paraId="7D378E75" w14:textId="6B2E73CA" w:rsidR="0084727E" w:rsidRDefault="0084727E" w:rsidP="0084727E">
          <w:pPr>
            <w:pStyle w:val="TOC1"/>
            <w:rPr>
              <w:rFonts w:asciiTheme="minorHAnsi" w:eastAsiaTheme="minorEastAsia" w:hAnsiTheme="minorHAnsi" w:cstheme="minorBidi"/>
              <w:sz w:val="22"/>
              <w:szCs w:val="22"/>
              <w:lang w:eastAsia="en-AU"/>
            </w:rPr>
          </w:pPr>
          <w:hyperlink w:anchor="_Toc124413914" w:history="1">
            <w:r w:rsidRPr="00FF2C1D">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sz w:val="22"/>
                <w:szCs w:val="22"/>
                <w:lang w:eastAsia="en-AU"/>
              </w:rPr>
              <w:tab/>
            </w:r>
            <w:r w:rsidRPr="00FF2C1D">
              <w:rPr>
                <w:rStyle w:val="Hyperlink"/>
              </w:rPr>
              <w:t>Alkali Carbonate Reactivity</w:t>
            </w:r>
            <w:r>
              <w:rPr>
                <w:webHidden/>
              </w:rPr>
              <w:tab/>
            </w:r>
            <w:r>
              <w:rPr>
                <w:webHidden/>
              </w:rPr>
              <w:fldChar w:fldCharType="begin"/>
            </w:r>
            <w:r>
              <w:rPr>
                <w:webHidden/>
              </w:rPr>
              <w:instrText xml:space="preserve"> PAGEREF _Toc124413914 \h </w:instrText>
            </w:r>
            <w:r>
              <w:rPr>
                <w:webHidden/>
              </w:rPr>
            </w:r>
            <w:r>
              <w:rPr>
                <w:webHidden/>
              </w:rPr>
              <w:fldChar w:fldCharType="separate"/>
            </w:r>
            <w:r w:rsidR="00936FA3">
              <w:rPr>
                <w:webHidden/>
              </w:rPr>
              <w:t>5</w:t>
            </w:r>
            <w:r>
              <w:rPr>
                <w:webHidden/>
              </w:rPr>
              <w:fldChar w:fldCharType="end"/>
            </w:r>
          </w:hyperlink>
        </w:p>
        <w:p w14:paraId="57610AD9" w14:textId="2547CA84" w:rsidR="0084727E" w:rsidRDefault="0084727E" w:rsidP="0084727E">
          <w:pPr>
            <w:pStyle w:val="TOC1"/>
            <w:rPr>
              <w:rFonts w:asciiTheme="minorHAnsi" w:eastAsiaTheme="minorEastAsia" w:hAnsiTheme="minorHAnsi" w:cstheme="minorBidi"/>
              <w:sz w:val="22"/>
              <w:szCs w:val="22"/>
              <w:lang w:eastAsia="en-AU"/>
            </w:rPr>
          </w:pPr>
          <w:hyperlink w:anchor="_Toc124413915" w:history="1">
            <w:r w:rsidRPr="00FF2C1D">
              <w:rPr>
                <w:rStyle w:val="Hyperlink"/>
                <w14:scene3d>
                  <w14:camera w14:prst="orthographicFront"/>
                  <w14:lightRig w14:rig="threePt" w14:dir="t">
                    <w14:rot w14:lat="0" w14:lon="0" w14:rev="0"/>
                  </w14:lightRig>
                </w14:scene3d>
              </w:rPr>
              <w:t>7.</w:t>
            </w:r>
            <w:r>
              <w:rPr>
                <w:rFonts w:asciiTheme="minorHAnsi" w:eastAsiaTheme="minorEastAsia" w:hAnsiTheme="minorHAnsi" w:cstheme="minorBidi"/>
                <w:sz w:val="22"/>
                <w:szCs w:val="22"/>
                <w:lang w:eastAsia="en-AU"/>
              </w:rPr>
              <w:tab/>
            </w:r>
            <w:r w:rsidRPr="00FF2C1D">
              <w:rPr>
                <w:rStyle w:val="Hyperlink"/>
              </w:rPr>
              <w:t>Initial Screening of the Aggregate</w:t>
            </w:r>
            <w:r>
              <w:rPr>
                <w:webHidden/>
              </w:rPr>
              <w:tab/>
            </w:r>
            <w:r>
              <w:rPr>
                <w:webHidden/>
              </w:rPr>
              <w:fldChar w:fldCharType="begin"/>
            </w:r>
            <w:r>
              <w:rPr>
                <w:webHidden/>
              </w:rPr>
              <w:instrText xml:space="preserve"> PAGEREF _Toc124413915 \h </w:instrText>
            </w:r>
            <w:r>
              <w:rPr>
                <w:webHidden/>
              </w:rPr>
            </w:r>
            <w:r>
              <w:rPr>
                <w:webHidden/>
              </w:rPr>
              <w:fldChar w:fldCharType="separate"/>
            </w:r>
            <w:r w:rsidR="00936FA3">
              <w:rPr>
                <w:webHidden/>
              </w:rPr>
              <w:t>5</w:t>
            </w:r>
            <w:r>
              <w:rPr>
                <w:webHidden/>
              </w:rPr>
              <w:fldChar w:fldCharType="end"/>
            </w:r>
          </w:hyperlink>
        </w:p>
        <w:p w14:paraId="40EA19D9" w14:textId="44B40ABC" w:rsidR="0084727E" w:rsidRDefault="0084727E" w:rsidP="0084727E">
          <w:pPr>
            <w:pStyle w:val="TOC1"/>
            <w:rPr>
              <w:rFonts w:asciiTheme="minorHAnsi" w:eastAsiaTheme="minorEastAsia" w:hAnsiTheme="minorHAnsi" w:cstheme="minorBidi"/>
              <w:sz w:val="22"/>
              <w:szCs w:val="22"/>
              <w:lang w:eastAsia="en-AU"/>
            </w:rPr>
          </w:pPr>
          <w:hyperlink w:anchor="_Toc124413916" w:history="1">
            <w:r w:rsidRPr="00FF2C1D">
              <w:rPr>
                <w:rStyle w:val="Hyperlink"/>
                <w14:scene3d>
                  <w14:camera w14:prst="orthographicFront"/>
                  <w14:lightRig w14:rig="threePt" w14:dir="t">
                    <w14:rot w14:lat="0" w14:lon="0" w14:rev="0"/>
                  </w14:lightRig>
                </w14:scene3d>
              </w:rPr>
              <w:t>8.</w:t>
            </w:r>
            <w:r>
              <w:rPr>
                <w:rFonts w:asciiTheme="minorHAnsi" w:eastAsiaTheme="minorEastAsia" w:hAnsiTheme="minorHAnsi" w:cstheme="minorBidi"/>
                <w:sz w:val="22"/>
                <w:szCs w:val="22"/>
                <w:lang w:eastAsia="en-AU"/>
              </w:rPr>
              <w:tab/>
            </w:r>
            <w:r w:rsidRPr="00FF2C1D">
              <w:rPr>
                <w:rStyle w:val="Hyperlink"/>
              </w:rPr>
              <w:t>Concrete Prism Test</w:t>
            </w:r>
            <w:r>
              <w:rPr>
                <w:webHidden/>
              </w:rPr>
              <w:tab/>
            </w:r>
            <w:r>
              <w:rPr>
                <w:webHidden/>
              </w:rPr>
              <w:fldChar w:fldCharType="begin"/>
            </w:r>
            <w:r>
              <w:rPr>
                <w:webHidden/>
              </w:rPr>
              <w:instrText xml:space="preserve"> PAGEREF _Toc124413916 \h </w:instrText>
            </w:r>
            <w:r>
              <w:rPr>
                <w:webHidden/>
              </w:rPr>
            </w:r>
            <w:r>
              <w:rPr>
                <w:webHidden/>
              </w:rPr>
              <w:fldChar w:fldCharType="separate"/>
            </w:r>
            <w:r w:rsidR="00936FA3">
              <w:rPr>
                <w:webHidden/>
              </w:rPr>
              <w:t>6</w:t>
            </w:r>
            <w:r>
              <w:rPr>
                <w:webHidden/>
              </w:rPr>
              <w:fldChar w:fldCharType="end"/>
            </w:r>
          </w:hyperlink>
        </w:p>
        <w:p w14:paraId="6FEE6CB3" w14:textId="63365167" w:rsidR="0084727E" w:rsidRDefault="0084727E" w:rsidP="0084727E">
          <w:pPr>
            <w:pStyle w:val="TOC1"/>
            <w:rPr>
              <w:rFonts w:asciiTheme="minorHAnsi" w:eastAsiaTheme="minorEastAsia" w:hAnsiTheme="minorHAnsi" w:cstheme="minorBidi"/>
              <w:sz w:val="22"/>
              <w:szCs w:val="22"/>
              <w:lang w:eastAsia="en-AU"/>
            </w:rPr>
          </w:pPr>
          <w:hyperlink w:anchor="_Toc124413917" w:history="1">
            <w:r w:rsidRPr="00FF2C1D">
              <w:rPr>
                <w:rStyle w:val="Hyperlink"/>
                <w14:scene3d>
                  <w14:camera w14:prst="orthographicFront"/>
                  <w14:lightRig w14:rig="threePt" w14:dir="t">
                    <w14:rot w14:lat="0" w14:lon="0" w14:rev="0"/>
                  </w14:lightRig>
                </w14:scene3d>
              </w:rPr>
              <w:t>9.</w:t>
            </w:r>
            <w:r>
              <w:rPr>
                <w:rFonts w:asciiTheme="minorHAnsi" w:eastAsiaTheme="minorEastAsia" w:hAnsiTheme="minorHAnsi" w:cstheme="minorBidi"/>
                <w:sz w:val="22"/>
                <w:szCs w:val="22"/>
                <w:lang w:eastAsia="en-AU"/>
              </w:rPr>
              <w:tab/>
            </w:r>
            <w:r w:rsidRPr="00FF2C1D">
              <w:rPr>
                <w:rStyle w:val="Hyperlink"/>
              </w:rPr>
              <w:t>Control of AAR Using the “Deemed to Comply” Approach</w:t>
            </w:r>
            <w:r>
              <w:rPr>
                <w:webHidden/>
              </w:rPr>
              <w:tab/>
            </w:r>
            <w:r>
              <w:rPr>
                <w:webHidden/>
              </w:rPr>
              <w:fldChar w:fldCharType="begin"/>
            </w:r>
            <w:r>
              <w:rPr>
                <w:webHidden/>
              </w:rPr>
              <w:instrText xml:space="preserve"> PAGEREF _Toc124413917 \h </w:instrText>
            </w:r>
            <w:r>
              <w:rPr>
                <w:webHidden/>
              </w:rPr>
            </w:r>
            <w:r>
              <w:rPr>
                <w:webHidden/>
              </w:rPr>
              <w:fldChar w:fldCharType="separate"/>
            </w:r>
            <w:r w:rsidR="00936FA3">
              <w:rPr>
                <w:webHidden/>
              </w:rPr>
              <w:t>7</w:t>
            </w:r>
            <w:r>
              <w:rPr>
                <w:webHidden/>
              </w:rPr>
              <w:fldChar w:fldCharType="end"/>
            </w:r>
          </w:hyperlink>
        </w:p>
        <w:p w14:paraId="28CD0B2F" w14:textId="16B9C73C" w:rsidR="0084727E" w:rsidRDefault="0084727E" w:rsidP="0084727E">
          <w:pPr>
            <w:pStyle w:val="TOC1"/>
            <w:rPr>
              <w:rFonts w:asciiTheme="minorHAnsi" w:eastAsiaTheme="minorEastAsia" w:hAnsiTheme="minorHAnsi" w:cstheme="minorBidi"/>
              <w:sz w:val="22"/>
              <w:szCs w:val="22"/>
              <w:lang w:eastAsia="en-AU"/>
            </w:rPr>
          </w:pPr>
          <w:hyperlink w:anchor="_Toc124413918" w:history="1">
            <w:r w:rsidRPr="00FF2C1D">
              <w:rPr>
                <w:rStyle w:val="Hyperlink"/>
                <w14:scene3d>
                  <w14:camera w14:prst="orthographicFront"/>
                  <w14:lightRig w14:rig="threePt" w14:dir="t">
                    <w14:rot w14:lat="0" w14:lon="0" w14:rev="0"/>
                  </w14:lightRig>
                </w14:scene3d>
              </w:rPr>
              <w:t>10.</w:t>
            </w:r>
            <w:r>
              <w:rPr>
                <w:rFonts w:asciiTheme="minorHAnsi" w:eastAsiaTheme="minorEastAsia" w:hAnsiTheme="minorHAnsi" w:cstheme="minorBidi"/>
                <w:sz w:val="22"/>
                <w:szCs w:val="22"/>
                <w:lang w:eastAsia="en-AU"/>
              </w:rPr>
              <w:tab/>
            </w:r>
            <w:r w:rsidRPr="00FF2C1D">
              <w:rPr>
                <w:rStyle w:val="Hyperlink"/>
              </w:rPr>
              <w:t>Control of AAR Using the “Performance-Based” Approach</w:t>
            </w:r>
            <w:r>
              <w:rPr>
                <w:webHidden/>
              </w:rPr>
              <w:tab/>
            </w:r>
            <w:r>
              <w:rPr>
                <w:webHidden/>
              </w:rPr>
              <w:fldChar w:fldCharType="begin"/>
            </w:r>
            <w:r>
              <w:rPr>
                <w:webHidden/>
              </w:rPr>
              <w:instrText xml:space="preserve"> PAGEREF _Toc124413918 \h </w:instrText>
            </w:r>
            <w:r>
              <w:rPr>
                <w:webHidden/>
              </w:rPr>
            </w:r>
            <w:r>
              <w:rPr>
                <w:webHidden/>
              </w:rPr>
              <w:fldChar w:fldCharType="separate"/>
            </w:r>
            <w:r w:rsidR="00936FA3">
              <w:rPr>
                <w:webHidden/>
              </w:rPr>
              <w:t>8</w:t>
            </w:r>
            <w:r>
              <w:rPr>
                <w:webHidden/>
              </w:rPr>
              <w:fldChar w:fldCharType="end"/>
            </w:r>
          </w:hyperlink>
        </w:p>
        <w:p w14:paraId="5D32E32A" w14:textId="26E96E5B" w:rsidR="0084727E" w:rsidRDefault="0084727E" w:rsidP="0084727E">
          <w:pPr>
            <w:pStyle w:val="TOC1"/>
            <w:rPr>
              <w:rFonts w:asciiTheme="minorHAnsi" w:eastAsiaTheme="minorEastAsia" w:hAnsiTheme="minorHAnsi" w:cstheme="minorBidi"/>
              <w:sz w:val="22"/>
              <w:szCs w:val="22"/>
              <w:lang w:eastAsia="en-AU"/>
            </w:rPr>
          </w:pPr>
          <w:hyperlink w:anchor="_Toc124413919" w:history="1">
            <w:r w:rsidRPr="00FF2C1D">
              <w:rPr>
                <w:rStyle w:val="Hyperlink"/>
                <w14:scene3d>
                  <w14:camera w14:prst="orthographicFront"/>
                  <w14:lightRig w14:rig="threePt" w14:dir="t">
                    <w14:rot w14:lat="0" w14:lon="0" w14:rev="0"/>
                  </w14:lightRig>
                </w14:scene3d>
              </w:rPr>
              <w:t>11.</w:t>
            </w:r>
            <w:r>
              <w:rPr>
                <w:rFonts w:asciiTheme="minorHAnsi" w:eastAsiaTheme="minorEastAsia" w:hAnsiTheme="minorHAnsi" w:cstheme="minorBidi"/>
                <w:sz w:val="22"/>
                <w:szCs w:val="22"/>
                <w:lang w:eastAsia="en-AU"/>
              </w:rPr>
              <w:tab/>
            </w:r>
            <w:r w:rsidRPr="00FF2C1D">
              <w:rPr>
                <w:rStyle w:val="Hyperlink"/>
              </w:rPr>
              <w:t>Management of AAR at Quarries</w:t>
            </w:r>
            <w:r>
              <w:rPr>
                <w:webHidden/>
              </w:rPr>
              <w:tab/>
            </w:r>
            <w:r>
              <w:rPr>
                <w:webHidden/>
              </w:rPr>
              <w:fldChar w:fldCharType="begin"/>
            </w:r>
            <w:r>
              <w:rPr>
                <w:webHidden/>
              </w:rPr>
              <w:instrText xml:space="preserve"> PAGEREF _Toc124413919 \h </w:instrText>
            </w:r>
            <w:r>
              <w:rPr>
                <w:webHidden/>
              </w:rPr>
            </w:r>
            <w:r>
              <w:rPr>
                <w:webHidden/>
              </w:rPr>
              <w:fldChar w:fldCharType="separate"/>
            </w:r>
            <w:r w:rsidR="00936FA3">
              <w:rPr>
                <w:webHidden/>
              </w:rPr>
              <w:t>8</w:t>
            </w:r>
            <w:r>
              <w:rPr>
                <w:webHidden/>
              </w:rPr>
              <w:fldChar w:fldCharType="end"/>
            </w:r>
          </w:hyperlink>
        </w:p>
        <w:p w14:paraId="04419AFA" w14:textId="56AB3F20" w:rsidR="0084727E" w:rsidRDefault="0084727E" w:rsidP="0084727E">
          <w:pPr>
            <w:pStyle w:val="TOC1"/>
            <w:rPr>
              <w:rFonts w:asciiTheme="minorHAnsi" w:eastAsiaTheme="minorEastAsia" w:hAnsiTheme="minorHAnsi" w:cstheme="minorBidi"/>
              <w:sz w:val="22"/>
              <w:szCs w:val="22"/>
              <w:lang w:eastAsia="en-AU"/>
            </w:rPr>
          </w:pPr>
          <w:hyperlink w:anchor="_Toc124413920" w:history="1">
            <w:r w:rsidRPr="00FF2C1D">
              <w:rPr>
                <w:rStyle w:val="Hyperlink"/>
                <w14:scene3d>
                  <w14:camera w14:prst="orthographicFront"/>
                  <w14:lightRig w14:rig="threePt" w14:dir="t">
                    <w14:rot w14:lat="0" w14:lon="0" w14:rev="0"/>
                  </w14:lightRig>
                </w14:scene3d>
              </w:rPr>
              <w:t>12.</w:t>
            </w:r>
            <w:r>
              <w:rPr>
                <w:rFonts w:asciiTheme="minorHAnsi" w:eastAsiaTheme="minorEastAsia" w:hAnsiTheme="minorHAnsi" w:cstheme="minorBidi"/>
                <w:sz w:val="22"/>
                <w:szCs w:val="22"/>
                <w:lang w:eastAsia="en-AU"/>
              </w:rPr>
              <w:tab/>
            </w:r>
            <w:r w:rsidRPr="00FF2C1D">
              <w:rPr>
                <w:rStyle w:val="Hyperlink"/>
              </w:rPr>
              <w:t>Application Details</w:t>
            </w:r>
            <w:r>
              <w:rPr>
                <w:webHidden/>
              </w:rPr>
              <w:tab/>
            </w:r>
            <w:r>
              <w:rPr>
                <w:webHidden/>
              </w:rPr>
              <w:fldChar w:fldCharType="begin"/>
            </w:r>
            <w:r>
              <w:rPr>
                <w:webHidden/>
              </w:rPr>
              <w:instrText xml:space="preserve"> PAGEREF _Toc124413920 \h </w:instrText>
            </w:r>
            <w:r>
              <w:rPr>
                <w:webHidden/>
              </w:rPr>
            </w:r>
            <w:r>
              <w:rPr>
                <w:webHidden/>
              </w:rPr>
              <w:fldChar w:fldCharType="separate"/>
            </w:r>
            <w:r w:rsidR="00936FA3">
              <w:rPr>
                <w:webHidden/>
              </w:rPr>
              <w:t>8</w:t>
            </w:r>
            <w:r>
              <w:rPr>
                <w:webHidden/>
              </w:rPr>
              <w:fldChar w:fldCharType="end"/>
            </w:r>
          </w:hyperlink>
        </w:p>
        <w:p w14:paraId="79323BD3" w14:textId="44EE986C" w:rsidR="006F1D4E" w:rsidRPr="001769D6" w:rsidRDefault="006F1D4E" w:rsidP="001769D6">
          <w:pPr>
            <w:rPr>
              <w:b/>
              <w:bCs/>
              <w:noProof/>
            </w:rPr>
          </w:pPr>
          <w:r w:rsidRPr="00200689">
            <w:rPr>
              <w:b/>
              <w:bCs/>
              <w:noProof/>
            </w:rPr>
            <w:fldChar w:fldCharType="end"/>
          </w:r>
        </w:p>
      </w:sdtContent>
    </w:sdt>
    <w:p w14:paraId="5BFBD08E" w14:textId="77777777" w:rsidR="001769D6" w:rsidRDefault="001769D6" w:rsidP="001769D6">
      <w:pPr>
        <w:pStyle w:val="Bodytext"/>
        <w:sectPr w:rsidR="001769D6" w:rsidSect="001769D6">
          <w:headerReference w:type="default" r:id="rId9"/>
          <w:footerReference w:type="default" r:id="rId10"/>
          <w:headerReference w:type="first" r:id="rId11"/>
          <w:footerReference w:type="first" r:id="rId12"/>
          <w:pgSz w:w="11906" w:h="16838" w:code="9"/>
          <w:pgMar w:top="1134" w:right="1134" w:bottom="1134" w:left="1134" w:header="709" w:footer="624" w:gutter="0"/>
          <w:cols w:space="708"/>
          <w:titlePg/>
          <w:docGrid w:linePitch="360"/>
        </w:sectPr>
      </w:pPr>
      <w:bookmarkStart w:id="2" w:name="_Toc124413909"/>
    </w:p>
    <w:p w14:paraId="1BCD7E9A" w14:textId="7F55547B" w:rsidR="00F92031" w:rsidRPr="0084727E" w:rsidRDefault="001B4575" w:rsidP="001A5C95">
      <w:pPr>
        <w:pStyle w:val="Heading1"/>
      </w:pPr>
      <w:r w:rsidRPr="001A5C95">
        <w:lastRenderedPageBreak/>
        <w:t>Introduction</w:t>
      </w:r>
      <w:bookmarkEnd w:id="2"/>
    </w:p>
    <w:p w14:paraId="357E9A89" w14:textId="769C285C" w:rsidR="00F92031" w:rsidRPr="00200689" w:rsidRDefault="00F92031" w:rsidP="000C5086">
      <w:pPr>
        <w:pStyle w:val="Bodytext"/>
      </w:pPr>
      <w:r w:rsidRPr="00200689">
        <w:t xml:space="preserve">Alkali aggregate reaction (AAR) is a chemical process which may lead to the premature deterioration of concrete structures. </w:t>
      </w:r>
      <w:r w:rsidR="00492A21" w:rsidRPr="00200689">
        <w:t>The most common form of AAR is alkali-silica reaction (ASR)</w:t>
      </w:r>
      <w:r w:rsidR="00EC6F1E" w:rsidRPr="00200689">
        <w:t xml:space="preserve">, which </w:t>
      </w:r>
      <w:r w:rsidRPr="00200689">
        <w:t>occurs when free or unstable fine-grained silica in the concrete aggregate reacts with the alkali hydroxides (</w:t>
      </w:r>
      <w:proofErr w:type="spellStart"/>
      <w:r w:rsidRPr="00200689">
        <w:t>ie</w:t>
      </w:r>
      <w:proofErr w:type="spellEnd"/>
      <w:r w:rsidRPr="00200689">
        <w:t xml:space="preserve">, sodium and potassium) in </w:t>
      </w:r>
      <w:r w:rsidRPr="000C5086">
        <w:t>the</w:t>
      </w:r>
      <w:r w:rsidRPr="00200689">
        <w:t xml:space="preserve"> concrete constituent materials (cement, supplementary cementitious materials, admixtures, mixing water, aggregates) and potentially from the in-service environment of the </w:t>
      </w:r>
      <w:proofErr w:type="gramStart"/>
      <w:r w:rsidRPr="00200689">
        <w:t>particular concrete</w:t>
      </w:r>
      <w:proofErr w:type="gramEnd"/>
      <w:r w:rsidRPr="00200689">
        <w:t xml:space="preserve"> element.</w:t>
      </w:r>
      <w:r w:rsidR="00CE2F2C" w:rsidRPr="00200689">
        <w:t xml:space="preserve"> Another form of </w:t>
      </w:r>
      <w:r w:rsidR="00C62F3B" w:rsidRPr="00200689">
        <w:t xml:space="preserve">AAR is alkali-carbonate reaction (ACR), which </w:t>
      </w:r>
      <w:r w:rsidR="008E034C" w:rsidRPr="00200689">
        <w:t>only occurs rarely in Australia.</w:t>
      </w:r>
      <w:r w:rsidR="00C62F3B" w:rsidRPr="00200689">
        <w:t xml:space="preserve"> </w:t>
      </w:r>
    </w:p>
    <w:p w14:paraId="54FB4346" w14:textId="0AD64C07" w:rsidR="00F92031" w:rsidRPr="00200689" w:rsidRDefault="00F92031" w:rsidP="0084727E">
      <w:pPr>
        <w:pStyle w:val="Bodytext"/>
      </w:pPr>
      <w:r w:rsidRPr="00200689">
        <w:t xml:space="preserve">Because testing of aggregates to determine their level of reactivity may take up to two years, it is difficult to manage AAR </w:t>
      </w:r>
      <w:proofErr w:type="gramStart"/>
      <w:r w:rsidRPr="00200689">
        <w:t>on the basis of</w:t>
      </w:r>
      <w:proofErr w:type="gramEnd"/>
      <w:r w:rsidRPr="00200689">
        <w:t xml:space="preserve"> individual construction contracts. This Code of Practice has been prepared to enable the recognition of prior testing and AAR management strategies before the aggregates are incorporated into the concrete. Approval of the </w:t>
      </w:r>
      <w:r w:rsidR="0063326D" w:rsidRPr="00200689">
        <w:t xml:space="preserve">concrete </w:t>
      </w:r>
      <w:r w:rsidRPr="00200689">
        <w:t xml:space="preserve">aggregate in accordance with this Code of Practice is mandatory on all </w:t>
      </w:r>
      <w:bookmarkStart w:id="3" w:name="_Hlk79572103"/>
      <w:r w:rsidRPr="00200689">
        <w:t xml:space="preserve">projects constructed for </w:t>
      </w:r>
      <w:r w:rsidRPr="0084727E">
        <w:rPr>
          <w:i/>
          <w:iCs/>
          <w:color w:val="FF4519"/>
        </w:rPr>
        <w:t>[insert agency name]</w:t>
      </w:r>
      <w:bookmarkEnd w:id="3"/>
      <w:r w:rsidRPr="0084727E">
        <w:t xml:space="preserve">. </w:t>
      </w:r>
    </w:p>
    <w:p w14:paraId="4650B589" w14:textId="3CD40E66" w:rsidR="00F92031" w:rsidRPr="00200689" w:rsidRDefault="00F92031" w:rsidP="0084727E">
      <w:pPr>
        <w:pStyle w:val="Bodytext"/>
      </w:pPr>
      <w:r w:rsidRPr="00200689">
        <w:t>An aggregate will be approved if it satisfies the assessment process outlined in this Code of Practice and the quarry undertakes regular testing in accordance with a</w:t>
      </w:r>
      <w:r w:rsidR="00A643DD" w:rsidRPr="00200689">
        <w:t>n approved</w:t>
      </w:r>
      <w:r w:rsidRPr="00200689">
        <w:t xml:space="preserve"> Quality Plan. In many instances, th</w:t>
      </w:r>
      <w:r w:rsidR="003B6555" w:rsidRPr="00200689">
        <w:t>e</w:t>
      </w:r>
      <w:r w:rsidRPr="00200689">
        <w:t xml:space="preserve"> approval </w:t>
      </w:r>
      <w:r w:rsidR="003B6555" w:rsidRPr="00200689">
        <w:t xml:space="preserve">of the aggregate (or blend of aggregates) </w:t>
      </w:r>
      <w:r w:rsidRPr="00200689">
        <w:t xml:space="preserve">will be subject to the concrete </w:t>
      </w:r>
      <w:r w:rsidR="00B01AB6" w:rsidRPr="00200689">
        <w:t xml:space="preserve">being manufactured </w:t>
      </w:r>
      <w:r w:rsidR="00D018FF" w:rsidRPr="00200689">
        <w:t xml:space="preserve">with a </w:t>
      </w:r>
      <w:r w:rsidRPr="00200689">
        <w:t>blended cement containing supplementary cementitious materials in specified proportions</w:t>
      </w:r>
      <w:r w:rsidR="000F4CB1" w:rsidRPr="00200689">
        <w:t>.</w:t>
      </w:r>
      <w:r w:rsidRPr="00200689">
        <w:t xml:space="preserve"> </w:t>
      </w:r>
      <w:r w:rsidR="00AC328A" w:rsidRPr="00200689">
        <w:t xml:space="preserve">This will </w:t>
      </w:r>
      <w:r w:rsidRPr="00200689">
        <w:t xml:space="preserve">mitigate the risk of damage to concrete structures constructed with this concrete mix </w:t>
      </w:r>
      <w:proofErr w:type="gramStart"/>
      <w:r w:rsidRPr="00200689">
        <w:t>as a result of</w:t>
      </w:r>
      <w:proofErr w:type="gramEnd"/>
      <w:r w:rsidRPr="00200689">
        <w:t xml:space="preserve"> AAR.</w:t>
      </w:r>
    </w:p>
    <w:p w14:paraId="1248FC6E" w14:textId="29B895F8" w:rsidR="00177004" w:rsidRPr="00200689" w:rsidRDefault="00C57AED" w:rsidP="001A5C95">
      <w:pPr>
        <w:pStyle w:val="Heading1"/>
      </w:pPr>
      <w:bookmarkStart w:id="4" w:name="_Toc124413910"/>
      <w:r w:rsidRPr="00200689">
        <w:t>References</w:t>
      </w:r>
      <w:bookmarkEnd w:id="4"/>
    </w:p>
    <w:p w14:paraId="2CB9CEBB" w14:textId="77777777" w:rsidR="0042344F" w:rsidRPr="0084727E" w:rsidRDefault="00FA507E" w:rsidP="0084727E">
      <w:pPr>
        <w:pStyle w:val="Heading2"/>
      </w:pPr>
      <w:r w:rsidRPr="0084727E">
        <w:t>Standards Australia</w:t>
      </w:r>
    </w:p>
    <w:p w14:paraId="196B9124" w14:textId="7495AA79" w:rsidR="00C57AED" w:rsidRPr="00200689" w:rsidRDefault="00C57AED" w:rsidP="0084727E">
      <w:pPr>
        <w:pStyle w:val="Bodytext"/>
        <w:ind w:left="1418" w:hanging="1418"/>
      </w:pPr>
      <w:r w:rsidRPr="00200689">
        <w:t>AS 114</w:t>
      </w:r>
      <w:r w:rsidR="0053543E" w:rsidRPr="00200689">
        <w:t>1</w:t>
      </w:r>
      <w:r w:rsidR="0065716E" w:rsidRPr="00200689">
        <w:t xml:space="preserve">.60.1 </w:t>
      </w:r>
      <w:r w:rsidR="0065716E" w:rsidRPr="00200689">
        <w:tab/>
        <w:t>Methods for sampling and testing aggregates Method 60.1: Potential alkali-silica reactivity— Accelerated mortar bar method</w:t>
      </w:r>
    </w:p>
    <w:p w14:paraId="1D0743CE" w14:textId="63909B77" w:rsidR="0053543E" w:rsidRPr="00200689" w:rsidRDefault="0053543E" w:rsidP="0084727E">
      <w:pPr>
        <w:pStyle w:val="Bodytext"/>
        <w:ind w:left="1418" w:hanging="1418"/>
      </w:pPr>
      <w:r w:rsidRPr="00200689">
        <w:t>AS 1141.60.2</w:t>
      </w:r>
      <w:r w:rsidRPr="00200689">
        <w:tab/>
        <w:t>Methods for sampling and testing aggregates Method 60.2: Potential alkali-silica reactivity— Concrete prism method</w:t>
      </w:r>
    </w:p>
    <w:p w14:paraId="17A37E24" w14:textId="126A997C" w:rsidR="0053543E" w:rsidRPr="00200689" w:rsidRDefault="002B358F" w:rsidP="0084727E">
      <w:pPr>
        <w:pStyle w:val="Bodytext"/>
        <w:ind w:left="1418" w:hanging="1418"/>
      </w:pPr>
      <w:r w:rsidRPr="00200689">
        <w:t xml:space="preserve">SA </w:t>
      </w:r>
      <w:r w:rsidR="00D75EEA" w:rsidRPr="00200689">
        <w:t xml:space="preserve">HB </w:t>
      </w:r>
      <w:r w:rsidR="00B76077" w:rsidRPr="00200689">
        <w:t>79</w:t>
      </w:r>
      <w:r w:rsidR="00B76077" w:rsidRPr="00200689">
        <w:tab/>
        <w:t>Alkali Aggregate Reaction—Guidelines on Minimising the Risk of Damage to Concrete Structures in Australia</w:t>
      </w:r>
    </w:p>
    <w:p w14:paraId="26CF03F7" w14:textId="77777777" w:rsidR="0042344F" w:rsidRPr="00200689" w:rsidRDefault="0042344F" w:rsidP="0084727E">
      <w:pPr>
        <w:pStyle w:val="Heading2"/>
      </w:pPr>
      <w:r w:rsidRPr="00200689">
        <w:t>ASTM International</w:t>
      </w:r>
    </w:p>
    <w:p w14:paraId="65F09C06" w14:textId="2E365124" w:rsidR="0053543E" w:rsidRPr="00200689" w:rsidRDefault="00FA507E" w:rsidP="0084727E">
      <w:pPr>
        <w:pStyle w:val="Bodytext"/>
        <w:ind w:left="1418" w:hanging="1418"/>
      </w:pPr>
      <w:r w:rsidRPr="00200689">
        <w:t>ASTM C295</w:t>
      </w:r>
      <w:r w:rsidR="0042344F" w:rsidRPr="00200689">
        <w:tab/>
      </w:r>
      <w:r w:rsidRPr="00200689">
        <w:t>Standard Guide for Petrographic Examination of Aggregates for Concrete</w:t>
      </w:r>
    </w:p>
    <w:p w14:paraId="6AFBBF32" w14:textId="1F071B58" w:rsidR="002F2312" w:rsidRPr="00200689" w:rsidRDefault="00820DC2" w:rsidP="0084727E">
      <w:pPr>
        <w:pStyle w:val="Bodytext"/>
        <w:ind w:left="1418" w:hanging="1418"/>
      </w:pPr>
      <w:r w:rsidRPr="00200689">
        <w:t>ASTM C586</w:t>
      </w:r>
      <w:r w:rsidRPr="00200689">
        <w:tab/>
      </w:r>
      <w:r w:rsidR="002F2312" w:rsidRPr="00200689">
        <w:t>Standard Test Method for Potential Alkali Reactivity of Carbonate Rocks as Concrete Aggregates (Rock-Cylinder Method)</w:t>
      </w:r>
    </w:p>
    <w:p w14:paraId="12E0E248" w14:textId="40265563" w:rsidR="00FD7800" w:rsidRPr="00200689" w:rsidRDefault="00FD7800" w:rsidP="0084727E">
      <w:pPr>
        <w:pStyle w:val="Bodytext"/>
        <w:ind w:left="1418" w:hanging="1418"/>
      </w:pPr>
      <w:r w:rsidRPr="00200689">
        <w:t>ASTM C1105</w:t>
      </w:r>
      <w:r w:rsidR="00F272D8" w:rsidRPr="00200689">
        <w:tab/>
      </w:r>
      <w:r w:rsidRPr="00200689">
        <w:t>Standard Test Method for Length Change of Concrete Due to Alkali-Carbonate Rock Reaction</w:t>
      </w:r>
    </w:p>
    <w:p w14:paraId="3395729E" w14:textId="5200AA05" w:rsidR="00A60573" w:rsidRPr="00200689" w:rsidRDefault="00F92031" w:rsidP="001A5C95">
      <w:pPr>
        <w:pStyle w:val="Heading1"/>
      </w:pPr>
      <w:bookmarkStart w:id="5" w:name="_Toc124413911"/>
      <w:r w:rsidRPr="00200689">
        <w:t>Definitions and Abbreviations</w:t>
      </w:r>
      <w:bookmarkEnd w:id="5"/>
    </w:p>
    <w:tbl>
      <w:tblPr>
        <w:tblStyle w:val="TableGrid"/>
        <w:tblW w:w="9781"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8"/>
        <w:gridCol w:w="7513"/>
      </w:tblGrid>
      <w:tr w:rsidR="0059550F" w:rsidRPr="00200689" w14:paraId="31533710" w14:textId="77777777" w:rsidTr="000C5086">
        <w:trPr>
          <w:trHeight w:val="286"/>
        </w:trPr>
        <w:tc>
          <w:tcPr>
            <w:tcW w:w="2268" w:type="dxa"/>
          </w:tcPr>
          <w:p w14:paraId="5477A87F" w14:textId="0C0E7E43" w:rsidR="0059550F" w:rsidRPr="000C5086" w:rsidRDefault="0059550F" w:rsidP="000C5086">
            <w:pPr>
              <w:pStyle w:val="Bodytext"/>
              <w:spacing w:before="160"/>
              <w:rPr>
                <w:b/>
                <w:bCs/>
              </w:rPr>
            </w:pPr>
            <w:r w:rsidRPr="000C5086">
              <w:rPr>
                <w:b/>
                <w:bCs/>
              </w:rPr>
              <w:t>AAR</w:t>
            </w:r>
            <w:r w:rsidR="00807F56" w:rsidRPr="000C5086">
              <w:rPr>
                <w:b/>
                <w:bCs/>
              </w:rPr>
              <w:t>:</w:t>
            </w:r>
          </w:p>
        </w:tc>
        <w:tc>
          <w:tcPr>
            <w:tcW w:w="7513" w:type="dxa"/>
          </w:tcPr>
          <w:p w14:paraId="0D87E46F" w14:textId="02F1F43E" w:rsidR="0059550F" w:rsidRPr="000C5086" w:rsidRDefault="00675E67" w:rsidP="000C5086">
            <w:pPr>
              <w:pStyle w:val="Bodytext"/>
              <w:spacing w:before="160"/>
            </w:pPr>
            <w:r w:rsidRPr="000C5086">
              <w:t>Alkali Aggregate Reaction</w:t>
            </w:r>
          </w:p>
        </w:tc>
      </w:tr>
      <w:tr w:rsidR="00A50E08" w:rsidRPr="00200689" w14:paraId="79E8E2E9" w14:textId="77777777" w:rsidTr="000C5086">
        <w:tc>
          <w:tcPr>
            <w:tcW w:w="2268" w:type="dxa"/>
          </w:tcPr>
          <w:p w14:paraId="067204F2" w14:textId="0AD19429" w:rsidR="00A50E08" w:rsidRPr="000C5086" w:rsidRDefault="00A50E08" w:rsidP="000C5086">
            <w:pPr>
              <w:pStyle w:val="Bodytext"/>
              <w:spacing w:before="160"/>
              <w:rPr>
                <w:b/>
                <w:bCs/>
              </w:rPr>
            </w:pPr>
            <w:r w:rsidRPr="000C5086">
              <w:rPr>
                <w:b/>
                <w:bCs/>
              </w:rPr>
              <w:t>ACR</w:t>
            </w:r>
            <w:r w:rsidR="00E44FF1" w:rsidRPr="000C5086">
              <w:rPr>
                <w:b/>
                <w:bCs/>
              </w:rPr>
              <w:t>:</w:t>
            </w:r>
          </w:p>
        </w:tc>
        <w:tc>
          <w:tcPr>
            <w:tcW w:w="7513" w:type="dxa"/>
          </w:tcPr>
          <w:p w14:paraId="5F34713C" w14:textId="32902410" w:rsidR="00A50E08" w:rsidRPr="000C5086" w:rsidRDefault="00A50E08" w:rsidP="000C5086">
            <w:pPr>
              <w:pStyle w:val="Bodytext"/>
              <w:spacing w:before="160"/>
            </w:pPr>
            <w:r w:rsidRPr="000C5086">
              <w:t>Alkali Carbonate Reaction</w:t>
            </w:r>
          </w:p>
        </w:tc>
      </w:tr>
      <w:tr w:rsidR="007D3F17" w:rsidRPr="00200689" w14:paraId="35C0B701" w14:textId="77777777" w:rsidTr="000C5086">
        <w:tc>
          <w:tcPr>
            <w:tcW w:w="2268" w:type="dxa"/>
          </w:tcPr>
          <w:p w14:paraId="076CFEE3" w14:textId="7C71D562" w:rsidR="007D3F17" w:rsidRPr="000C5086" w:rsidRDefault="007D3F17" w:rsidP="000C5086">
            <w:pPr>
              <w:pStyle w:val="Bodytext"/>
              <w:spacing w:before="160"/>
              <w:rPr>
                <w:b/>
                <w:bCs/>
              </w:rPr>
            </w:pPr>
            <w:r w:rsidRPr="000C5086">
              <w:rPr>
                <w:b/>
                <w:bCs/>
              </w:rPr>
              <w:t>ASR:</w:t>
            </w:r>
          </w:p>
        </w:tc>
        <w:tc>
          <w:tcPr>
            <w:tcW w:w="7513" w:type="dxa"/>
          </w:tcPr>
          <w:p w14:paraId="7B7AEC1B" w14:textId="260392AC" w:rsidR="007D3F17" w:rsidRPr="000C5086" w:rsidRDefault="007D3F17" w:rsidP="000C5086">
            <w:pPr>
              <w:pStyle w:val="Bodytext"/>
              <w:spacing w:before="160"/>
            </w:pPr>
            <w:r w:rsidRPr="000C5086">
              <w:t>Alkali Sil</w:t>
            </w:r>
            <w:r w:rsidR="00A93DFD" w:rsidRPr="000C5086">
              <w:t>ica Reaction</w:t>
            </w:r>
          </w:p>
        </w:tc>
      </w:tr>
      <w:tr w:rsidR="0030557F" w:rsidRPr="00200689" w14:paraId="51B233D6" w14:textId="77777777" w:rsidTr="000C5086">
        <w:tc>
          <w:tcPr>
            <w:tcW w:w="2268" w:type="dxa"/>
          </w:tcPr>
          <w:p w14:paraId="513791F5" w14:textId="2AF820C9" w:rsidR="0030557F" w:rsidRPr="000C5086" w:rsidRDefault="0030557F" w:rsidP="000C5086">
            <w:pPr>
              <w:pStyle w:val="Bodytext"/>
              <w:spacing w:before="160"/>
              <w:rPr>
                <w:b/>
                <w:bCs/>
              </w:rPr>
            </w:pPr>
            <w:r w:rsidRPr="000C5086">
              <w:rPr>
                <w:b/>
                <w:bCs/>
              </w:rPr>
              <w:t>AMBT</w:t>
            </w:r>
            <w:r w:rsidR="00807F56" w:rsidRPr="000C5086">
              <w:rPr>
                <w:b/>
                <w:bCs/>
              </w:rPr>
              <w:t>:</w:t>
            </w:r>
          </w:p>
        </w:tc>
        <w:tc>
          <w:tcPr>
            <w:tcW w:w="7513" w:type="dxa"/>
          </w:tcPr>
          <w:p w14:paraId="5BE740EA" w14:textId="77777777" w:rsidR="0030557F" w:rsidRPr="000C5086" w:rsidRDefault="0030557F" w:rsidP="000C5086">
            <w:pPr>
              <w:pStyle w:val="Bodytext"/>
              <w:spacing w:before="160"/>
            </w:pPr>
            <w:r w:rsidRPr="000C5086">
              <w:t>Accelerated Mortar Bar Test carried out in accordance with AS 1141.60.1</w:t>
            </w:r>
          </w:p>
        </w:tc>
      </w:tr>
      <w:tr w:rsidR="0059550F" w:rsidRPr="00200689" w14:paraId="1D2FA87F" w14:textId="77777777" w:rsidTr="000C5086">
        <w:tc>
          <w:tcPr>
            <w:tcW w:w="2268" w:type="dxa"/>
          </w:tcPr>
          <w:p w14:paraId="60743841" w14:textId="5ECE49F5" w:rsidR="0059550F" w:rsidRPr="000C5086" w:rsidRDefault="00A70196" w:rsidP="000C5086">
            <w:pPr>
              <w:pStyle w:val="Bodytext"/>
              <w:spacing w:before="160"/>
              <w:rPr>
                <w:b/>
                <w:bCs/>
              </w:rPr>
            </w:pPr>
            <w:r w:rsidRPr="000C5086">
              <w:rPr>
                <w:b/>
                <w:bCs/>
              </w:rPr>
              <w:t>CPT</w:t>
            </w:r>
            <w:r w:rsidR="00807F56" w:rsidRPr="000C5086">
              <w:rPr>
                <w:b/>
                <w:bCs/>
              </w:rPr>
              <w:t>:</w:t>
            </w:r>
          </w:p>
        </w:tc>
        <w:tc>
          <w:tcPr>
            <w:tcW w:w="7513" w:type="dxa"/>
          </w:tcPr>
          <w:p w14:paraId="659EEE7A" w14:textId="45AF2558" w:rsidR="0059550F" w:rsidRPr="000C5086" w:rsidRDefault="00A70196" w:rsidP="000C5086">
            <w:pPr>
              <w:pStyle w:val="Bodytext"/>
              <w:spacing w:before="160"/>
            </w:pPr>
            <w:r w:rsidRPr="000C5086">
              <w:t>Concrete Prism Test carried out in accordance with AS 1141.60.2</w:t>
            </w:r>
          </w:p>
        </w:tc>
      </w:tr>
      <w:tr w:rsidR="0059550F" w:rsidRPr="00200689" w14:paraId="3A12D5EC" w14:textId="77777777" w:rsidTr="000C5086">
        <w:tc>
          <w:tcPr>
            <w:tcW w:w="2268" w:type="dxa"/>
          </w:tcPr>
          <w:p w14:paraId="30FF6D9D" w14:textId="496078FF" w:rsidR="0059550F" w:rsidRPr="000C5086" w:rsidRDefault="004757C1" w:rsidP="000C5086">
            <w:pPr>
              <w:pStyle w:val="Bodytext"/>
              <w:spacing w:before="160"/>
              <w:rPr>
                <w:b/>
                <w:bCs/>
              </w:rPr>
            </w:pPr>
            <w:r w:rsidRPr="000C5086">
              <w:rPr>
                <w:b/>
                <w:bCs/>
              </w:rPr>
              <w:lastRenderedPageBreak/>
              <w:t>Critical</w:t>
            </w:r>
            <w:r w:rsidR="00807F56" w:rsidRPr="000C5086">
              <w:rPr>
                <w:b/>
                <w:bCs/>
              </w:rPr>
              <w:t xml:space="preserve"> Application: </w:t>
            </w:r>
          </w:p>
        </w:tc>
        <w:tc>
          <w:tcPr>
            <w:tcW w:w="7513" w:type="dxa"/>
          </w:tcPr>
          <w:p w14:paraId="38EF0985" w14:textId="02FB27FD" w:rsidR="00807F56" w:rsidRPr="000C5086" w:rsidRDefault="00807F56" w:rsidP="000C5086">
            <w:pPr>
              <w:pStyle w:val="Bodytext"/>
              <w:spacing w:before="160"/>
            </w:pPr>
            <w:r w:rsidRPr="000C5086">
              <w:t xml:space="preserve">An application where the design life </w:t>
            </w:r>
            <w:r w:rsidR="00447F6D" w:rsidRPr="000C5086">
              <w:t xml:space="preserve">is 100 years or more </w:t>
            </w:r>
            <w:r w:rsidRPr="000C5086">
              <w:t>and the structural elements will have at least one surface that is maintained in moist conditions, including:</w:t>
            </w:r>
          </w:p>
          <w:p w14:paraId="454D025E" w14:textId="2075A753" w:rsidR="00807F56" w:rsidRPr="000C5086" w:rsidRDefault="00807F56" w:rsidP="000C5086">
            <w:pPr>
              <w:pStyle w:val="Bodynumbered1"/>
              <w:spacing w:before="120"/>
            </w:pPr>
            <w:r w:rsidRPr="000C5086">
              <w:t xml:space="preserve">elements submerged in water or buried in </w:t>
            </w:r>
            <w:proofErr w:type="gramStart"/>
            <w:r w:rsidRPr="000C5086">
              <w:t>soil;</w:t>
            </w:r>
            <w:proofErr w:type="gramEnd"/>
          </w:p>
          <w:p w14:paraId="36609BD4" w14:textId="004BB20F" w:rsidR="00807F56" w:rsidRPr="000C5086" w:rsidRDefault="00807F56" w:rsidP="00936FA3">
            <w:pPr>
              <w:pStyle w:val="Bodytext"/>
              <w:numPr>
                <w:ilvl w:val="0"/>
                <w:numId w:val="9"/>
              </w:numPr>
              <w:spacing w:before="160"/>
              <w:ind w:left="325" w:hanging="284"/>
            </w:pPr>
            <w:r w:rsidRPr="000C5086">
              <w:t xml:space="preserve">elements in splash zone or spray </w:t>
            </w:r>
            <w:proofErr w:type="gramStart"/>
            <w:r w:rsidRPr="000C5086">
              <w:t>zone;</w:t>
            </w:r>
            <w:proofErr w:type="gramEnd"/>
          </w:p>
          <w:p w14:paraId="3346D907" w14:textId="21D100A3" w:rsidR="00807F56" w:rsidRPr="000C5086" w:rsidRDefault="00807F56" w:rsidP="00936FA3">
            <w:pPr>
              <w:pStyle w:val="Bodytext"/>
              <w:numPr>
                <w:ilvl w:val="0"/>
                <w:numId w:val="9"/>
              </w:numPr>
              <w:spacing w:before="160"/>
              <w:ind w:left="325" w:hanging="284"/>
            </w:pPr>
            <w:r w:rsidRPr="000C5086">
              <w:t xml:space="preserve">members to be cured by accelerated heat </w:t>
            </w:r>
            <w:proofErr w:type="gramStart"/>
            <w:r w:rsidRPr="000C5086">
              <w:t>curing;</w:t>
            </w:r>
            <w:proofErr w:type="gramEnd"/>
          </w:p>
          <w:p w14:paraId="521CE891" w14:textId="5786F761" w:rsidR="0059550F" w:rsidRPr="000C5086" w:rsidRDefault="00807F56" w:rsidP="00936FA3">
            <w:pPr>
              <w:pStyle w:val="Bodytext"/>
              <w:numPr>
                <w:ilvl w:val="0"/>
                <w:numId w:val="9"/>
              </w:numPr>
              <w:spacing w:before="160"/>
              <w:ind w:left="325" w:hanging="284"/>
            </w:pPr>
            <w:r w:rsidRPr="000C5086">
              <w:t>large concrete members, such as piers with a minimum cross section dimension greater than 0.8 m, abutments with length greater than 3 m and one face in contact with soil</w:t>
            </w:r>
            <w:r w:rsidR="002B0FD7" w:rsidRPr="000C5086">
              <w:t>.</w:t>
            </w:r>
          </w:p>
        </w:tc>
      </w:tr>
      <w:tr w:rsidR="00FA2968" w:rsidRPr="00200689" w14:paraId="629F4C6A" w14:textId="77777777" w:rsidTr="000C5086">
        <w:tc>
          <w:tcPr>
            <w:tcW w:w="2268" w:type="dxa"/>
          </w:tcPr>
          <w:p w14:paraId="38A31865" w14:textId="77777777" w:rsidR="00FA2968" w:rsidRPr="000C5086" w:rsidRDefault="00FA2968" w:rsidP="000C5086">
            <w:pPr>
              <w:pStyle w:val="Bodytext"/>
              <w:spacing w:before="160"/>
              <w:rPr>
                <w:b/>
                <w:bCs/>
                <w:i/>
                <w:iCs/>
              </w:rPr>
            </w:pPr>
            <w:r w:rsidRPr="000C5086">
              <w:rPr>
                <w:b/>
                <w:bCs/>
                <w:i/>
                <w:iCs/>
              </w:rPr>
              <w:t>E</w:t>
            </w:r>
          </w:p>
        </w:tc>
        <w:tc>
          <w:tcPr>
            <w:tcW w:w="7513" w:type="dxa"/>
          </w:tcPr>
          <w:p w14:paraId="63EBA82A" w14:textId="77777777" w:rsidR="00FA2968" w:rsidRPr="000C5086" w:rsidRDefault="00FA2968" w:rsidP="000C5086">
            <w:pPr>
              <w:pStyle w:val="Bodytext"/>
              <w:spacing w:before="160"/>
            </w:pPr>
            <w:r w:rsidRPr="000C5086">
              <w:t>AMBT Expansion</w:t>
            </w:r>
          </w:p>
        </w:tc>
      </w:tr>
      <w:tr w:rsidR="00FA2968" w:rsidRPr="00200689" w14:paraId="58BA99D8" w14:textId="77777777" w:rsidTr="000C5086">
        <w:tc>
          <w:tcPr>
            <w:tcW w:w="2268" w:type="dxa"/>
          </w:tcPr>
          <w:p w14:paraId="144373B3" w14:textId="77777777" w:rsidR="00FA2968" w:rsidRPr="000C5086" w:rsidRDefault="00FA2968" w:rsidP="000C5086">
            <w:pPr>
              <w:pStyle w:val="Bodytext"/>
              <w:spacing w:before="160"/>
              <w:rPr>
                <w:b/>
                <w:bCs/>
                <w:i/>
                <w:iCs/>
              </w:rPr>
            </w:pPr>
            <w:r w:rsidRPr="000C5086">
              <w:rPr>
                <w:b/>
                <w:bCs/>
                <w:i/>
                <w:iCs/>
              </w:rPr>
              <w:t>e</w:t>
            </w:r>
          </w:p>
        </w:tc>
        <w:tc>
          <w:tcPr>
            <w:tcW w:w="7513" w:type="dxa"/>
          </w:tcPr>
          <w:p w14:paraId="7ABA50CC" w14:textId="77777777" w:rsidR="00FA2968" w:rsidRPr="000C5086" w:rsidRDefault="00FA2968" w:rsidP="000C5086">
            <w:pPr>
              <w:pStyle w:val="Bodytext"/>
              <w:spacing w:before="160"/>
            </w:pPr>
            <w:r w:rsidRPr="000C5086">
              <w:t>CPT Expansion</w:t>
            </w:r>
          </w:p>
        </w:tc>
      </w:tr>
      <w:tr w:rsidR="0059550F" w:rsidRPr="00200689" w14:paraId="0363186A" w14:textId="77777777" w:rsidTr="000C5086">
        <w:tc>
          <w:tcPr>
            <w:tcW w:w="2268" w:type="dxa"/>
          </w:tcPr>
          <w:p w14:paraId="7FA59101" w14:textId="380609F2" w:rsidR="0059550F" w:rsidRPr="000C5086" w:rsidRDefault="006B0500" w:rsidP="000C5086">
            <w:pPr>
              <w:pStyle w:val="Bodytext"/>
              <w:spacing w:before="160"/>
              <w:rPr>
                <w:b/>
                <w:bCs/>
              </w:rPr>
            </w:pPr>
            <w:proofErr w:type="spellStart"/>
            <w:r w:rsidRPr="000C5086">
              <w:rPr>
                <w:b/>
                <w:bCs/>
              </w:rPr>
              <w:t>Pessimum</w:t>
            </w:r>
            <w:proofErr w:type="spellEnd"/>
            <w:r w:rsidRPr="000C5086">
              <w:rPr>
                <w:b/>
                <w:bCs/>
              </w:rPr>
              <w:t xml:space="preserve"> Effect</w:t>
            </w:r>
            <w:r w:rsidR="00240C47" w:rsidRPr="000C5086">
              <w:rPr>
                <w:b/>
                <w:bCs/>
              </w:rPr>
              <w:t>:</w:t>
            </w:r>
          </w:p>
        </w:tc>
        <w:tc>
          <w:tcPr>
            <w:tcW w:w="7513" w:type="dxa"/>
          </w:tcPr>
          <w:p w14:paraId="01AF5DC7" w14:textId="77777777" w:rsidR="00820999" w:rsidRPr="000C5086" w:rsidRDefault="002347EC" w:rsidP="000C5086">
            <w:pPr>
              <w:pStyle w:val="Bodytext"/>
              <w:spacing w:before="160"/>
            </w:pPr>
            <w:r w:rsidRPr="000C5086">
              <w:t xml:space="preserve">The property of some </w:t>
            </w:r>
            <w:r w:rsidR="007962E6" w:rsidRPr="000C5086">
              <w:t xml:space="preserve">combinations of </w:t>
            </w:r>
            <w:r w:rsidRPr="000C5086">
              <w:t xml:space="preserve">aggregates </w:t>
            </w:r>
            <w:r w:rsidR="00D9019B" w:rsidRPr="000C5086">
              <w:t>where</w:t>
            </w:r>
            <w:r w:rsidR="00820999" w:rsidRPr="000C5086">
              <w:t>:</w:t>
            </w:r>
          </w:p>
          <w:p w14:paraId="67190F45" w14:textId="3C674088" w:rsidR="00980C2F" w:rsidRPr="000C5086" w:rsidRDefault="00D9019B" w:rsidP="00936FA3">
            <w:pPr>
              <w:pStyle w:val="Bodynumbered1"/>
              <w:numPr>
                <w:ilvl w:val="0"/>
                <w:numId w:val="10"/>
              </w:numPr>
              <w:ind w:left="325" w:hanging="284"/>
            </w:pPr>
            <w:r w:rsidRPr="000C5086">
              <w:t xml:space="preserve">the </w:t>
            </w:r>
            <w:r w:rsidR="007962E6" w:rsidRPr="000C5086">
              <w:t xml:space="preserve">expansion </w:t>
            </w:r>
            <w:r w:rsidR="00213A21" w:rsidRPr="000C5086">
              <w:t xml:space="preserve">reaches a maximum </w:t>
            </w:r>
            <w:r w:rsidR="00D11FC8" w:rsidRPr="000C5086">
              <w:t>a</w:t>
            </w:r>
            <w:r w:rsidR="00980C2F" w:rsidRPr="000C5086">
              <w:t>t a</w:t>
            </w:r>
            <w:r w:rsidR="00D11FC8" w:rsidRPr="000C5086">
              <w:t xml:space="preserve"> particular </w:t>
            </w:r>
            <w:r w:rsidR="00342129" w:rsidRPr="000C5086">
              <w:t>proportion of aggregates</w:t>
            </w:r>
            <w:r w:rsidR="00980C2F" w:rsidRPr="000C5086">
              <w:t>;</w:t>
            </w:r>
            <w:r w:rsidR="007C44FC" w:rsidRPr="000C5086">
              <w:t xml:space="preserve"> and</w:t>
            </w:r>
          </w:p>
          <w:p w14:paraId="0DB8BE24" w14:textId="1AE09782" w:rsidR="0059550F" w:rsidRPr="000C5086" w:rsidRDefault="00980C2F" w:rsidP="00936FA3">
            <w:pPr>
              <w:pStyle w:val="Bodynumbered1"/>
            </w:pPr>
            <w:r w:rsidRPr="000C5086">
              <w:t xml:space="preserve">the expansion </w:t>
            </w:r>
            <w:r w:rsidR="00213A21" w:rsidRPr="000C5086">
              <w:t>deceas</w:t>
            </w:r>
            <w:r w:rsidR="007C44FC" w:rsidRPr="000C5086">
              <w:t>es</w:t>
            </w:r>
            <w:r w:rsidR="00213A21" w:rsidRPr="000C5086">
              <w:t xml:space="preserve"> with the addition of more </w:t>
            </w:r>
            <w:r w:rsidR="00092494" w:rsidRPr="000C5086">
              <w:t>silica rich aggregates</w:t>
            </w:r>
            <w:r w:rsidR="007C44FC" w:rsidRPr="000C5086">
              <w:t>.</w:t>
            </w:r>
          </w:p>
        </w:tc>
      </w:tr>
      <w:tr w:rsidR="006B0500" w:rsidRPr="00200689" w14:paraId="78346523" w14:textId="77777777" w:rsidTr="000C5086">
        <w:tc>
          <w:tcPr>
            <w:tcW w:w="2268" w:type="dxa"/>
          </w:tcPr>
          <w:p w14:paraId="754D7023" w14:textId="00A03AD0" w:rsidR="006B0500" w:rsidRPr="000C5086" w:rsidRDefault="006B0500" w:rsidP="000C5086">
            <w:pPr>
              <w:pStyle w:val="Bodytext"/>
              <w:spacing w:before="160"/>
              <w:rPr>
                <w:b/>
                <w:bCs/>
              </w:rPr>
            </w:pPr>
            <w:r w:rsidRPr="000C5086">
              <w:rPr>
                <w:b/>
                <w:bCs/>
              </w:rPr>
              <w:t>SCM:</w:t>
            </w:r>
          </w:p>
        </w:tc>
        <w:tc>
          <w:tcPr>
            <w:tcW w:w="7513" w:type="dxa"/>
          </w:tcPr>
          <w:p w14:paraId="36D3D8E4" w14:textId="3D2E6F90" w:rsidR="006B0500" w:rsidRPr="000C5086" w:rsidRDefault="006B0500" w:rsidP="000C5086">
            <w:pPr>
              <w:pStyle w:val="Bodytext"/>
              <w:spacing w:before="160"/>
            </w:pPr>
            <w:r w:rsidRPr="000C5086">
              <w:t xml:space="preserve">Supplementary Cementitious Material, including fly ash, </w:t>
            </w:r>
            <w:r w:rsidR="004367E4" w:rsidRPr="000C5086">
              <w:t>ground granulated blast furnace slag</w:t>
            </w:r>
            <w:r w:rsidRPr="000C5086">
              <w:t xml:space="preserve"> and amorphous silica</w:t>
            </w:r>
          </w:p>
        </w:tc>
      </w:tr>
    </w:tbl>
    <w:p w14:paraId="6AEA6B89" w14:textId="61E26900" w:rsidR="00AA0B79" w:rsidRPr="00200689" w:rsidRDefault="006B74CD" w:rsidP="001A5C95">
      <w:pPr>
        <w:pStyle w:val="Heading1"/>
      </w:pPr>
      <w:bookmarkStart w:id="6" w:name="_Toc124413912"/>
      <w:r w:rsidRPr="00200689">
        <w:t>Approval</w:t>
      </w:r>
      <w:r w:rsidR="00AA0B79" w:rsidRPr="00200689">
        <w:t xml:space="preserve"> of the A</w:t>
      </w:r>
      <w:r w:rsidR="00EE79C6" w:rsidRPr="00200689">
        <w:t>ggregate</w:t>
      </w:r>
      <w:bookmarkEnd w:id="6"/>
    </w:p>
    <w:p w14:paraId="3E2C6A32" w14:textId="19B6136C" w:rsidR="00AA0B79" w:rsidRPr="00200689" w:rsidRDefault="00AA0B79" w:rsidP="001A5C95">
      <w:pPr>
        <w:pStyle w:val="Bodyparanumbered1"/>
      </w:pPr>
      <w:r w:rsidRPr="00200689">
        <w:t xml:space="preserve">To obtain </w:t>
      </w:r>
      <w:r w:rsidR="000A3B01" w:rsidRPr="00200689">
        <w:t xml:space="preserve">approval </w:t>
      </w:r>
      <w:r w:rsidRPr="00200689">
        <w:t xml:space="preserve">for the aggregate, the </w:t>
      </w:r>
      <w:r w:rsidR="002237A2" w:rsidRPr="00200689">
        <w:t xml:space="preserve">supplier of </w:t>
      </w:r>
      <w:r w:rsidR="00A96EDF" w:rsidRPr="00200689">
        <w:t>the aggregate</w:t>
      </w:r>
      <w:r w:rsidR="002237A2" w:rsidRPr="00200689">
        <w:t xml:space="preserve"> (“</w:t>
      </w:r>
      <w:r w:rsidRPr="00200689">
        <w:t>Applicant</w:t>
      </w:r>
      <w:r w:rsidR="00A96EDF" w:rsidRPr="00200689">
        <w:t>”)</w:t>
      </w:r>
      <w:r w:rsidRPr="00200689">
        <w:t xml:space="preserve"> must submit test</w:t>
      </w:r>
      <w:r w:rsidR="0072605F" w:rsidRPr="00200689">
        <w:t xml:space="preserve"> results to</w:t>
      </w:r>
      <w:r w:rsidRPr="00200689">
        <w:t xml:space="preserve"> </w:t>
      </w:r>
      <w:r w:rsidR="0072605F" w:rsidRPr="000C5086">
        <w:rPr>
          <w:i/>
          <w:iCs/>
          <w:color w:val="FF4519"/>
        </w:rPr>
        <w:t>[insert agency name]</w:t>
      </w:r>
      <w:r w:rsidR="002A4684" w:rsidRPr="00200689">
        <w:t>,</w:t>
      </w:r>
      <w:r w:rsidR="000E3C74" w:rsidRPr="00200689">
        <w:t xml:space="preserve"> demonstrating compliance with </w:t>
      </w:r>
      <w:r w:rsidR="00234D00" w:rsidRPr="00200689">
        <w:t>this C</w:t>
      </w:r>
      <w:r w:rsidR="00C3624F" w:rsidRPr="00200689">
        <w:t>ode of Practice</w:t>
      </w:r>
      <w:r w:rsidR="00701E0D" w:rsidRPr="00200689">
        <w:t>, as well as a copy of the quarry’</w:t>
      </w:r>
      <w:r w:rsidR="00D15337" w:rsidRPr="00200689">
        <w:t>s Quality Management Plan</w:t>
      </w:r>
      <w:r w:rsidR="002B168D" w:rsidRPr="00200689">
        <w:t xml:space="preserve">. </w:t>
      </w:r>
      <w:r w:rsidR="008D1FDF" w:rsidRPr="00200689">
        <w:t xml:space="preserve">Further details of the application are contained in Clause </w:t>
      </w:r>
      <w:r w:rsidR="00C5367F" w:rsidRPr="00200689">
        <w:fldChar w:fldCharType="begin"/>
      </w:r>
      <w:r w:rsidR="00C5367F" w:rsidRPr="00200689">
        <w:instrText xml:space="preserve"> REF _Ref90900979 \r \h </w:instrText>
      </w:r>
      <w:r w:rsidR="001F1C0F" w:rsidRPr="00200689">
        <w:instrText xml:space="preserve"> \* MERGEFORMAT </w:instrText>
      </w:r>
      <w:r w:rsidR="00C5367F" w:rsidRPr="00200689">
        <w:fldChar w:fldCharType="separate"/>
      </w:r>
      <w:r w:rsidR="0071215B" w:rsidRPr="00200689">
        <w:t>12</w:t>
      </w:r>
      <w:r w:rsidR="00C5367F" w:rsidRPr="00200689">
        <w:fldChar w:fldCharType="end"/>
      </w:r>
      <w:r w:rsidR="008D1FDF" w:rsidRPr="00200689">
        <w:t>.</w:t>
      </w:r>
    </w:p>
    <w:p w14:paraId="545804F2" w14:textId="4099FB02" w:rsidR="00BF4B24" w:rsidRPr="00200689" w:rsidRDefault="00BF4B24" w:rsidP="000C5086">
      <w:pPr>
        <w:ind w:left="567" w:firstLine="0"/>
      </w:pPr>
      <w:r w:rsidRPr="000C5086">
        <w:rPr>
          <w:i/>
          <w:iCs/>
          <w:color w:val="FF4519"/>
        </w:rPr>
        <w:t xml:space="preserve">[insert details regarding how to submit the application and whether </w:t>
      </w:r>
      <w:r w:rsidR="00505E76" w:rsidRPr="000C5086">
        <w:rPr>
          <w:i/>
          <w:iCs/>
          <w:color w:val="FF4519"/>
        </w:rPr>
        <w:t xml:space="preserve">a </w:t>
      </w:r>
      <w:r w:rsidRPr="000C5086">
        <w:rPr>
          <w:i/>
          <w:iCs/>
          <w:color w:val="FF4519"/>
        </w:rPr>
        <w:t>registration</w:t>
      </w:r>
      <w:r w:rsidR="00167779" w:rsidRPr="000C5086">
        <w:rPr>
          <w:i/>
          <w:iCs/>
          <w:color w:val="FF4519"/>
        </w:rPr>
        <w:t xml:space="preserve"> system of approved mixes</w:t>
      </w:r>
      <w:r w:rsidRPr="000C5086">
        <w:rPr>
          <w:i/>
          <w:iCs/>
          <w:color w:val="FF4519"/>
        </w:rPr>
        <w:t xml:space="preserve"> will be </w:t>
      </w:r>
      <w:r w:rsidR="00DB30E0" w:rsidRPr="000C5086">
        <w:rPr>
          <w:i/>
          <w:iCs/>
          <w:color w:val="FF4519"/>
        </w:rPr>
        <w:t>maintained</w:t>
      </w:r>
      <w:r w:rsidRPr="000C5086">
        <w:rPr>
          <w:i/>
          <w:iCs/>
          <w:color w:val="FF4519"/>
        </w:rPr>
        <w:t>]</w:t>
      </w:r>
      <w:r w:rsidRPr="00200689">
        <w:t>.</w:t>
      </w:r>
    </w:p>
    <w:p w14:paraId="48F2CAB8" w14:textId="77777777" w:rsidR="00AA0B79" w:rsidRPr="00200689" w:rsidRDefault="00AA0B79" w:rsidP="001A5C95">
      <w:pPr>
        <w:pStyle w:val="Bodyparanumbered1"/>
      </w:pPr>
      <w:r w:rsidRPr="00200689">
        <w:t>At any time,</w:t>
      </w:r>
      <w:r w:rsidRPr="00200689">
        <w:rPr>
          <w:i/>
          <w:iCs/>
          <w:color w:val="C45911" w:themeColor="accent2" w:themeShade="BF"/>
        </w:rPr>
        <w:t xml:space="preserve"> </w:t>
      </w:r>
      <w:bookmarkStart w:id="7" w:name="_Hlk90473844"/>
      <w:r w:rsidRPr="000C5086">
        <w:rPr>
          <w:i/>
          <w:iCs/>
          <w:color w:val="FF4519"/>
        </w:rPr>
        <w:t>[insert agency name]</w:t>
      </w:r>
      <w:r w:rsidRPr="000C5086">
        <w:rPr>
          <w:color w:val="FF4519"/>
        </w:rPr>
        <w:t xml:space="preserve"> </w:t>
      </w:r>
      <w:bookmarkEnd w:id="7"/>
      <w:r w:rsidRPr="00200689">
        <w:t>may request the Applicant to:</w:t>
      </w:r>
    </w:p>
    <w:p w14:paraId="2557C46B" w14:textId="0C0FCCB6" w:rsidR="00AA0B79" w:rsidRPr="00200689" w:rsidRDefault="00AA0B79" w:rsidP="00CC466B">
      <w:pPr>
        <w:pStyle w:val="Bodyparanumbered2"/>
      </w:pPr>
      <w:r w:rsidRPr="000C5086">
        <w:t>supply</w:t>
      </w:r>
      <w:r w:rsidRPr="00200689">
        <w:t xml:space="preserve"> </w:t>
      </w:r>
      <w:r w:rsidR="0025079F" w:rsidRPr="00200689">
        <w:t>samples of the aggregate</w:t>
      </w:r>
      <w:r w:rsidR="00E604E8" w:rsidRPr="00200689">
        <w:t xml:space="preserve"> for </w:t>
      </w:r>
      <w:proofErr w:type="gramStart"/>
      <w:r w:rsidR="00E604E8" w:rsidRPr="00200689">
        <w:t>assessment</w:t>
      </w:r>
      <w:r w:rsidR="008031E0" w:rsidRPr="00200689">
        <w:t>;</w:t>
      </w:r>
      <w:proofErr w:type="gramEnd"/>
    </w:p>
    <w:p w14:paraId="331712F7" w14:textId="782D1198" w:rsidR="00AA0B79" w:rsidRPr="00200689" w:rsidRDefault="00AA0B79" w:rsidP="001A5C95">
      <w:pPr>
        <w:pStyle w:val="Bodyparanumbered2"/>
      </w:pPr>
      <w:r w:rsidRPr="00200689">
        <w:t xml:space="preserve">carry out </w:t>
      </w:r>
      <w:r w:rsidR="008031E0" w:rsidRPr="00200689">
        <w:t xml:space="preserve">a </w:t>
      </w:r>
      <w:r w:rsidRPr="00200689">
        <w:t>visual inspection</w:t>
      </w:r>
      <w:r w:rsidR="008031E0" w:rsidRPr="00200689">
        <w:t xml:space="preserve"> of the quarry; </w:t>
      </w:r>
      <w:r w:rsidRPr="00200689">
        <w:t>and/or</w:t>
      </w:r>
    </w:p>
    <w:p w14:paraId="745A45D7" w14:textId="59D1A589" w:rsidR="00B4351E" w:rsidRPr="00200689" w:rsidRDefault="00A66020" w:rsidP="001A5C95">
      <w:pPr>
        <w:pStyle w:val="Bodyparanumbered2"/>
      </w:pPr>
      <w:r w:rsidRPr="00200689">
        <w:t xml:space="preserve">reasonably </w:t>
      </w:r>
      <w:r w:rsidR="008031E0" w:rsidRPr="00200689">
        <w:t xml:space="preserve">request </w:t>
      </w:r>
      <w:r w:rsidRPr="00200689">
        <w:t xml:space="preserve">additional testing </w:t>
      </w:r>
      <w:r w:rsidR="00B704B7" w:rsidRPr="00200689">
        <w:t xml:space="preserve">be carried out </w:t>
      </w:r>
      <w:r w:rsidR="00AA0B79" w:rsidRPr="00200689">
        <w:t xml:space="preserve">to verify the </w:t>
      </w:r>
      <w:r w:rsidR="00B4351E" w:rsidRPr="00200689">
        <w:t>results</w:t>
      </w:r>
      <w:r w:rsidR="00E604E8" w:rsidRPr="00200689">
        <w:t xml:space="preserve"> in accordance with this </w:t>
      </w:r>
      <w:r w:rsidR="00522C98" w:rsidRPr="00200689">
        <w:t>C</w:t>
      </w:r>
      <w:r w:rsidR="00E604E8" w:rsidRPr="00200689">
        <w:t xml:space="preserve">ode of </w:t>
      </w:r>
      <w:r w:rsidR="00522C98" w:rsidRPr="00200689">
        <w:t>P</w:t>
      </w:r>
      <w:r w:rsidR="00E604E8" w:rsidRPr="00200689">
        <w:t>ractice</w:t>
      </w:r>
      <w:r w:rsidR="00B4351E" w:rsidRPr="00200689">
        <w:t>.</w:t>
      </w:r>
    </w:p>
    <w:p w14:paraId="35BC7793" w14:textId="64394A34" w:rsidR="00581962" w:rsidRPr="00200689" w:rsidRDefault="00581962" w:rsidP="001A5C95">
      <w:pPr>
        <w:pStyle w:val="Bodyparanumbered1"/>
      </w:pPr>
      <w:r w:rsidRPr="00200689">
        <w:t xml:space="preserve">In summary, the assessment </w:t>
      </w:r>
      <w:r w:rsidR="00415664" w:rsidRPr="00200689">
        <w:t xml:space="preserve">and approval </w:t>
      </w:r>
      <w:r w:rsidRPr="00200689">
        <w:t xml:space="preserve">process </w:t>
      </w:r>
      <w:proofErr w:type="gramStart"/>
      <w:r w:rsidRPr="00200689">
        <w:t>is</w:t>
      </w:r>
      <w:proofErr w:type="gramEnd"/>
      <w:r w:rsidRPr="00200689">
        <w:t xml:space="preserve"> as follows:</w:t>
      </w:r>
    </w:p>
    <w:p w14:paraId="7CB41BC8" w14:textId="08CC0A2B" w:rsidR="00924B59" w:rsidRPr="00200689" w:rsidRDefault="001725DA" w:rsidP="00936FA3">
      <w:pPr>
        <w:numPr>
          <w:ilvl w:val="0"/>
          <w:numId w:val="11"/>
        </w:numPr>
      </w:pPr>
      <w:r w:rsidRPr="00200689">
        <w:t xml:space="preserve">Undertake a petrographic </w:t>
      </w:r>
      <w:r w:rsidR="00924B59" w:rsidRPr="00200689">
        <w:t>examination</w:t>
      </w:r>
      <w:r w:rsidR="0032297A" w:rsidRPr="00200689">
        <w:t xml:space="preserve"> in accordance with Clause </w:t>
      </w:r>
      <w:r w:rsidR="00C5367F" w:rsidRPr="00200689">
        <w:fldChar w:fldCharType="begin"/>
      </w:r>
      <w:r w:rsidR="00C5367F" w:rsidRPr="00200689">
        <w:instrText xml:space="preserve"> REF _Ref90900997 \r \h </w:instrText>
      </w:r>
      <w:r w:rsidR="001F1C0F" w:rsidRPr="00200689">
        <w:instrText xml:space="preserve"> \* MERGEFORMAT </w:instrText>
      </w:r>
      <w:r w:rsidR="00C5367F" w:rsidRPr="00200689">
        <w:fldChar w:fldCharType="separate"/>
      </w:r>
      <w:r w:rsidR="0071215B" w:rsidRPr="00200689">
        <w:t>5</w:t>
      </w:r>
      <w:r w:rsidR="00C5367F" w:rsidRPr="00200689">
        <w:fldChar w:fldCharType="end"/>
      </w:r>
      <w:r w:rsidR="00E30C66" w:rsidRPr="00200689">
        <w:t>.</w:t>
      </w:r>
    </w:p>
    <w:p w14:paraId="3F539CB3" w14:textId="4D1B3918" w:rsidR="00E11110" w:rsidRPr="00200689" w:rsidRDefault="00F648A3" w:rsidP="001A5C95">
      <w:pPr>
        <w:pStyle w:val="Bodyparanumbered2"/>
      </w:pPr>
      <w:r w:rsidRPr="00200689">
        <w:t xml:space="preserve">Undertake </w:t>
      </w:r>
      <w:r w:rsidR="00924B59" w:rsidRPr="00200689">
        <w:t xml:space="preserve">the AMBT </w:t>
      </w:r>
      <w:r w:rsidR="00E11110" w:rsidRPr="00200689">
        <w:t xml:space="preserve">in accordance with Clause </w:t>
      </w:r>
      <w:r w:rsidR="00C5367F" w:rsidRPr="00200689">
        <w:fldChar w:fldCharType="begin"/>
      </w:r>
      <w:r w:rsidR="00C5367F" w:rsidRPr="00200689">
        <w:instrText xml:space="preserve"> REF _Ref90901013 \r \h </w:instrText>
      </w:r>
      <w:r w:rsidR="001F1C0F" w:rsidRPr="00200689">
        <w:instrText xml:space="preserve"> \* MERGEFORMAT </w:instrText>
      </w:r>
      <w:r w:rsidR="00C5367F" w:rsidRPr="00200689">
        <w:fldChar w:fldCharType="separate"/>
      </w:r>
      <w:r w:rsidR="0071215B" w:rsidRPr="00200689">
        <w:t>7</w:t>
      </w:r>
      <w:r w:rsidR="00C5367F" w:rsidRPr="00200689">
        <w:fldChar w:fldCharType="end"/>
      </w:r>
      <w:r w:rsidR="00082373" w:rsidRPr="00200689">
        <w:t xml:space="preserve"> as follows</w:t>
      </w:r>
      <w:r w:rsidR="00E30C66" w:rsidRPr="00200689">
        <w:t>:</w:t>
      </w:r>
    </w:p>
    <w:p w14:paraId="2F14E0C4" w14:textId="090C9347" w:rsidR="00924B59" w:rsidRPr="000C5086" w:rsidRDefault="00E11110" w:rsidP="000C5086">
      <w:pPr>
        <w:pStyle w:val="Bodyparanumbered3"/>
      </w:pPr>
      <w:r w:rsidRPr="000C5086">
        <w:t xml:space="preserve">If classified by AMBT as </w:t>
      </w:r>
      <w:proofErr w:type="gramStart"/>
      <w:r w:rsidR="00400184" w:rsidRPr="000C5086">
        <w:t>Non</w:t>
      </w:r>
      <w:r w:rsidRPr="000C5086">
        <w:t>-</w:t>
      </w:r>
      <w:r w:rsidR="00400184" w:rsidRPr="000C5086">
        <w:t>Reactive</w:t>
      </w:r>
      <w:proofErr w:type="gramEnd"/>
      <w:r w:rsidR="0071156C" w:rsidRPr="000C5086">
        <w:t xml:space="preserve">, </w:t>
      </w:r>
      <w:bookmarkStart w:id="8" w:name="_Hlk91078912"/>
      <w:r w:rsidR="0071156C" w:rsidRPr="000C5086">
        <w:t xml:space="preserve">the aggregate will be approved for use </w:t>
      </w:r>
      <w:r w:rsidRPr="000C5086">
        <w:t>in concrete without AAR control</w:t>
      </w:r>
      <w:bookmarkEnd w:id="8"/>
      <w:r w:rsidR="00AC328A" w:rsidRPr="000C5086">
        <w:t>.</w:t>
      </w:r>
    </w:p>
    <w:p w14:paraId="2D253C05" w14:textId="67B3E0FB" w:rsidR="003C1613" w:rsidRPr="000C5086" w:rsidRDefault="00276DF5" w:rsidP="000C5086">
      <w:pPr>
        <w:pStyle w:val="Bodyparanumbered3"/>
      </w:pPr>
      <w:r w:rsidRPr="000C5086">
        <w:t xml:space="preserve">If the aggregate is </w:t>
      </w:r>
      <w:r w:rsidR="00626FC8" w:rsidRPr="000C5086">
        <w:t>classified</w:t>
      </w:r>
      <w:r w:rsidRPr="000C5086">
        <w:t xml:space="preserve"> </w:t>
      </w:r>
      <w:r w:rsidR="00C71DE0" w:rsidRPr="000C5086">
        <w:t xml:space="preserve">as </w:t>
      </w:r>
      <w:r w:rsidR="00400184" w:rsidRPr="000C5086">
        <w:t>Slow</w:t>
      </w:r>
      <w:r w:rsidR="00C71DE0" w:rsidRPr="000C5086">
        <w:t xml:space="preserve">ly </w:t>
      </w:r>
      <w:r w:rsidR="00400184" w:rsidRPr="000C5086">
        <w:t>Reactive</w:t>
      </w:r>
      <w:r w:rsidR="00BA363B" w:rsidRPr="000C5086">
        <w:t xml:space="preserve"> by the AMBT</w:t>
      </w:r>
      <w:r w:rsidR="000F2CC8" w:rsidRPr="000C5086">
        <w:t>, the aggregate will be approved</w:t>
      </w:r>
      <w:r w:rsidR="002E6F48" w:rsidRPr="000C5086">
        <w:t>, subject to</w:t>
      </w:r>
      <w:r w:rsidR="00B60D21" w:rsidRPr="000C5086">
        <w:t xml:space="preserve"> it</w:t>
      </w:r>
      <w:r w:rsidR="002E6F48" w:rsidRPr="000C5086">
        <w:t xml:space="preserve"> being </w:t>
      </w:r>
      <w:r w:rsidR="0047100C" w:rsidRPr="000C5086">
        <w:t xml:space="preserve">used with the </w:t>
      </w:r>
      <w:r w:rsidR="000F2CC8" w:rsidRPr="000C5086">
        <w:t>AAR control</w:t>
      </w:r>
      <w:r w:rsidR="00856254" w:rsidRPr="000C5086">
        <w:t>s</w:t>
      </w:r>
      <w:r w:rsidR="00B34B70" w:rsidRPr="000C5086">
        <w:t xml:space="preserve"> set out in Table 3</w:t>
      </w:r>
      <w:r w:rsidR="00AC328A" w:rsidRPr="000C5086">
        <w:t>. Alternatively,</w:t>
      </w:r>
      <w:r w:rsidR="00856254" w:rsidRPr="000C5086">
        <w:t xml:space="preserve"> the </w:t>
      </w:r>
      <w:r w:rsidR="00893C4C" w:rsidRPr="000C5086">
        <w:t xml:space="preserve">Applicant may elect to carry </w:t>
      </w:r>
      <w:r w:rsidR="0047100C" w:rsidRPr="000C5086">
        <w:t xml:space="preserve">out further </w:t>
      </w:r>
      <w:r w:rsidR="00893C4C" w:rsidRPr="000C5086">
        <w:t>testing using the CPT</w:t>
      </w:r>
      <w:r w:rsidR="00AC328A" w:rsidRPr="000C5086">
        <w:t>.</w:t>
      </w:r>
    </w:p>
    <w:p w14:paraId="406D6C67" w14:textId="1222EE85" w:rsidR="00626FC8" w:rsidRPr="00200689" w:rsidRDefault="00A60565" w:rsidP="000C5086">
      <w:pPr>
        <w:pStyle w:val="Bodyparanumbered3"/>
      </w:pPr>
      <w:r w:rsidRPr="000C5086">
        <w:t>If the aggregate</w:t>
      </w:r>
      <w:r w:rsidRPr="00200689">
        <w:t xml:space="preserve"> is classified as </w:t>
      </w:r>
      <w:r w:rsidR="00400184" w:rsidRPr="00200689">
        <w:t>Reactive</w:t>
      </w:r>
      <w:r w:rsidR="00A02E90" w:rsidRPr="00200689">
        <w:t xml:space="preserve"> </w:t>
      </w:r>
      <w:r w:rsidR="00CF12BA" w:rsidRPr="00200689">
        <w:t>by</w:t>
      </w:r>
      <w:r w:rsidR="00C71DE0" w:rsidRPr="00200689">
        <w:t xml:space="preserve"> the AMBT, </w:t>
      </w:r>
      <w:r w:rsidR="00281014" w:rsidRPr="00200689">
        <w:t>the Applicant must u</w:t>
      </w:r>
      <w:r w:rsidR="00C71DE0" w:rsidRPr="00200689">
        <w:t xml:space="preserve">ndertake </w:t>
      </w:r>
      <w:r w:rsidR="0032297A" w:rsidRPr="00200689">
        <w:t>further</w:t>
      </w:r>
      <w:r w:rsidR="001601AF" w:rsidRPr="00200689">
        <w:t xml:space="preserve"> testing </w:t>
      </w:r>
      <w:r w:rsidR="00626FC8" w:rsidRPr="00200689">
        <w:t>using the CPT</w:t>
      </w:r>
      <w:r w:rsidR="00AC328A" w:rsidRPr="00200689">
        <w:t>.</w:t>
      </w:r>
    </w:p>
    <w:p w14:paraId="475DE322" w14:textId="557C054C" w:rsidR="007609D9" w:rsidRPr="00200689" w:rsidRDefault="002711E6" w:rsidP="001A5C95">
      <w:pPr>
        <w:pStyle w:val="Bodyparanumbered2"/>
      </w:pPr>
      <w:bookmarkStart w:id="9" w:name="_Hlk90475135"/>
      <w:r w:rsidRPr="00200689">
        <w:t xml:space="preserve">If the Applicant </w:t>
      </w:r>
      <w:r w:rsidR="00CF12BA" w:rsidRPr="00200689">
        <w:t>undertake</w:t>
      </w:r>
      <w:r w:rsidR="008A3F88" w:rsidRPr="00200689">
        <w:t>s</w:t>
      </w:r>
      <w:r w:rsidR="00CF12BA" w:rsidRPr="00200689">
        <w:t xml:space="preserve"> </w:t>
      </w:r>
      <w:r w:rsidR="002A6BD0" w:rsidRPr="00200689">
        <w:t xml:space="preserve">CPT </w:t>
      </w:r>
      <w:r w:rsidR="00CF12BA" w:rsidRPr="00200689">
        <w:t xml:space="preserve">using </w:t>
      </w:r>
      <w:r w:rsidRPr="00200689">
        <w:t xml:space="preserve">the “deemed to </w:t>
      </w:r>
      <w:r w:rsidR="000B6B71" w:rsidRPr="00200689">
        <w:t xml:space="preserve">comply” approach, </w:t>
      </w:r>
      <w:bookmarkEnd w:id="9"/>
      <w:r w:rsidR="009369E4" w:rsidRPr="00200689">
        <w:t xml:space="preserve">the </w:t>
      </w:r>
      <w:r w:rsidR="000B6B71" w:rsidRPr="00200689">
        <w:t xml:space="preserve">aggregate will be </w:t>
      </w:r>
      <w:r w:rsidR="00A311B7" w:rsidRPr="00200689">
        <w:t>approved</w:t>
      </w:r>
      <w:r w:rsidR="000B6B71" w:rsidRPr="00200689">
        <w:t xml:space="preserve"> for </w:t>
      </w:r>
      <w:r w:rsidR="00A311B7" w:rsidRPr="00200689">
        <w:t>use in concrete</w:t>
      </w:r>
      <w:r w:rsidR="007609D9" w:rsidRPr="00200689">
        <w:t>, subject to</w:t>
      </w:r>
      <w:r w:rsidR="00D91114" w:rsidRPr="00200689">
        <w:t xml:space="preserve"> the </w:t>
      </w:r>
      <w:r w:rsidR="006940A6" w:rsidRPr="00200689">
        <w:t xml:space="preserve">requirements in </w:t>
      </w:r>
      <w:r w:rsidR="007609D9" w:rsidRPr="00200689">
        <w:t xml:space="preserve">Table </w:t>
      </w:r>
      <w:r w:rsidR="009A6FD4" w:rsidRPr="00200689">
        <w:t>3</w:t>
      </w:r>
      <w:r w:rsidR="004C468B" w:rsidRPr="00200689">
        <w:t xml:space="preserve"> </w:t>
      </w:r>
      <w:r w:rsidR="007609D9" w:rsidRPr="00200689">
        <w:t>being implemented</w:t>
      </w:r>
      <w:r w:rsidR="00526F0A" w:rsidRPr="00200689">
        <w:t xml:space="preserve"> and the CPT result</w:t>
      </w:r>
      <w:r w:rsidR="00E62021" w:rsidRPr="00200689">
        <w:t xml:space="preserve"> </w:t>
      </w:r>
      <w:r w:rsidR="00673AC6" w:rsidRPr="00200689">
        <w:t>being</w:t>
      </w:r>
      <w:r w:rsidR="00526F0A" w:rsidRPr="00200689">
        <w:rPr>
          <w:i/>
        </w:rPr>
        <w:t xml:space="preserve"> </w:t>
      </w:r>
      <w:proofErr w:type="gramStart"/>
      <w:r w:rsidR="00E62021" w:rsidRPr="00200689">
        <w:rPr>
          <w:i/>
          <w:iCs/>
        </w:rPr>
        <w:t>E</w:t>
      </w:r>
      <w:r w:rsidR="00E62021" w:rsidRPr="00200689">
        <w:t> </w:t>
      </w:r>
      <w:r w:rsidR="00E62021" w:rsidRPr="00200689">
        <w:rPr>
          <w:i/>
        </w:rPr>
        <w:t xml:space="preserve"> </w:t>
      </w:r>
      <w:r w:rsidR="00526F0A" w:rsidRPr="00200689">
        <w:rPr>
          <w:i/>
        </w:rPr>
        <w:t>&lt;</w:t>
      </w:r>
      <w:proofErr w:type="gramEnd"/>
      <w:r w:rsidR="00526F0A" w:rsidRPr="00200689">
        <w:t xml:space="preserve"> 0.06%</w:t>
      </w:r>
      <w:r w:rsidR="00673AC6" w:rsidRPr="00200689">
        <w:t>.</w:t>
      </w:r>
    </w:p>
    <w:p w14:paraId="2F3D66BA" w14:textId="0CA19D6F" w:rsidR="002664CB" w:rsidRPr="00200689" w:rsidRDefault="0048521D" w:rsidP="001A5C95">
      <w:pPr>
        <w:pStyle w:val="Bodyparanumbered2"/>
      </w:pPr>
      <w:r w:rsidRPr="00200689">
        <w:lastRenderedPageBreak/>
        <w:t xml:space="preserve">If the Applicant </w:t>
      </w:r>
      <w:r w:rsidR="00635679" w:rsidRPr="00200689">
        <w:t xml:space="preserve">elects </w:t>
      </w:r>
      <w:r w:rsidR="002A6BD0" w:rsidRPr="00200689">
        <w:t xml:space="preserve">to undertake </w:t>
      </w:r>
      <w:r w:rsidR="00183118" w:rsidRPr="00200689">
        <w:t xml:space="preserve">CPT using </w:t>
      </w:r>
      <w:r w:rsidRPr="00200689">
        <w:t>the “performance based</w:t>
      </w:r>
      <w:r w:rsidR="004B60E6" w:rsidRPr="00200689">
        <w:t>”</w:t>
      </w:r>
      <w:r w:rsidRPr="00200689">
        <w:t xml:space="preserve"> approach,</w:t>
      </w:r>
      <w:r w:rsidR="00A63C08" w:rsidRPr="00200689">
        <w:t xml:space="preserve"> </w:t>
      </w:r>
      <w:r w:rsidR="00400184" w:rsidRPr="00200689">
        <w:t>Slow</w:t>
      </w:r>
      <w:r w:rsidR="008970A4" w:rsidRPr="00200689">
        <w:t xml:space="preserve">ly </w:t>
      </w:r>
      <w:r w:rsidR="00400184" w:rsidRPr="00200689">
        <w:t>Reactive</w:t>
      </w:r>
      <w:r w:rsidR="008970A4" w:rsidRPr="00200689">
        <w:t xml:space="preserve"> or </w:t>
      </w:r>
      <w:r w:rsidR="00400184" w:rsidRPr="00200689">
        <w:t>Reactive</w:t>
      </w:r>
      <w:r w:rsidR="00A63C08" w:rsidRPr="00200689">
        <w:t xml:space="preserve"> aggregate will </w:t>
      </w:r>
      <w:r w:rsidR="00F91627" w:rsidRPr="00200689">
        <w:t xml:space="preserve">only </w:t>
      </w:r>
      <w:r w:rsidR="00A63C08" w:rsidRPr="00200689">
        <w:t>be approved</w:t>
      </w:r>
      <w:r w:rsidR="00B53EEB" w:rsidRPr="00200689">
        <w:t xml:space="preserve"> if </w:t>
      </w:r>
      <w:r w:rsidR="00C01697" w:rsidRPr="00200689">
        <w:t xml:space="preserve">the </w:t>
      </w:r>
      <w:r w:rsidR="005473CA" w:rsidRPr="00200689">
        <w:t xml:space="preserve">CPT </w:t>
      </w:r>
      <w:r w:rsidR="00C01697" w:rsidRPr="00200689">
        <w:t xml:space="preserve">test results, </w:t>
      </w:r>
      <w:r w:rsidR="005473CA" w:rsidRPr="00200689">
        <w:t xml:space="preserve">using blended </w:t>
      </w:r>
      <w:r w:rsidR="00C01697" w:rsidRPr="00200689">
        <w:t xml:space="preserve">cement, meet the requirements of </w:t>
      </w:r>
      <w:r w:rsidR="002664CB" w:rsidRPr="00200689">
        <w:t>Clause</w:t>
      </w:r>
      <w:r w:rsidR="00495D9B" w:rsidRPr="00200689">
        <w:t xml:space="preserve"> </w:t>
      </w:r>
      <w:r w:rsidR="00C21A7F" w:rsidRPr="00200689">
        <w:fldChar w:fldCharType="begin"/>
      </w:r>
      <w:r w:rsidR="00C21A7F" w:rsidRPr="00200689">
        <w:instrText xml:space="preserve"> REF _Ref90901172 \r \h </w:instrText>
      </w:r>
      <w:r w:rsidR="001F1C0F" w:rsidRPr="00200689">
        <w:instrText xml:space="preserve"> \* MERGEFORMAT </w:instrText>
      </w:r>
      <w:r w:rsidR="00C21A7F" w:rsidRPr="00200689">
        <w:fldChar w:fldCharType="separate"/>
      </w:r>
      <w:r w:rsidR="0071215B" w:rsidRPr="00200689">
        <w:t>10</w:t>
      </w:r>
      <w:r w:rsidR="00C21A7F" w:rsidRPr="00200689">
        <w:fldChar w:fldCharType="end"/>
      </w:r>
      <w:r w:rsidR="002664CB" w:rsidRPr="00200689">
        <w:t>.</w:t>
      </w:r>
    </w:p>
    <w:p w14:paraId="043F484D" w14:textId="40E8CE86" w:rsidR="004C4A23" w:rsidRPr="00200689" w:rsidRDefault="00E604B8" w:rsidP="001A5C95">
      <w:pPr>
        <w:pStyle w:val="Bodyparanumbered1"/>
      </w:pPr>
      <w:r w:rsidRPr="00200689">
        <w:t xml:space="preserve">An aggregate must not be used in a concrete </w:t>
      </w:r>
      <w:r w:rsidR="00012C54" w:rsidRPr="00200689">
        <w:t xml:space="preserve">mix unless it is approved by </w:t>
      </w:r>
      <w:r w:rsidR="00A3553B" w:rsidRPr="000C5086">
        <w:rPr>
          <w:i/>
          <w:iCs/>
          <w:color w:val="FF4519"/>
        </w:rPr>
        <w:t>[insert agency name]</w:t>
      </w:r>
      <w:r w:rsidR="00AA0B79" w:rsidRPr="000C5086">
        <w:rPr>
          <w:color w:val="FF4519"/>
        </w:rPr>
        <w:t xml:space="preserve"> </w:t>
      </w:r>
      <w:r w:rsidR="00A3553B" w:rsidRPr="00200689">
        <w:t xml:space="preserve">and </w:t>
      </w:r>
      <w:r w:rsidR="001E13B5" w:rsidRPr="00200689">
        <w:t xml:space="preserve">it must be </w:t>
      </w:r>
      <w:r w:rsidR="00A3553B" w:rsidRPr="00200689">
        <w:t xml:space="preserve">used in </w:t>
      </w:r>
      <w:r w:rsidR="00EF2C78" w:rsidRPr="00200689">
        <w:t>accordance</w:t>
      </w:r>
      <w:r w:rsidR="00A3553B" w:rsidRPr="00200689">
        <w:t xml:space="preserve"> with any con</w:t>
      </w:r>
      <w:r w:rsidR="00EF2C78" w:rsidRPr="00200689">
        <w:t>ditions attached to that approval.</w:t>
      </w:r>
    </w:p>
    <w:p w14:paraId="7019D973" w14:textId="69400C0F" w:rsidR="00360BFB" w:rsidRPr="00200689" w:rsidRDefault="00244878" w:rsidP="001A5C95">
      <w:pPr>
        <w:pStyle w:val="Heading1"/>
      </w:pPr>
      <w:bookmarkStart w:id="10" w:name="_Ref90900997"/>
      <w:bookmarkStart w:id="11" w:name="_Toc124413913"/>
      <w:r w:rsidRPr="00200689">
        <w:t>Petrographic Examination</w:t>
      </w:r>
      <w:bookmarkEnd w:id="10"/>
      <w:bookmarkEnd w:id="11"/>
      <w:r w:rsidRPr="00200689">
        <w:t xml:space="preserve"> </w:t>
      </w:r>
    </w:p>
    <w:p w14:paraId="7E980398" w14:textId="65447F6B" w:rsidR="001011A2" w:rsidRPr="00200689" w:rsidRDefault="005650C6" w:rsidP="001A5C95">
      <w:pPr>
        <w:pStyle w:val="Bodyparanumbered1"/>
      </w:pPr>
      <w:r w:rsidRPr="00200689">
        <w:t>The Applicant must c</w:t>
      </w:r>
      <w:r w:rsidR="001011A2" w:rsidRPr="00200689">
        <w:t xml:space="preserve">arry out </w:t>
      </w:r>
      <w:r w:rsidRPr="00200689">
        <w:t xml:space="preserve">a </w:t>
      </w:r>
      <w:r w:rsidR="001011A2" w:rsidRPr="00200689">
        <w:t>petrographic examination</w:t>
      </w:r>
      <w:r w:rsidR="00C32183" w:rsidRPr="00200689">
        <w:t xml:space="preserve"> of the aggregate </w:t>
      </w:r>
      <w:r w:rsidR="001011A2" w:rsidRPr="00200689">
        <w:t>in accordance with ASTM</w:t>
      </w:r>
      <w:r w:rsidR="000C5086">
        <w:t> </w:t>
      </w:r>
      <w:r w:rsidR="001011A2" w:rsidRPr="00200689">
        <w:t>C295</w:t>
      </w:r>
      <w:r w:rsidR="009236DA" w:rsidRPr="00200689">
        <w:t>.</w:t>
      </w:r>
    </w:p>
    <w:p w14:paraId="238DE31A" w14:textId="08619A47" w:rsidR="001011A2" w:rsidRPr="00200689" w:rsidRDefault="008F3A6B" w:rsidP="001A5C95">
      <w:pPr>
        <w:pStyle w:val="Bodyparanumbered1"/>
      </w:pPr>
      <w:r w:rsidRPr="00200689">
        <w:t xml:space="preserve">In particular, </w:t>
      </w:r>
      <w:r w:rsidR="00AD6F9F" w:rsidRPr="00200689">
        <w:t xml:space="preserve">the presence of </w:t>
      </w:r>
      <w:bookmarkStart w:id="12" w:name="_Hlk97193132"/>
      <w:r w:rsidR="00AD6F9F" w:rsidRPr="00200689">
        <w:t>o</w:t>
      </w:r>
      <w:r w:rsidR="001011A2" w:rsidRPr="00200689">
        <w:t>bviously reactive components</w:t>
      </w:r>
      <w:r w:rsidR="00E62021" w:rsidRPr="00200689">
        <w:t xml:space="preserve"> </w:t>
      </w:r>
      <w:bookmarkEnd w:id="12"/>
      <w:r w:rsidR="00E62021" w:rsidRPr="00200689">
        <w:t>must be recorded</w:t>
      </w:r>
      <w:r w:rsidR="00B3285D" w:rsidRPr="00200689">
        <w:t>,</w:t>
      </w:r>
      <w:r w:rsidR="001011A2" w:rsidRPr="00200689">
        <w:t xml:space="preserve"> includ</w:t>
      </w:r>
      <w:r w:rsidR="00B3285D" w:rsidRPr="00200689">
        <w:t>ing</w:t>
      </w:r>
      <w:r w:rsidR="001011A2" w:rsidRPr="00200689">
        <w:t>:</w:t>
      </w:r>
    </w:p>
    <w:p w14:paraId="154E3444" w14:textId="31CCA6C2" w:rsidR="001011A2" w:rsidRPr="00200689" w:rsidRDefault="001011A2" w:rsidP="00936FA3">
      <w:pPr>
        <w:numPr>
          <w:ilvl w:val="0"/>
          <w:numId w:val="12"/>
        </w:numPr>
      </w:pPr>
      <w:r w:rsidRPr="00200689">
        <w:t xml:space="preserve">opaline material; acid volcanic </w:t>
      </w:r>
      <w:proofErr w:type="gramStart"/>
      <w:r w:rsidRPr="00200689">
        <w:t>glass;</w:t>
      </w:r>
      <w:proofErr w:type="gramEnd"/>
    </w:p>
    <w:p w14:paraId="7437C3AE" w14:textId="132625B7" w:rsidR="001011A2" w:rsidRPr="00200689" w:rsidRDefault="001011A2" w:rsidP="001A5C95">
      <w:pPr>
        <w:pStyle w:val="Bodyparanumbered2"/>
      </w:pPr>
      <w:r w:rsidRPr="00200689">
        <w:t xml:space="preserve">unstable silica minerals such as moderate amounts of tridymite, cristobalite and </w:t>
      </w:r>
      <w:proofErr w:type="gramStart"/>
      <w:r w:rsidRPr="00200689">
        <w:t>chalcedony;</w:t>
      </w:r>
      <w:proofErr w:type="gramEnd"/>
    </w:p>
    <w:p w14:paraId="1A5AE625" w14:textId="39818AAA" w:rsidR="001011A2" w:rsidRPr="00200689" w:rsidRDefault="001011A2" w:rsidP="001A5C95">
      <w:pPr>
        <w:pStyle w:val="Bodyparanumbered2"/>
      </w:pPr>
      <w:r w:rsidRPr="00200689">
        <w:t>metamorphosed and sheared rock containing large amounts of strained quartz and microcrystalline quartz.</w:t>
      </w:r>
    </w:p>
    <w:p w14:paraId="5B7A4E4F" w14:textId="465ED209" w:rsidR="00364D31" w:rsidRPr="00200689" w:rsidRDefault="00C54040" w:rsidP="001A5C95">
      <w:pPr>
        <w:pStyle w:val="Heading1"/>
      </w:pPr>
      <w:bookmarkStart w:id="13" w:name="_Toc124413914"/>
      <w:r w:rsidRPr="00200689">
        <w:t>Alkali Carbonate Reactivity</w:t>
      </w:r>
      <w:bookmarkEnd w:id="13"/>
      <w:r w:rsidR="00364D31" w:rsidRPr="00200689">
        <w:t xml:space="preserve"> </w:t>
      </w:r>
    </w:p>
    <w:p w14:paraId="042AD816" w14:textId="041813DF" w:rsidR="00F13649" w:rsidRPr="00200689" w:rsidRDefault="00952967" w:rsidP="001A5C95">
      <w:pPr>
        <w:pStyle w:val="Bodyparanumbered1"/>
      </w:pPr>
      <w:r w:rsidRPr="00200689">
        <w:t xml:space="preserve">If the petrographic examination identifies </w:t>
      </w:r>
      <w:r w:rsidR="001011A2" w:rsidRPr="00200689">
        <w:t>potential alkali-carbonate reactive components</w:t>
      </w:r>
      <w:r w:rsidR="009A3B75" w:rsidRPr="00200689">
        <w:t>, the use</w:t>
      </w:r>
      <w:r w:rsidR="00115AAA" w:rsidRPr="00200689">
        <w:t xml:space="preserve"> </w:t>
      </w:r>
      <w:r w:rsidR="009A3B75" w:rsidRPr="00200689">
        <w:t xml:space="preserve">of this material </w:t>
      </w:r>
      <w:r w:rsidR="002D3EB1" w:rsidRPr="00200689">
        <w:t xml:space="preserve">must be avoided </w:t>
      </w:r>
      <w:r w:rsidR="00CE35F8" w:rsidRPr="00200689">
        <w:t xml:space="preserve">unless further testing </w:t>
      </w:r>
      <w:r w:rsidR="00611235" w:rsidRPr="00200689">
        <w:t>in accordance with ASTM</w:t>
      </w:r>
      <w:r w:rsidR="001769D6">
        <w:t> </w:t>
      </w:r>
      <w:r w:rsidR="00611235" w:rsidRPr="00200689">
        <w:t>C586 and ASTM</w:t>
      </w:r>
      <w:r w:rsidR="00635679" w:rsidRPr="00200689">
        <w:t> </w:t>
      </w:r>
      <w:r w:rsidR="00611235" w:rsidRPr="00200689">
        <w:t xml:space="preserve">C1105 </w:t>
      </w:r>
      <w:r w:rsidR="00CE35F8" w:rsidRPr="00200689">
        <w:t xml:space="preserve">indicates that the rock is </w:t>
      </w:r>
      <w:r w:rsidR="001769D6" w:rsidRPr="00200689">
        <w:t>non</w:t>
      </w:r>
      <w:r w:rsidR="00CE35F8" w:rsidRPr="00200689">
        <w:t>-</w:t>
      </w:r>
      <w:r w:rsidR="001769D6" w:rsidRPr="00200689">
        <w:t>reactive</w:t>
      </w:r>
      <w:r w:rsidR="001011A2" w:rsidRPr="00200689">
        <w:t>.</w:t>
      </w:r>
      <w:r w:rsidR="00CE35F8" w:rsidRPr="00200689">
        <w:t xml:space="preserve"> </w:t>
      </w:r>
      <w:r w:rsidR="009154BC" w:rsidRPr="00200689">
        <w:t>If the aggregate exhibits expansion of greater than 0.015% over three months</w:t>
      </w:r>
      <w:r w:rsidR="00030BC7" w:rsidRPr="00200689">
        <w:t xml:space="preserve"> when tested using </w:t>
      </w:r>
      <w:r w:rsidR="002C4D6D" w:rsidRPr="00200689">
        <w:t>ASTM C1105</w:t>
      </w:r>
      <w:r w:rsidR="009154BC" w:rsidRPr="00200689">
        <w:t>, the test must be extended to six months. If at this time the total expansion is greater than 0.025%</w:t>
      </w:r>
      <w:r w:rsidR="00BF0CAB" w:rsidRPr="00200689">
        <w:t>,</w:t>
      </w:r>
      <w:r w:rsidR="009154BC" w:rsidRPr="00200689">
        <w:t xml:space="preserve"> then the aggregate must not be used.</w:t>
      </w:r>
      <w:r w:rsidR="002935FC" w:rsidRPr="00200689">
        <w:t xml:space="preserve"> The Applicant m</w:t>
      </w:r>
      <w:r w:rsidR="00B41C99" w:rsidRPr="00200689">
        <w:t xml:space="preserve">ay submit a proposal to </w:t>
      </w:r>
      <w:r w:rsidR="00723104" w:rsidRPr="000C5086">
        <w:rPr>
          <w:i/>
          <w:iCs/>
          <w:color w:val="FF4519"/>
        </w:rPr>
        <w:t>[insert agency name]</w:t>
      </w:r>
      <w:r w:rsidR="00723104" w:rsidRPr="00200689">
        <w:t xml:space="preserve"> </w:t>
      </w:r>
      <w:r w:rsidR="006967C9" w:rsidRPr="00200689">
        <w:t xml:space="preserve">to </w:t>
      </w:r>
      <w:r w:rsidR="00EC7F91" w:rsidRPr="00200689">
        <w:t xml:space="preserve">use </w:t>
      </w:r>
      <w:r w:rsidR="00710439" w:rsidRPr="00200689">
        <w:t xml:space="preserve">an alternative </w:t>
      </w:r>
      <w:r w:rsidR="007A063D" w:rsidRPr="00200689">
        <w:t>test method</w:t>
      </w:r>
      <w:r w:rsidR="00B41C99" w:rsidRPr="00200689">
        <w:t xml:space="preserve"> </w:t>
      </w:r>
      <w:r w:rsidR="007A063D" w:rsidRPr="00200689">
        <w:t>in lieu of ASTM C</w:t>
      </w:r>
      <w:r w:rsidR="00726CA5" w:rsidRPr="00200689">
        <w:t>586. Any such proposal must be accompanied by evidence of the suitability of t</w:t>
      </w:r>
      <w:r w:rsidR="006967C9" w:rsidRPr="00200689">
        <w:t>he proposed test method.</w:t>
      </w:r>
    </w:p>
    <w:p w14:paraId="37C29C6A" w14:textId="1C49C5A5" w:rsidR="00C82574" w:rsidRPr="00200689" w:rsidRDefault="00C82574" w:rsidP="001A5C95">
      <w:pPr>
        <w:pStyle w:val="Bodyparanumbered1"/>
        <w:rPr>
          <w:lang w:eastAsia="ja-JP"/>
        </w:rPr>
      </w:pPr>
      <w:r w:rsidRPr="00200689">
        <w:rPr>
          <w:lang w:eastAsia="ja-JP"/>
        </w:rPr>
        <w:t>AS</w:t>
      </w:r>
      <w:r w:rsidR="001769D6">
        <w:rPr>
          <w:lang w:eastAsia="ja-JP"/>
        </w:rPr>
        <w:t> </w:t>
      </w:r>
      <w:r w:rsidRPr="00200689">
        <w:rPr>
          <w:lang w:eastAsia="ja-JP"/>
        </w:rPr>
        <w:t>1012.13 is deemed to contain the same sample preparation and measuring regime as ASTM</w:t>
      </w:r>
      <w:r w:rsidR="00873F7A" w:rsidRPr="00200689">
        <w:rPr>
          <w:lang w:eastAsia="ja-JP"/>
        </w:rPr>
        <w:t> </w:t>
      </w:r>
      <w:r w:rsidRPr="00200689">
        <w:rPr>
          <w:lang w:eastAsia="ja-JP"/>
        </w:rPr>
        <w:t>C157 (referenced in C1105). For the purposes of ASTM</w:t>
      </w:r>
      <w:r w:rsidR="001769D6">
        <w:rPr>
          <w:lang w:eastAsia="ja-JP"/>
        </w:rPr>
        <w:t> </w:t>
      </w:r>
      <w:r w:rsidRPr="00200689">
        <w:rPr>
          <w:lang w:eastAsia="ja-JP"/>
        </w:rPr>
        <w:t>C1105, ‘moist’ is defined as 95</w:t>
      </w:r>
      <w:r w:rsidR="001769D6">
        <w:rPr>
          <w:lang w:eastAsia="ja-JP"/>
        </w:rPr>
        <w:t> </w:t>
      </w:r>
      <w:r w:rsidRPr="00200689">
        <w:rPr>
          <w:lang w:eastAsia="ja-JP"/>
        </w:rPr>
        <w:t>±</w:t>
      </w:r>
      <w:r w:rsidR="001769D6">
        <w:rPr>
          <w:lang w:eastAsia="ja-JP"/>
        </w:rPr>
        <w:t> </w:t>
      </w:r>
      <w:r w:rsidRPr="00200689">
        <w:rPr>
          <w:lang w:eastAsia="ja-JP"/>
        </w:rPr>
        <w:t>5% relative humidity</w:t>
      </w:r>
      <w:r w:rsidR="003D2F3F" w:rsidRPr="00200689">
        <w:rPr>
          <w:lang w:eastAsia="ja-JP"/>
        </w:rPr>
        <w:t xml:space="preserve"> except that the specimens must be stored in a </w:t>
      </w:r>
      <w:proofErr w:type="gramStart"/>
      <w:r w:rsidR="003D2F3F" w:rsidRPr="00200689">
        <w:rPr>
          <w:lang w:eastAsia="ja-JP"/>
        </w:rPr>
        <w:t>moisture controlled</w:t>
      </w:r>
      <w:proofErr w:type="gramEnd"/>
      <w:r w:rsidR="003D2F3F" w:rsidRPr="00200689">
        <w:rPr>
          <w:lang w:eastAsia="ja-JP"/>
        </w:rPr>
        <w:t xml:space="preserve"> room and not immersed in water</w:t>
      </w:r>
      <w:r w:rsidRPr="00200689">
        <w:rPr>
          <w:lang w:eastAsia="ja-JP"/>
        </w:rPr>
        <w:t>.</w:t>
      </w:r>
    </w:p>
    <w:p w14:paraId="37E7019C" w14:textId="34E373E0" w:rsidR="001011A2" w:rsidRPr="00200689" w:rsidRDefault="009207F9" w:rsidP="001A5C95">
      <w:pPr>
        <w:pStyle w:val="Heading1"/>
      </w:pPr>
      <w:bookmarkStart w:id="14" w:name="_Ref90901013"/>
      <w:bookmarkStart w:id="15" w:name="_Toc124413915"/>
      <w:r w:rsidRPr="00200689">
        <w:t xml:space="preserve">Initial Screening </w:t>
      </w:r>
      <w:r w:rsidR="006318D3" w:rsidRPr="00200689">
        <w:t xml:space="preserve">of </w:t>
      </w:r>
      <w:r w:rsidR="004D437C" w:rsidRPr="00200689">
        <w:t>the Aggregate</w:t>
      </w:r>
      <w:bookmarkEnd w:id="14"/>
      <w:bookmarkEnd w:id="15"/>
    </w:p>
    <w:p w14:paraId="3D3C84E9" w14:textId="77777777" w:rsidR="00184B7B" w:rsidRPr="00200689" w:rsidRDefault="00CC5A9A" w:rsidP="001A5C95">
      <w:pPr>
        <w:pStyle w:val="Bodyparanumbered1"/>
      </w:pPr>
      <w:r w:rsidRPr="00200689">
        <w:t>The Applicant must</w:t>
      </w:r>
      <w:r w:rsidR="00184B7B" w:rsidRPr="00200689">
        <w:t>:</w:t>
      </w:r>
    </w:p>
    <w:p w14:paraId="357BB319" w14:textId="6DD4B9D2" w:rsidR="005348DB" w:rsidRPr="00200689" w:rsidRDefault="001011A2" w:rsidP="00936FA3">
      <w:pPr>
        <w:numPr>
          <w:ilvl w:val="0"/>
          <w:numId w:val="13"/>
        </w:numPr>
      </w:pPr>
      <w:r w:rsidRPr="00200689">
        <w:t xml:space="preserve">carry out </w:t>
      </w:r>
      <w:r w:rsidR="005177FD" w:rsidRPr="00200689">
        <w:t xml:space="preserve">an </w:t>
      </w:r>
      <w:r w:rsidRPr="00200689">
        <w:t xml:space="preserve">initial screening of AAR </w:t>
      </w:r>
      <w:bookmarkStart w:id="16" w:name="_Hlk90474034"/>
      <w:r w:rsidRPr="00200689">
        <w:t>using the AMBT to AS</w:t>
      </w:r>
      <w:r w:rsidR="005650C6" w:rsidRPr="00200689">
        <w:t> </w:t>
      </w:r>
      <w:r w:rsidRPr="00200689">
        <w:t xml:space="preserve">1141.60.1 </w:t>
      </w:r>
      <w:bookmarkEnd w:id="16"/>
      <w:r w:rsidR="005723B9" w:rsidRPr="00200689">
        <w:t>using only GP cement (</w:t>
      </w:r>
      <w:proofErr w:type="gramStart"/>
      <w:r w:rsidR="005723B9" w:rsidRPr="00200689">
        <w:t>i.e.</w:t>
      </w:r>
      <w:proofErr w:type="gramEnd"/>
      <w:r w:rsidR="005723B9" w:rsidRPr="00200689">
        <w:t xml:space="preserve"> without S</w:t>
      </w:r>
      <w:r w:rsidR="009F2707" w:rsidRPr="00200689">
        <w:t>CM</w:t>
      </w:r>
      <w:r w:rsidR="005723B9" w:rsidRPr="00200689">
        <w:t>)</w:t>
      </w:r>
      <w:r w:rsidR="00184B7B" w:rsidRPr="00200689">
        <w:t xml:space="preserve">; </w:t>
      </w:r>
    </w:p>
    <w:p w14:paraId="4C3541E6" w14:textId="1BB9FA43" w:rsidR="00112FE2" w:rsidRPr="00200689" w:rsidRDefault="005348DB" w:rsidP="001A5C95">
      <w:pPr>
        <w:pStyle w:val="Bodyparanumbered2"/>
      </w:pPr>
      <w:r w:rsidRPr="00200689">
        <w:t>prepare the test report required by AS 1141</w:t>
      </w:r>
      <w:r w:rsidR="003B63CD" w:rsidRPr="00200689">
        <w:t xml:space="preserve">.60.1; </w:t>
      </w:r>
      <w:r w:rsidR="00112FE2" w:rsidRPr="00200689">
        <w:t>and</w:t>
      </w:r>
    </w:p>
    <w:p w14:paraId="0769C99C" w14:textId="436A9FAF" w:rsidR="001C70A2" w:rsidRPr="00200689" w:rsidRDefault="001011A2" w:rsidP="001A5C95">
      <w:pPr>
        <w:pStyle w:val="Bodyparanumbered2"/>
      </w:pPr>
      <w:r w:rsidRPr="00200689">
        <w:t xml:space="preserve">classify the aggregate </w:t>
      </w:r>
      <w:r w:rsidR="00112FE2" w:rsidRPr="00200689">
        <w:t xml:space="preserve">and take the required actions in accordance with </w:t>
      </w:r>
      <w:r w:rsidR="009868CA">
        <w:fldChar w:fldCharType="begin"/>
      </w:r>
      <w:r w:rsidR="009868CA">
        <w:instrText xml:space="preserve"> REF _Ref124511833 \h </w:instrText>
      </w:r>
      <w:r w:rsidR="009868CA">
        <w:fldChar w:fldCharType="separate"/>
      </w:r>
      <w:r w:rsidR="009868CA">
        <w:t xml:space="preserve">Table </w:t>
      </w:r>
      <w:r w:rsidR="009868CA">
        <w:rPr>
          <w:noProof/>
        </w:rPr>
        <w:t>7</w:t>
      </w:r>
      <w:r w:rsidR="009868CA">
        <w:t>.</w:t>
      </w:r>
      <w:r w:rsidR="009868CA">
        <w:rPr>
          <w:noProof/>
        </w:rPr>
        <w:t>1</w:t>
      </w:r>
      <w:r w:rsidR="009868CA">
        <w:fldChar w:fldCharType="end"/>
      </w:r>
      <w:r w:rsidRPr="00200689">
        <w:t>.</w:t>
      </w:r>
    </w:p>
    <w:p w14:paraId="5ABA6823" w14:textId="6D28DADF" w:rsidR="003C65DF" w:rsidRPr="009868CA" w:rsidRDefault="009868CA" w:rsidP="009868CA">
      <w:pPr>
        <w:pStyle w:val="Caption"/>
      </w:pPr>
      <w:bookmarkStart w:id="17" w:name="_Ref124511833"/>
      <w:r>
        <w:lastRenderedPageBreak/>
        <w:t xml:space="preserve">Table </w:t>
      </w:r>
      <w:r>
        <w:fldChar w:fldCharType="begin"/>
      </w:r>
      <w:r>
        <w:instrText xml:space="preserve"> STYLEREF 1 \s </w:instrText>
      </w:r>
      <w:r>
        <w:fldChar w:fldCharType="separate"/>
      </w:r>
      <w:r>
        <w:rPr>
          <w:noProof/>
        </w:rPr>
        <w:t>7</w:t>
      </w:r>
      <w:r>
        <w:fldChar w:fldCharType="end"/>
      </w:r>
      <w:r>
        <w:t>.</w:t>
      </w:r>
      <w:r>
        <w:fldChar w:fldCharType="begin"/>
      </w:r>
      <w:r>
        <w:instrText xml:space="preserve"> SEQ Table \* ARABIC \s 1 </w:instrText>
      </w:r>
      <w:r>
        <w:fldChar w:fldCharType="separate"/>
      </w:r>
      <w:r>
        <w:rPr>
          <w:noProof/>
        </w:rPr>
        <w:t>1</w:t>
      </w:r>
      <w:r>
        <w:fldChar w:fldCharType="end"/>
      </w:r>
      <w:bookmarkEnd w:id="17"/>
      <w:r>
        <w:t>:</w:t>
      </w:r>
      <w:r>
        <w:tab/>
      </w:r>
      <w:r w:rsidR="003C65DF" w:rsidRPr="009868CA">
        <w:t>Classification of AAR</w:t>
      </w:r>
      <w:r w:rsidR="00F60BE6" w:rsidRPr="009868CA">
        <w:t xml:space="preserve"> </w:t>
      </w:r>
      <w:r w:rsidR="00203346" w:rsidRPr="009868CA">
        <w:t>by AMBT</w:t>
      </w:r>
    </w:p>
    <w:tbl>
      <w:tblPr>
        <w:tblW w:w="0" w:type="auto"/>
        <w:tblInd w:w="41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BFBFBF" w:themeFill="background1" w:themeFillShade="BF"/>
        <w:tblLayout w:type="fixed"/>
        <w:tblCellMar>
          <w:left w:w="0" w:type="dxa"/>
          <w:right w:w="0" w:type="dxa"/>
        </w:tblCellMar>
        <w:tblLook w:val="01E0" w:firstRow="1" w:lastRow="1" w:firstColumn="1" w:lastColumn="1" w:noHBand="0" w:noVBand="0"/>
      </w:tblPr>
      <w:tblGrid>
        <w:gridCol w:w="2197"/>
        <w:gridCol w:w="1630"/>
        <w:gridCol w:w="1984"/>
        <w:gridCol w:w="3261"/>
      </w:tblGrid>
      <w:tr w:rsidR="00164E79" w:rsidRPr="00CC466B" w14:paraId="4CBC4313" w14:textId="77777777" w:rsidTr="00CC466B">
        <w:trPr>
          <w:trHeight w:val="378"/>
        </w:trPr>
        <w:tc>
          <w:tcPr>
            <w:tcW w:w="3827" w:type="dxa"/>
            <w:gridSpan w:val="2"/>
            <w:shd w:val="clear" w:color="auto" w:fill="BFBFBF" w:themeFill="background1" w:themeFillShade="BF"/>
            <w:vAlign w:val="center"/>
          </w:tcPr>
          <w:p w14:paraId="3C39EE1E" w14:textId="77777777" w:rsidR="00164E79" w:rsidRPr="00CC466B" w:rsidRDefault="00164E79" w:rsidP="00CC466B">
            <w:pPr>
              <w:pStyle w:val="TableParagraph"/>
              <w:keepNext/>
              <w:ind w:left="295" w:right="266"/>
              <w:jc w:val="center"/>
              <w:rPr>
                <w:rFonts w:cs="Arial"/>
                <w:b/>
                <w:szCs w:val="18"/>
              </w:rPr>
            </w:pPr>
            <w:r w:rsidRPr="00CC466B">
              <w:rPr>
                <w:rFonts w:cs="Arial"/>
                <w:b/>
                <w:szCs w:val="18"/>
              </w:rPr>
              <w:t>AMBT Expansion “E” (%)</w:t>
            </w:r>
          </w:p>
        </w:tc>
        <w:tc>
          <w:tcPr>
            <w:tcW w:w="1984" w:type="dxa"/>
            <w:vMerge w:val="restart"/>
            <w:shd w:val="clear" w:color="auto" w:fill="BFBFBF" w:themeFill="background1" w:themeFillShade="BF"/>
            <w:vAlign w:val="center"/>
          </w:tcPr>
          <w:p w14:paraId="0AFAC71F" w14:textId="77777777" w:rsidR="00164E79" w:rsidRPr="00CC466B" w:rsidRDefault="00164E79" w:rsidP="00CC466B">
            <w:pPr>
              <w:pStyle w:val="TableParagraph"/>
              <w:keepNext/>
              <w:ind w:left="295" w:right="266"/>
              <w:jc w:val="center"/>
              <w:rPr>
                <w:rFonts w:cs="Arial"/>
                <w:b/>
                <w:szCs w:val="18"/>
              </w:rPr>
            </w:pPr>
            <w:r w:rsidRPr="00CC466B">
              <w:rPr>
                <w:rFonts w:cs="Arial"/>
                <w:b/>
                <w:szCs w:val="18"/>
              </w:rPr>
              <w:t>AMBT</w:t>
            </w:r>
          </w:p>
          <w:p w14:paraId="1570C1DA" w14:textId="51B5A5AF" w:rsidR="00164E79" w:rsidRPr="00CC466B" w:rsidRDefault="00164E79" w:rsidP="00CC466B">
            <w:pPr>
              <w:pStyle w:val="TableParagraph"/>
              <w:keepNext/>
              <w:ind w:left="295" w:right="266"/>
              <w:jc w:val="center"/>
              <w:rPr>
                <w:rFonts w:cs="Arial"/>
                <w:b/>
                <w:szCs w:val="18"/>
              </w:rPr>
            </w:pPr>
            <w:r w:rsidRPr="00CC466B">
              <w:rPr>
                <w:rFonts w:cs="Arial"/>
                <w:b/>
                <w:szCs w:val="18"/>
              </w:rPr>
              <w:t>Classification</w:t>
            </w:r>
          </w:p>
        </w:tc>
        <w:tc>
          <w:tcPr>
            <w:tcW w:w="3261" w:type="dxa"/>
            <w:vMerge w:val="restart"/>
            <w:shd w:val="clear" w:color="auto" w:fill="BFBFBF" w:themeFill="background1" w:themeFillShade="BF"/>
            <w:vAlign w:val="center"/>
          </w:tcPr>
          <w:p w14:paraId="21C99094" w14:textId="56D3D90F" w:rsidR="00164E79" w:rsidRPr="00CC466B" w:rsidRDefault="00164E79" w:rsidP="00CC466B">
            <w:pPr>
              <w:pStyle w:val="TableParagraph"/>
              <w:keepNext/>
              <w:ind w:left="295" w:right="266"/>
              <w:jc w:val="center"/>
              <w:rPr>
                <w:rFonts w:cs="Arial"/>
                <w:b/>
                <w:szCs w:val="18"/>
              </w:rPr>
            </w:pPr>
            <w:r w:rsidRPr="00CC466B">
              <w:rPr>
                <w:rFonts w:cs="Arial"/>
                <w:b/>
                <w:szCs w:val="18"/>
              </w:rPr>
              <w:t>Action</w:t>
            </w:r>
          </w:p>
        </w:tc>
      </w:tr>
      <w:tr w:rsidR="00164E79" w:rsidRPr="00CC466B" w14:paraId="0F3E90FA" w14:textId="77777777" w:rsidTr="00CC466B">
        <w:trPr>
          <w:trHeight w:val="371"/>
        </w:trPr>
        <w:tc>
          <w:tcPr>
            <w:tcW w:w="2197" w:type="dxa"/>
            <w:shd w:val="clear" w:color="auto" w:fill="BFBFBF" w:themeFill="background1" w:themeFillShade="BF"/>
            <w:vAlign w:val="center"/>
          </w:tcPr>
          <w:p w14:paraId="6D660A6A" w14:textId="77777777" w:rsidR="00164E79" w:rsidRPr="00CC466B" w:rsidRDefault="00164E79" w:rsidP="00CC466B">
            <w:pPr>
              <w:pStyle w:val="TableParagraph"/>
              <w:keepNext/>
              <w:ind w:left="295" w:right="266"/>
              <w:jc w:val="center"/>
              <w:rPr>
                <w:rFonts w:cs="Arial"/>
                <w:b/>
                <w:szCs w:val="18"/>
              </w:rPr>
            </w:pPr>
            <w:r w:rsidRPr="00CC466B">
              <w:rPr>
                <w:rFonts w:cs="Arial"/>
                <w:b/>
                <w:szCs w:val="18"/>
              </w:rPr>
              <w:t>At 10 days</w:t>
            </w:r>
          </w:p>
        </w:tc>
        <w:tc>
          <w:tcPr>
            <w:tcW w:w="1630" w:type="dxa"/>
            <w:shd w:val="clear" w:color="auto" w:fill="BFBFBF" w:themeFill="background1" w:themeFillShade="BF"/>
            <w:vAlign w:val="center"/>
          </w:tcPr>
          <w:p w14:paraId="7EAA6E87" w14:textId="77777777" w:rsidR="00164E79" w:rsidRPr="00CC466B" w:rsidRDefault="00164E79" w:rsidP="00CC466B">
            <w:pPr>
              <w:pStyle w:val="TableParagraph"/>
              <w:keepNext/>
              <w:ind w:left="295" w:right="266"/>
              <w:jc w:val="center"/>
              <w:rPr>
                <w:rFonts w:cs="Arial"/>
                <w:b/>
                <w:szCs w:val="18"/>
              </w:rPr>
            </w:pPr>
            <w:r w:rsidRPr="00CC466B">
              <w:rPr>
                <w:rFonts w:cs="Arial"/>
                <w:b/>
                <w:szCs w:val="18"/>
              </w:rPr>
              <w:t>At 21 days</w:t>
            </w:r>
          </w:p>
        </w:tc>
        <w:tc>
          <w:tcPr>
            <w:tcW w:w="1984" w:type="dxa"/>
            <w:vMerge/>
            <w:shd w:val="clear" w:color="auto" w:fill="BFBFBF" w:themeFill="background1" w:themeFillShade="BF"/>
            <w:vAlign w:val="center"/>
          </w:tcPr>
          <w:p w14:paraId="6B5F3224" w14:textId="00650C67" w:rsidR="00164E79" w:rsidRPr="00CC466B" w:rsidRDefault="00164E79" w:rsidP="00CC466B">
            <w:pPr>
              <w:pStyle w:val="TableParagraph"/>
              <w:keepNext/>
              <w:ind w:left="295" w:right="266"/>
              <w:jc w:val="center"/>
              <w:rPr>
                <w:rFonts w:cs="Arial"/>
                <w:b/>
                <w:szCs w:val="18"/>
              </w:rPr>
            </w:pPr>
          </w:p>
        </w:tc>
        <w:tc>
          <w:tcPr>
            <w:tcW w:w="3261" w:type="dxa"/>
            <w:vMerge/>
            <w:shd w:val="clear" w:color="auto" w:fill="BFBFBF" w:themeFill="background1" w:themeFillShade="BF"/>
            <w:vAlign w:val="center"/>
          </w:tcPr>
          <w:p w14:paraId="3E138E15" w14:textId="166423E0" w:rsidR="00164E79" w:rsidRPr="00CC466B" w:rsidRDefault="00164E79" w:rsidP="00CC466B">
            <w:pPr>
              <w:pStyle w:val="TableParagraph"/>
              <w:keepNext/>
              <w:ind w:left="295" w:right="266"/>
              <w:jc w:val="center"/>
              <w:rPr>
                <w:rFonts w:cs="Arial"/>
                <w:b/>
                <w:szCs w:val="18"/>
              </w:rPr>
            </w:pPr>
          </w:p>
        </w:tc>
      </w:tr>
      <w:tr w:rsidR="003C65DF" w:rsidRPr="00CC466B" w14:paraId="75EF309A" w14:textId="77777777" w:rsidTr="00CC466B">
        <w:trPr>
          <w:trHeight w:val="50"/>
        </w:trPr>
        <w:tc>
          <w:tcPr>
            <w:tcW w:w="2197" w:type="dxa"/>
            <w:shd w:val="clear" w:color="auto" w:fill="D9D9D9" w:themeFill="background1" w:themeFillShade="D9"/>
          </w:tcPr>
          <w:p w14:paraId="6E4C7606" w14:textId="77777777" w:rsidR="003C65DF" w:rsidRPr="00CC466B" w:rsidRDefault="003C65DF" w:rsidP="00CC466B">
            <w:pPr>
              <w:pStyle w:val="TableParagraph"/>
              <w:keepNext/>
              <w:ind w:left="254" w:right="237"/>
              <w:jc w:val="center"/>
              <w:rPr>
                <w:rFonts w:cs="Arial"/>
                <w:szCs w:val="18"/>
              </w:rPr>
            </w:pPr>
            <w:r w:rsidRPr="00CC466B">
              <w:rPr>
                <w:rFonts w:cs="Arial"/>
                <w:i/>
                <w:w w:val="105"/>
                <w:szCs w:val="18"/>
              </w:rPr>
              <w:t xml:space="preserve">E </w:t>
            </w:r>
            <w:r w:rsidRPr="00CC466B">
              <w:rPr>
                <w:rFonts w:cs="Arial"/>
                <w:w w:val="105"/>
                <w:szCs w:val="18"/>
              </w:rPr>
              <w:t xml:space="preserve">&lt; 0.10 </w:t>
            </w:r>
            <w:r w:rsidRPr="00CC466B">
              <w:rPr>
                <w:rFonts w:cs="Arial"/>
                <w:w w:val="105"/>
                <w:szCs w:val="18"/>
                <w:vertAlign w:val="superscript"/>
              </w:rPr>
              <w:t>(1)</w:t>
            </w:r>
          </w:p>
        </w:tc>
        <w:tc>
          <w:tcPr>
            <w:tcW w:w="1630" w:type="dxa"/>
            <w:shd w:val="clear" w:color="auto" w:fill="D9D9D9" w:themeFill="background1" w:themeFillShade="D9"/>
          </w:tcPr>
          <w:p w14:paraId="0658AEA8" w14:textId="77777777" w:rsidR="003C65DF" w:rsidRPr="00CC466B" w:rsidRDefault="003C65DF" w:rsidP="00CC466B">
            <w:pPr>
              <w:pStyle w:val="TableParagraph"/>
              <w:keepNext/>
              <w:ind w:left="7" w:right="113"/>
              <w:jc w:val="center"/>
              <w:rPr>
                <w:rFonts w:cs="Arial"/>
                <w:szCs w:val="18"/>
              </w:rPr>
            </w:pPr>
            <w:r w:rsidRPr="00CC466B">
              <w:rPr>
                <w:rFonts w:cs="Arial"/>
                <w:i/>
                <w:w w:val="105"/>
                <w:szCs w:val="18"/>
              </w:rPr>
              <w:t>E &lt;</w:t>
            </w:r>
            <w:r w:rsidRPr="00CC466B">
              <w:rPr>
                <w:rFonts w:cs="Arial"/>
                <w:w w:val="105"/>
                <w:szCs w:val="18"/>
              </w:rPr>
              <w:t xml:space="preserve"> 0.10 </w:t>
            </w:r>
            <w:r w:rsidRPr="00CC466B">
              <w:rPr>
                <w:rFonts w:cs="Arial"/>
                <w:w w:val="105"/>
                <w:szCs w:val="18"/>
                <w:vertAlign w:val="superscript"/>
              </w:rPr>
              <w:t>(1)</w:t>
            </w:r>
          </w:p>
        </w:tc>
        <w:tc>
          <w:tcPr>
            <w:tcW w:w="1984" w:type="dxa"/>
            <w:shd w:val="clear" w:color="auto" w:fill="D9D9D9" w:themeFill="background1" w:themeFillShade="D9"/>
          </w:tcPr>
          <w:p w14:paraId="13311ADB" w14:textId="4B8A6499" w:rsidR="003C65DF" w:rsidRPr="00CC466B" w:rsidRDefault="003C65DF" w:rsidP="00CC466B">
            <w:pPr>
              <w:pStyle w:val="TableParagraph"/>
              <w:keepNext/>
              <w:ind w:left="295" w:right="262"/>
              <w:jc w:val="center"/>
              <w:rPr>
                <w:rFonts w:cs="Arial"/>
                <w:szCs w:val="18"/>
              </w:rPr>
            </w:pPr>
            <w:r w:rsidRPr="00CC466B">
              <w:rPr>
                <w:rFonts w:eastAsiaTheme="minorHAnsi" w:cs="Arial"/>
                <w:szCs w:val="18"/>
              </w:rPr>
              <w:t>Non</w:t>
            </w:r>
            <w:r w:rsidRPr="00CC466B">
              <w:rPr>
                <w:rFonts w:cs="Arial"/>
                <w:szCs w:val="18"/>
              </w:rPr>
              <w:t>-</w:t>
            </w:r>
            <w:r w:rsidR="00400184" w:rsidRPr="00CC466B">
              <w:rPr>
                <w:rFonts w:cs="Arial"/>
                <w:szCs w:val="18"/>
              </w:rPr>
              <w:t>Reactive</w:t>
            </w:r>
          </w:p>
        </w:tc>
        <w:tc>
          <w:tcPr>
            <w:tcW w:w="3261" w:type="dxa"/>
            <w:shd w:val="clear" w:color="auto" w:fill="D9D9D9" w:themeFill="background1" w:themeFillShade="D9"/>
          </w:tcPr>
          <w:p w14:paraId="5DE00365" w14:textId="176C9161" w:rsidR="003C65DF" w:rsidRPr="00CC466B" w:rsidRDefault="003C65DF" w:rsidP="00CC466B">
            <w:pPr>
              <w:pStyle w:val="TableParagraph"/>
              <w:keepNext/>
              <w:ind w:left="114"/>
              <w:rPr>
                <w:rFonts w:cs="Arial"/>
                <w:szCs w:val="18"/>
              </w:rPr>
            </w:pPr>
            <w:r w:rsidRPr="00CC466B">
              <w:rPr>
                <w:rFonts w:eastAsiaTheme="minorHAnsi" w:cs="Arial"/>
                <w:szCs w:val="18"/>
              </w:rPr>
              <w:t>No</w:t>
            </w:r>
            <w:r w:rsidR="008E7545" w:rsidRPr="00CC466B">
              <w:rPr>
                <w:rFonts w:eastAsiaTheme="minorHAnsi" w:cs="Arial"/>
                <w:szCs w:val="18"/>
              </w:rPr>
              <w:t xml:space="preserve"> further testing </w:t>
            </w:r>
            <w:r w:rsidRPr="00CC466B">
              <w:rPr>
                <w:rFonts w:eastAsiaTheme="minorHAnsi" w:cs="Arial"/>
                <w:szCs w:val="18"/>
              </w:rPr>
              <w:t>required</w:t>
            </w:r>
            <w:r w:rsidRPr="00CC466B">
              <w:rPr>
                <w:rFonts w:cs="Arial"/>
                <w:w w:val="105"/>
                <w:szCs w:val="18"/>
              </w:rPr>
              <w:t xml:space="preserve"> </w:t>
            </w:r>
            <w:r w:rsidRPr="00CC466B">
              <w:rPr>
                <w:rFonts w:cs="Arial"/>
                <w:w w:val="105"/>
                <w:szCs w:val="18"/>
                <w:vertAlign w:val="superscript"/>
              </w:rPr>
              <w:t>(2).</w:t>
            </w:r>
          </w:p>
        </w:tc>
      </w:tr>
      <w:tr w:rsidR="00A67E81" w:rsidRPr="00CC466B" w14:paraId="11B3AB7A" w14:textId="77777777" w:rsidTr="00CC466B">
        <w:trPr>
          <w:trHeight w:val="850"/>
        </w:trPr>
        <w:tc>
          <w:tcPr>
            <w:tcW w:w="2197" w:type="dxa"/>
            <w:shd w:val="clear" w:color="auto" w:fill="D9D9D9" w:themeFill="background1" w:themeFillShade="D9"/>
          </w:tcPr>
          <w:p w14:paraId="742867E6" w14:textId="77777777" w:rsidR="00A67E81" w:rsidRPr="00CC466B" w:rsidRDefault="00A67E81" w:rsidP="00CC466B">
            <w:pPr>
              <w:pStyle w:val="TableParagraph"/>
              <w:keepNext/>
              <w:ind w:left="254" w:right="237"/>
              <w:jc w:val="center"/>
              <w:rPr>
                <w:rFonts w:cs="Arial"/>
                <w:szCs w:val="18"/>
              </w:rPr>
            </w:pPr>
            <w:r w:rsidRPr="00CC466B">
              <w:rPr>
                <w:rFonts w:cs="Arial"/>
                <w:i/>
                <w:w w:val="105"/>
                <w:szCs w:val="18"/>
              </w:rPr>
              <w:t>E &lt;</w:t>
            </w:r>
            <w:r w:rsidRPr="00CC466B">
              <w:rPr>
                <w:rFonts w:cs="Arial"/>
                <w:w w:val="105"/>
                <w:szCs w:val="18"/>
              </w:rPr>
              <w:t xml:space="preserve"> 0.10 </w:t>
            </w:r>
            <w:r w:rsidRPr="00CC466B">
              <w:rPr>
                <w:rFonts w:cs="Arial"/>
                <w:w w:val="105"/>
                <w:szCs w:val="18"/>
                <w:vertAlign w:val="superscript"/>
              </w:rPr>
              <w:t>(1)</w:t>
            </w:r>
          </w:p>
        </w:tc>
        <w:tc>
          <w:tcPr>
            <w:tcW w:w="1630" w:type="dxa"/>
            <w:shd w:val="clear" w:color="auto" w:fill="D9D9D9" w:themeFill="background1" w:themeFillShade="D9"/>
          </w:tcPr>
          <w:p w14:paraId="4D26C862" w14:textId="35ADCDD7" w:rsidR="00A67E81" w:rsidRPr="00CC466B" w:rsidRDefault="00A67E81" w:rsidP="00CC466B">
            <w:pPr>
              <w:pStyle w:val="TableParagraph"/>
              <w:keepNext/>
              <w:ind w:left="7" w:right="112"/>
              <w:jc w:val="center"/>
              <w:rPr>
                <w:rFonts w:cs="Arial"/>
                <w:szCs w:val="18"/>
              </w:rPr>
            </w:pPr>
            <w:r w:rsidRPr="00CC466B">
              <w:rPr>
                <w:rFonts w:cs="Arial"/>
                <w:szCs w:val="18"/>
              </w:rPr>
              <w:t>0.1</w:t>
            </w:r>
            <w:r w:rsidRPr="00CC466B">
              <w:rPr>
                <w:rFonts w:cs="Arial"/>
                <w:w w:val="105"/>
                <w:szCs w:val="18"/>
              </w:rPr>
              <w:t xml:space="preserve"> </w:t>
            </w:r>
            <w:r w:rsidRPr="00CC466B">
              <w:rPr>
                <w:rFonts w:cs="Arial"/>
                <w:w w:val="105"/>
                <w:szCs w:val="18"/>
                <w:vertAlign w:val="superscript"/>
              </w:rPr>
              <w:t>(1)</w:t>
            </w:r>
            <w:r w:rsidRPr="00CC466B">
              <w:rPr>
                <w:rFonts w:cs="Arial"/>
                <w:szCs w:val="18"/>
              </w:rPr>
              <w:t xml:space="preserve"> ≤ </w:t>
            </w:r>
            <w:r w:rsidRPr="00CC466B">
              <w:rPr>
                <w:rFonts w:cs="Arial"/>
                <w:i/>
                <w:szCs w:val="18"/>
              </w:rPr>
              <w:t xml:space="preserve">E </w:t>
            </w:r>
            <w:r w:rsidRPr="00CC466B">
              <w:rPr>
                <w:rFonts w:cs="Arial"/>
                <w:szCs w:val="18"/>
              </w:rPr>
              <w:t>&lt; 0.30</w:t>
            </w:r>
          </w:p>
        </w:tc>
        <w:tc>
          <w:tcPr>
            <w:tcW w:w="1984" w:type="dxa"/>
            <w:shd w:val="clear" w:color="auto" w:fill="D9D9D9" w:themeFill="background1" w:themeFillShade="D9"/>
          </w:tcPr>
          <w:p w14:paraId="63E22BBF" w14:textId="5F2E23E1" w:rsidR="00A67E81" w:rsidRPr="00CC466B" w:rsidRDefault="00A67E81" w:rsidP="00CC466B">
            <w:pPr>
              <w:pStyle w:val="TableParagraph"/>
              <w:keepNext/>
              <w:ind w:left="295" w:right="266"/>
              <w:jc w:val="center"/>
              <w:rPr>
                <w:rFonts w:cs="Arial"/>
                <w:szCs w:val="18"/>
              </w:rPr>
            </w:pPr>
            <w:r w:rsidRPr="00CC466B">
              <w:rPr>
                <w:rFonts w:eastAsiaTheme="minorHAnsi" w:cs="Arial"/>
                <w:szCs w:val="18"/>
              </w:rPr>
              <w:t>Slowly</w:t>
            </w:r>
            <w:r w:rsidRPr="00CC466B">
              <w:rPr>
                <w:rFonts w:cs="Arial"/>
                <w:szCs w:val="18"/>
              </w:rPr>
              <w:t xml:space="preserve"> </w:t>
            </w:r>
            <w:r w:rsidR="00400184" w:rsidRPr="00CC466B">
              <w:rPr>
                <w:rFonts w:cs="Arial"/>
                <w:szCs w:val="18"/>
              </w:rPr>
              <w:t>Reactive</w:t>
            </w:r>
          </w:p>
        </w:tc>
        <w:tc>
          <w:tcPr>
            <w:tcW w:w="3261" w:type="dxa"/>
            <w:shd w:val="clear" w:color="auto" w:fill="D9D9D9" w:themeFill="background1" w:themeFillShade="D9"/>
          </w:tcPr>
          <w:p w14:paraId="2C8CC6CF" w14:textId="66E619FA" w:rsidR="00A67E81" w:rsidRPr="00CC466B" w:rsidRDefault="00573657" w:rsidP="00CC466B">
            <w:pPr>
              <w:pStyle w:val="TableParagraph"/>
              <w:keepNext/>
              <w:ind w:left="114"/>
              <w:rPr>
                <w:rFonts w:eastAsiaTheme="minorHAnsi" w:cs="Arial"/>
                <w:szCs w:val="18"/>
              </w:rPr>
            </w:pPr>
            <w:r w:rsidRPr="00CC466B">
              <w:rPr>
                <w:rFonts w:eastAsiaTheme="minorHAnsi" w:cs="Arial"/>
                <w:szCs w:val="18"/>
              </w:rPr>
              <w:t>F</w:t>
            </w:r>
            <w:r w:rsidR="0049322D" w:rsidRPr="00CC466B">
              <w:rPr>
                <w:rFonts w:eastAsiaTheme="minorHAnsi" w:cs="Arial"/>
                <w:szCs w:val="18"/>
              </w:rPr>
              <w:t>urther test</w:t>
            </w:r>
            <w:r w:rsidR="004C3C28" w:rsidRPr="00CC466B">
              <w:rPr>
                <w:rFonts w:eastAsiaTheme="minorHAnsi" w:cs="Arial"/>
                <w:szCs w:val="18"/>
              </w:rPr>
              <w:t xml:space="preserve">ing </w:t>
            </w:r>
            <w:r w:rsidR="00913D6A" w:rsidRPr="00CC466B">
              <w:rPr>
                <w:rFonts w:eastAsiaTheme="minorHAnsi" w:cs="Arial"/>
                <w:szCs w:val="18"/>
              </w:rPr>
              <w:t>i</w:t>
            </w:r>
            <w:r w:rsidR="001C480A" w:rsidRPr="00CC466B">
              <w:rPr>
                <w:rFonts w:eastAsiaTheme="minorHAnsi" w:cs="Arial"/>
                <w:szCs w:val="18"/>
              </w:rPr>
              <w:t>s</w:t>
            </w:r>
            <w:r w:rsidR="00913D6A" w:rsidRPr="00CC466B">
              <w:rPr>
                <w:rFonts w:eastAsiaTheme="minorHAnsi" w:cs="Arial"/>
                <w:szCs w:val="18"/>
              </w:rPr>
              <w:t xml:space="preserve"> </w:t>
            </w:r>
            <w:r w:rsidR="004C3C28" w:rsidRPr="00CC466B">
              <w:rPr>
                <w:rFonts w:eastAsiaTheme="minorHAnsi" w:cs="Arial"/>
                <w:szCs w:val="18"/>
              </w:rPr>
              <w:t xml:space="preserve">not mandatory </w:t>
            </w:r>
            <w:r w:rsidR="0049322D" w:rsidRPr="00CC466B">
              <w:rPr>
                <w:rFonts w:eastAsiaTheme="minorHAnsi" w:cs="Arial"/>
                <w:szCs w:val="18"/>
              </w:rPr>
              <w:t xml:space="preserve">if blended </w:t>
            </w:r>
            <w:r w:rsidR="00913D6A" w:rsidRPr="00CC466B">
              <w:rPr>
                <w:rFonts w:eastAsiaTheme="minorHAnsi" w:cs="Arial"/>
                <w:szCs w:val="18"/>
              </w:rPr>
              <w:t xml:space="preserve">cement is </w:t>
            </w:r>
            <w:r w:rsidRPr="00CC466B">
              <w:rPr>
                <w:rFonts w:eastAsiaTheme="minorHAnsi" w:cs="Arial"/>
                <w:szCs w:val="18"/>
              </w:rPr>
              <w:t xml:space="preserve">used in accordance with </w:t>
            </w:r>
            <w:r w:rsidR="001A5C95" w:rsidRPr="00CC466B">
              <w:rPr>
                <w:rFonts w:eastAsiaTheme="minorHAnsi" w:cs="Arial"/>
                <w:szCs w:val="18"/>
              </w:rPr>
              <w:fldChar w:fldCharType="begin"/>
            </w:r>
            <w:r w:rsidR="001A5C95" w:rsidRPr="00CC466B">
              <w:rPr>
                <w:rFonts w:eastAsiaTheme="minorHAnsi" w:cs="Arial"/>
                <w:szCs w:val="18"/>
              </w:rPr>
              <w:instrText xml:space="preserve"> REF _Ref124512151 \h </w:instrText>
            </w:r>
            <w:r w:rsidR="001A5C95" w:rsidRPr="00CC466B">
              <w:rPr>
                <w:rFonts w:eastAsiaTheme="minorHAnsi" w:cs="Arial"/>
                <w:szCs w:val="18"/>
              </w:rPr>
            </w:r>
            <w:r w:rsidR="00CC466B">
              <w:rPr>
                <w:rFonts w:eastAsiaTheme="minorHAnsi" w:cs="Arial"/>
                <w:szCs w:val="18"/>
              </w:rPr>
              <w:instrText xml:space="preserve"> \* MERGEFORMAT </w:instrText>
            </w:r>
            <w:r w:rsidR="001A5C95" w:rsidRPr="00CC466B">
              <w:rPr>
                <w:rFonts w:eastAsiaTheme="minorHAnsi" w:cs="Arial"/>
                <w:szCs w:val="18"/>
              </w:rPr>
              <w:fldChar w:fldCharType="separate"/>
            </w:r>
            <w:r w:rsidR="001A5C95" w:rsidRPr="00CC466B">
              <w:rPr>
                <w:szCs w:val="18"/>
              </w:rPr>
              <w:t xml:space="preserve">Table </w:t>
            </w:r>
            <w:r w:rsidR="001A5C95" w:rsidRPr="00CC466B">
              <w:rPr>
                <w:noProof/>
                <w:szCs w:val="18"/>
              </w:rPr>
              <w:t>9</w:t>
            </w:r>
            <w:r w:rsidR="001A5C95" w:rsidRPr="00CC466B">
              <w:rPr>
                <w:szCs w:val="18"/>
              </w:rPr>
              <w:t>.</w:t>
            </w:r>
            <w:r w:rsidR="001A5C95" w:rsidRPr="00CC466B">
              <w:rPr>
                <w:noProof/>
                <w:szCs w:val="18"/>
              </w:rPr>
              <w:t>1</w:t>
            </w:r>
            <w:r w:rsidR="001A5C95" w:rsidRPr="00CC466B">
              <w:rPr>
                <w:rFonts w:eastAsiaTheme="minorHAnsi" w:cs="Arial"/>
                <w:szCs w:val="18"/>
              </w:rPr>
              <w:fldChar w:fldCharType="end"/>
            </w:r>
            <w:r w:rsidRPr="00CC466B">
              <w:rPr>
                <w:rFonts w:eastAsiaTheme="minorHAnsi" w:cs="Arial"/>
                <w:szCs w:val="18"/>
              </w:rPr>
              <w:t>.</w:t>
            </w:r>
          </w:p>
          <w:p w14:paraId="1C555BE9" w14:textId="47A040D9" w:rsidR="00573657" w:rsidRPr="00CC466B" w:rsidRDefault="00A60573" w:rsidP="00CC466B">
            <w:pPr>
              <w:pStyle w:val="TableParagraph"/>
              <w:keepNext/>
              <w:ind w:left="114"/>
              <w:rPr>
                <w:rFonts w:eastAsiaTheme="minorHAnsi" w:cs="Arial"/>
                <w:szCs w:val="18"/>
              </w:rPr>
            </w:pPr>
            <w:r w:rsidRPr="00CC466B">
              <w:rPr>
                <w:rFonts w:eastAsiaTheme="minorHAnsi" w:cs="Arial"/>
                <w:szCs w:val="18"/>
              </w:rPr>
              <w:t>Otherwise</w:t>
            </w:r>
            <w:r w:rsidR="00F86219" w:rsidRPr="00CC466B">
              <w:rPr>
                <w:rFonts w:eastAsiaTheme="minorHAnsi" w:cs="Arial"/>
                <w:szCs w:val="18"/>
              </w:rPr>
              <w:t>,</w:t>
            </w:r>
            <w:r w:rsidRPr="00CC466B">
              <w:rPr>
                <w:rFonts w:eastAsiaTheme="minorHAnsi" w:cs="Arial"/>
                <w:szCs w:val="18"/>
              </w:rPr>
              <w:t xml:space="preserve"> carry</w:t>
            </w:r>
            <w:r w:rsidR="00EC4011" w:rsidRPr="00CC466B">
              <w:rPr>
                <w:szCs w:val="18"/>
              </w:rPr>
              <w:t xml:space="preserve"> </w:t>
            </w:r>
            <w:r w:rsidR="00EC4011" w:rsidRPr="00CC466B">
              <w:rPr>
                <w:rFonts w:eastAsiaTheme="minorHAnsi" w:cs="Arial"/>
                <w:szCs w:val="18"/>
              </w:rPr>
              <w:t xml:space="preserve">out CPT </w:t>
            </w:r>
            <w:r w:rsidR="00454E0C" w:rsidRPr="00CC466B">
              <w:rPr>
                <w:rFonts w:eastAsiaTheme="minorHAnsi" w:cs="Arial"/>
                <w:szCs w:val="18"/>
              </w:rPr>
              <w:t xml:space="preserve">in accordance with Clause </w:t>
            </w:r>
            <w:r w:rsidR="00454E0C" w:rsidRPr="00CC466B">
              <w:rPr>
                <w:rFonts w:eastAsiaTheme="minorHAnsi" w:cs="Arial"/>
                <w:szCs w:val="18"/>
              </w:rPr>
              <w:fldChar w:fldCharType="begin"/>
            </w:r>
            <w:r w:rsidR="00454E0C" w:rsidRPr="00CC466B">
              <w:rPr>
                <w:rFonts w:eastAsiaTheme="minorHAnsi" w:cs="Arial"/>
                <w:szCs w:val="18"/>
              </w:rPr>
              <w:instrText xml:space="preserve"> REF _Ref91079268 \r \h </w:instrText>
            </w:r>
            <w:r w:rsidR="001F1C0F" w:rsidRPr="00CC466B">
              <w:rPr>
                <w:rFonts w:eastAsiaTheme="minorHAnsi" w:cs="Arial"/>
                <w:szCs w:val="18"/>
              </w:rPr>
              <w:instrText xml:space="preserve"> \* MERGEFORMAT </w:instrText>
            </w:r>
            <w:r w:rsidR="00454E0C" w:rsidRPr="00CC466B">
              <w:rPr>
                <w:rFonts w:eastAsiaTheme="minorHAnsi" w:cs="Arial"/>
                <w:szCs w:val="18"/>
              </w:rPr>
            </w:r>
            <w:r w:rsidR="00454E0C" w:rsidRPr="00CC466B">
              <w:rPr>
                <w:rFonts w:eastAsiaTheme="minorHAnsi" w:cs="Arial"/>
                <w:szCs w:val="18"/>
              </w:rPr>
              <w:fldChar w:fldCharType="separate"/>
            </w:r>
            <w:r w:rsidR="0071215B" w:rsidRPr="00CC466B">
              <w:rPr>
                <w:rFonts w:eastAsiaTheme="minorHAnsi" w:cs="Arial"/>
                <w:szCs w:val="18"/>
              </w:rPr>
              <w:t>8</w:t>
            </w:r>
            <w:r w:rsidR="00454E0C" w:rsidRPr="00CC466B">
              <w:rPr>
                <w:rFonts w:eastAsiaTheme="minorHAnsi" w:cs="Arial"/>
                <w:szCs w:val="18"/>
              </w:rPr>
              <w:fldChar w:fldCharType="end"/>
            </w:r>
            <w:r w:rsidR="00454E0C" w:rsidRPr="00CC466B">
              <w:rPr>
                <w:rFonts w:eastAsiaTheme="minorHAnsi" w:cs="Arial"/>
                <w:szCs w:val="18"/>
              </w:rPr>
              <w:t>.</w:t>
            </w:r>
          </w:p>
        </w:tc>
      </w:tr>
      <w:tr w:rsidR="00CF716F" w:rsidRPr="00CC466B" w14:paraId="1EAD2CB8" w14:textId="77777777" w:rsidTr="00CC466B">
        <w:trPr>
          <w:trHeight w:val="344"/>
        </w:trPr>
        <w:tc>
          <w:tcPr>
            <w:tcW w:w="2197" w:type="dxa"/>
            <w:shd w:val="clear" w:color="auto" w:fill="D9D9D9" w:themeFill="background1" w:themeFillShade="D9"/>
          </w:tcPr>
          <w:p w14:paraId="50645448" w14:textId="77777777" w:rsidR="00CF716F" w:rsidRPr="00CC466B" w:rsidRDefault="00CF716F" w:rsidP="00CC466B">
            <w:pPr>
              <w:pStyle w:val="TableParagraph"/>
              <w:keepNext/>
              <w:ind w:left="254" w:right="237"/>
              <w:jc w:val="center"/>
              <w:rPr>
                <w:rFonts w:cs="Arial"/>
                <w:i/>
                <w:w w:val="105"/>
                <w:szCs w:val="18"/>
              </w:rPr>
            </w:pPr>
            <w:r w:rsidRPr="00CC466B">
              <w:rPr>
                <w:rFonts w:cs="Arial"/>
                <w:i/>
                <w:w w:val="105"/>
                <w:szCs w:val="18"/>
              </w:rPr>
              <w:t xml:space="preserve">E </w:t>
            </w:r>
            <w:r w:rsidRPr="00CC466B">
              <w:rPr>
                <w:rFonts w:cs="Arial"/>
                <w:w w:val="105"/>
                <w:szCs w:val="18"/>
              </w:rPr>
              <w:t xml:space="preserve">≥ 0.10 </w:t>
            </w:r>
            <w:r w:rsidRPr="00CC466B">
              <w:rPr>
                <w:rFonts w:cs="Arial"/>
                <w:w w:val="105"/>
                <w:szCs w:val="18"/>
                <w:vertAlign w:val="superscript"/>
              </w:rPr>
              <w:t>(1)</w:t>
            </w:r>
          </w:p>
        </w:tc>
        <w:tc>
          <w:tcPr>
            <w:tcW w:w="1630" w:type="dxa"/>
            <w:shd w:val="clear" w:color="auto" w:fill="D9D9D9" w:themeFill="background1" w:themeFillShade="D9"/>
          </w:tcPr>
          <w:p w14:paraId="49314C69" w14:textId="611DA9B6" w:rsidR="00CF716F" w:rsidRPr="00CC466B" w:rsidRDefault="00CF716F" w:rsidP="00CC466B">
            <w:pPr>
              <w:pStyle w:val="TableParagraph"/>
              <w:keepNext/>
              <w:ind w:left="7" w:right="113"/>
              <w:jc w:val="center"/>
              <w:rPr>
                <w:rFonts w:cs="Arial"/>
                <w:i/>
                <w:szCs w:val="18"/>
              </w:rPr>
            </w:pPr>
          </w:p>
        </w:tc>
        <w:tc>
          <w:tcPr>
            <w:tcW w:w="1984" w:type="dxa"/>
            <w:vMerge w:val="restart"/>
            <w:shd w:val="clear" w:color="auto" w:fill="D9D9D9" w:themeFill="background1" w:themeFillShade="D9"/>
          </w:tcPr>
          <w:p w14:paraId="034D27B9" w14:textId="76F89E28" w:rsidR="00CF716F" w:rsidRPr="00CC466B" w:rsidRDefault="00CF716F" w:rsidP="00CC466B">
            <w:pPr>
              <w:pStyle w:val="TableParagraph"/>
              <w:keepNext/>
              <w:ind w:left="295" w:right="262"/>
              <w:jc w:val="center"/>
              <w:rPr>
                <w:rFonts w:cs="Arial"/>
                <w:szCs w:val="18"/>
              </w:rPr>
            </w:pPr>
            <w:r w:rsidRPr="00CC466B">
              <w:rPr>
                <w:rFonts w:cs="Arial"/>
                <w:szCs w:val="18"/>
              </w:rPr>
              <w:t>Reactive</w:t>
            </w:r>
          </w:p>
        </w:tc>
        <w:tc>
          <w:tcPr>
            <w:tcW w:w="3261" w:type="dxa"/>
            <w:vMerge w:val="restart"/>
            <w:shd w:val="clear" w:color="auto" w:fill="D9D9D9" w:themeFill="background1" w:themeFillShade="D9"/>
          </w:tcPr>
          <w:p w14:paraId="41F993F0" w14:textId="0399734C" w:rsidR="00CF716F" w:rsidRPr="00CC466B" w:rsidRDefault="00CF716F" w:rsidP="00CC466B">
            <w:pPr>
              <w:pStyle w:val="TableParagraph"/>
              <w:keepNext/>
              <w:ind w:left="114"/>
              <w:rPr>
                <w:rFonts w:eastAsiaTheme="minorHAnsi" w:cs="Arial"/>
                <w:szCs w:val="18"/>
              </w:rPr>
            </w:pPr>
            <w:r w:rsidRPr="00CC466B">
              <w:rPr>
                <w:rFonts w:eastAsiaTheme="minorHAnsi" w:cs="Arial"/>
                <w:szCs w:val="18"/>
              </w:rPr>
              <w:t xml:space="preserve">Carry out CPT in accordance with Clause </w:t>
            </w:r>
            <w:r w:rsidRPr="00CC466B">
              <w:rPr>
                <w:rFonts w:eastAsiaTheme="minorHAnsi" w:cs="Arial"/>
                <w:szCs w:val="18"/>
              </w:rPr>
              <w:fldChar w:fldCharType="begin"/>
            </w:r>
            <w:r w:rsidRPr="00CC466B">
              <w:rPr>
                <w:rFonts w:eastAsiaTheme="minorHAnsi" w:cs="Arial"/>
                <w:szCs w:val="18"/>
              </w:rPr>
              <w:instrText xml:space="preserve"> REF _Ref91079268 \r \h </w:instrText>
            </w:r>
            <w:r w:rsidR="001F1C0F" w:rsidRPr="00CC466B">
              <w:rPr>
                <w:rFonts w:eastAsiaTheme="minorHAnsi" w:cs="Arial"/>
                <w:szCs w:val="18"/>
              </w:rPr>
              <w:instrText xml:space="preserve"> \* MERGEFORMAT </w:instrText>
            </w:r>
            <w:r w:rsidRPr="00CC466B">
              <w:rPr>
                <w:rFonts w:eastAsiaTheme="minorHAnsi" w:cs="Arial"/>
                <w:szCs w:val="18"/>
              </w:rPr>
            </w:r>
            <w:r w:rsidRPr="00CC466B">
              <w:rPr>
                <w:rFonts w:eastAsiaTheme="minorHAnsi" w:cs="Arial"/>
                <w:szCs w:val="18"/>
              </w:rPr>
              <w:fldChar w:fldCharType="separate"/>
            </w:r>
            <w:r w:rsidR="0071215B" w:rsidRPr="00CC466B">
              <w:rPr>
                <w:rFonts w:eastAsiaTheme="minorHAnsi" w:cs="Arial"/>
                <w:szCs w:val="18"/>
              </w:rPr>
              <w:t>8</w:t>
            </w:r>
            <w:r w:rsidRPr="00CC466B">
              <w:rPr>
                <w:rFonts w:eastAsiaTheme="minorHAnsi" w:cs="Arial"/>
                <w:szCs w:val="18"/>
              </w:rPr>
              <w:fldChar w:fldCharType="end"/>
            </w:r>
            <w:r w:rsidRPr="00CC466B">
              <w:rPr>
                <w:rFonts w:eastAsiaTheme="minorHAnsi" w:cs="Arial"/>
                <w:szCs w:val="18"/>
              </w:rPr>
              <w:t>.</w:t>
            </w:r>
          </w:p>
        </w:tc>
      </w:tr>
      <w:tr w:rsidR="00CF716F" w:rsidRPr="00CC466B" w14:paraId="624F32D2" w14:textId="77777777" w:rsidTr="00CC466B">
        <w:trPr>
          <w:trHeight w:val="343"/>
        </w:trPr>
        <w:tc>
          <w:tcPr>
            <w:tcW w:w="2197" w:type="dxa"/>
            <w:shd w:val="clear" w:color="auto" w:fill="D9D9D9" w:themeFill="background1" w:themeFillShade="D9"/>
          </w:tcPr>
          <w:p w14:paraId="0B55C3B6" w14:textId="0BF50796" w:rsidR="00CF716F" w:rsidRPr="00CC466B" w:rsidRDefault="005477CD" w:rsidP="006C2F7B">
            <w:pPr>
              <w:pStyle w:val="TableParagraph"/>
              <w:ind w:left="254" w:right="237"/>
              <w:jc w:val="center"/>
              <w:rPr>
                <w:rFonts w:cs="Arial"/>
                <w:iCs/>
                <w:w w:val="105"/>
                <w:szCs w:val="18"/>
              </w:rPr>
            </w:pPr>
            <w:r w:rsidRPr="00CC466B">
              <w:rPr>
                <w:rFonts w:cs="Arial"/>
                <w:iCs/>
                <w:w w:val="105"/>
                <w:szCs w:val="18"/>
              </w:rPr>
              <w:t>Any value</w:t>
            </w:r>
          </w:p>
        </w:tc>
        <w:tc>
          <w:tcPr>
            <w:tcW w:w="1630" w:type="dxa"/>
            <w:shd w:val="clear" w:color="auto" w:fill="D9D9D9" w:themeFill="background1" w:themeFillShade="D9"/>
          </w:tcPr>
          <w:p w14:paraId="030278E7" w14:textId="10213D48" w:rsidR="00CF716F" w:rsidRPr="00CC466B" w:rsidRDefault="00CF716F" w:rsidP="006C2F7B">
            <w:pPr>
              <w:pStyle w:val="TableParagraph"/>
              <w:ind w:left="7" w:right="237"/>
              <w:jc w:val="center"/>
              <w:rPr>
                <w:rFonts w:cs="Arial"/>
                <w:i/>
                <w:w w:val="105"/>
                <w:szCs w:val="18"/>
              </w:rPr>
            </w:pPr>
            <w:r w:rsidRPr="00CC466B">
              <w:rPr>
                <w:rFonts w:cs="Arial"/>
                <w:szCs w:val="18"/>
              </w:rPr>
              <w:t xml:space="preserve">0.3 ≤ </w:t>
            </w:r>
            <w:r w:rsidRPr="00CC466B">
              <w:rPr>
                <w:rFonts w:cs="Arial"/>
                <w:i/>
                <w:szCs w:val="18"/>
              </w:rPr>
              <w:t xml:space="preserve">E </w:t>
            </w:r>
            <w:r w:rsidRPr="00CC466B">
              <w:rPr>
                <w:rFonts w:cs="Arial"/>
                <w:szCs w:val="18"/>
              </w:rPr>
              <w:t>&lt; 0.</w:t>
            </w:r>
            <w:r w:rsidR="004C5F9E" w:rsidRPr="00CC466B">
              <w:rPr>
                <w:rFonts w:cs="Arial"/>
                <w:szCs w:val="18"/>
              </w:rPr>
              <w:t>8</w:t>
            </w:r>
            <w:r w:rsidRPr="00CC466B">
              <w:rPr>
                <w:rFonts w:cs="Arial"/>
                <w:szCs w:val="18"/>
              </w:rPr>
              <w:t>0</w:t>
            </w:r>
          </w:p>
        </w:tc>
        <w:tc>
          <w:tcPr>
            <w:tcW w:w="1984" w:type="dxa"/>
            <w:vMerge/>
            <w:shd w:val="clear" w:color="auto" w:fill="D9D9D9" w:themeFill="background1" w:themeFillShade="D9"/>
          </w:tcPr>
          <w:p w14:paraId="10E4F1DD" w14:textId="77777777" w:rsidR="00CF716F" w:rsidRPr="00CC466B" w:rsidRDefault="00CF716F" w:rsidP="006C2F7B">
            <w:pPr>
              <w:pStyle w:val="TableParagraph"/>
              <w:ind w:left="295" w:right="262"/>
              <w:jc w:val="center"/>
              <w:rPr>
                <w:rFonts w:cs="Arial"/>
                <w:szCs w:val="18"/>
              </w:rPr>
            </w:pPr>
          </w:p>
        </w:tc>
        <w:tc>
          <w:tcPr>
            <w:tcW w:w="3261" w:type="dxa"/>
            <w:vMerge/>
            <w:shd w:val="clear" w:color="auto" w:fill="D9D9D9" w:themeFill="background1" w:themeFillShade="D9"/>
          </w:tcPr>
          <w:p w14:paraId="3A1F6AC1" w14:textId="77777777" w:rsidR="00CF716F" w:rsidRPr="00CC466B" w:rsidRDefault="00CF716F" w:rsidP="006C2F7B">
            <w:pPr>
              <w:pStyle w:val="TableParagraph"/>
              <w:ind w:left="114"/>
              <w:rPr>
                <w:rFonts w:eastAsiaTheme="minorHAnsi" w:cs="Arial"/>
                <w:szCs w:val="18"/>
              </w:rPr>
            </w:pPr>
          </w:p>
        </w:tc>
      </w:tr>
      <w:tr w:rsidR="004C5F9E" w:rsidRPr="00CC466B" w14:paraId="63CD6B83" w14:textId="77777777" w:rsidTr="00CC466B">
        <w:trPr>
          <w:trHeight w:val="396"/>
        </w:trPr>
        <w:tc>
          <w:tcPr>
            <w:tcW w:w="2197" w:type="dxa"/>
            <w:shd w:val="clear" w:color="auto" w:fill="D9D9D9" w:themeFill="background1" w:themeFillShade="D9"/>
          </w:tcPr>
          <w:p w14:paraId="301FBC84" w14:textId="33070CCA" w:rsidR="004C5F9E" w:rsidRPr="00CC466B" w:rsidRDefault="004C5F9E" w:rsidP="006C2F7B">
            <w:pPr>
              <w:pStyle w:val="TableParagraph"/>
              <w:ind w:left="254" w:right="237"/>
              <w:jc w:val="center"/>
              <w:rPr>
                <w:rFonts w:cs="Arial"/>
                <w:i/>
                <w:w w:val="105"/>
                <w:szCs w:val="18"/>
              </w:rPr>
            </w:pPr>
          </w:p>
        </w:tc>
        <w:tc>
          <w:tcPr>
            <w:tcW w:w="1630" w:type="dxa"/>
            <w:shd w:val="clear" w:color="auto" w:fill="D9D9D9" w:themeFill="background1" w:themeFillShade="D9"/>
          </w:tcPr>
          <w:p w14:paraId="4C8FD152" w14:textId="507BFFD9" w:rsidR="004C5F9E" w:rsidRPr="00CC466B" w:rsidRDefault="004C5F9E" w:rsidP="006C2F7B">
            <w:pPr>
              <w:pStyle w:val="TableParagraph"/>
              <w:ind w:left="133" w:right="113"/>
              <w:jc w:val="center"/>
              <w:rPr>
                <w:rFonts w:cs="Arial"/>
                <w:i/>
                <w:szCs w:val="18"/>
              </w:rPr>
            </w:pPr>
            <w:r w:rsidRPr="00CC466B">
              <w:rPr>
                <w:rFonts w:cs="Arial"/>
                <w:i/>
                <w:szCs w:val="18"/>
              </w:rPr>
              <w:t xml:space="preserve">E </w:t>
            </w:r>
            <w:r w:rsidR="005E344E" w:rsidRPr="00CC466B">
              <w:rPr>
                <w:rFonts w:cs="Arial"/>
                <w:iCs/>
                <w:szCs w:val="18"/>
              </w:rPr>
              <w:t>≥</w:t>
            </w:r>
            <w:r w:rsidRPr="00CC466B">
              <w:rPr>
                <w:rFonts w:cs="Arial"/>
                <w:iCs/>
                <w:szCs w:val="18"/>
              </w:rPr>
              <w:t xml:space="preserve"> 0.80</w:t>
            </w:r>
          </w:p>
        </w:tc>
        <w:tc>
          <w:tcPr>
            <w:tcW w:w="1984" w:type="dxa"/>
            <w:shd w:val="clear" w:color="auto" w:fill="D9D9D9" w:themeFill="background1" w:themeFillShade="D9"/>
          </w:tcPr>
          <w:p w14:paraId="445E0790" w14:textId="4A6D49F1" w:rsidR="004C5F9E" w:rsidRPr="00CC466B" w:rsidRDefault="005E344E" w:rsidP="006C2F7B">
            <w:pPr>
              <w:pStyle w:val="TableParagraph"/>
              <w:ind w:left="295" w:right="262"/>
              <w:jc w:val="center"/>
              <w:rPr>
                <w:rFonts w:cs="Arial"/>
                <w:szCs w:val="18"/>
              </w:rPr>
            </w:pPr>
            <w:r w:rsidRPr="00CC466B">
              <w:rPr>
                <w:rFonts w:cs="Arial"/>
                <w:szCs w:val="18"/>
              </w:rPr>
              <w:t xml:space="preserve">Highly </w:t>
            </w:r>
            <w:r w:rsidR="004E0B6A" w:rsidRPr="00CC466B">
              <w:rPr>
                <w:rFonts w:cs="Arial"/>
                <w:szCs w:val="18"/>
              </w:rPr>
              <w:t>R</w:t>
            </w:r>
            <w:r w:rsidRPr="00CC466B">
              <w:rPr>
                <w:rFonts w:cs="Arial"/>
                <w:szCs w:val="18"/>
              </w:rPr>
              <w:t xml:space="preserve">eactive </w:t>
            </w:r>
          </w:p>
        </w:tc>
        <w:tc>
          <w:tcPr>
            <w:tcW w:w="3261" w:type="dxa"/>
            <w:shd w:val="clear" w:color="auto" w:fill="D9D9D9" w:themeFill="background1" w:themeFillShade="D9"/>
          </w:tcPr>
          <w:p w14:paraId="6654F1CE" w14:textId="37AF6DA0" w:rsidR="004C5F9E" w:rsidRPr="00CC466B" w:rsidRDefault="005E344E" w:rsidP="006C2F7B">
            <w:pPr>
              <w:pStyle w:val="TableParagraph"/>
              <w:ind w:left="114"/>
              <w:rPr>
                <w:rFonts w:eastAsiaTheme="minorHAnsi" w:cs="Arial"/>
                <w:szCs w:val="18"/>
              </w:rPr>
            </w:pPr>
            <w:r w:rsidRPr="00CC466B">
              <w:rPr>
                <w:rFonts w:cs="Arial"/>
                <w:szCs w:val="18"/>
              </w:rPr>
              <w:t xml:space="preserve">Do not use </w:t>
            </w:r>
            <w:r w:rsidR="00492198" w:rsidRPr="00CC466B">
              <w:rPr>
                <w:rFonts w:cs="Arial"/>
                <w:szCs w:val="18"/>
              </w:rPr>
              <w:t xml:space="preserve">the </w:t>
            </w:r>
            <w:r w:rsidRPr="00CC466B">
              <w:rPr>
                <w:rFonts w:cs="Arial"/>
                <w:szCs w:val="18"/>
              </w:rPr>
              <w:t>aggregate</w:t>
            </w:r>
          </w:p>
        </w:tc>
      </w:tr>
    </w:tbl>
    <w:p w14:paraId="0F83A4FB" w14:textId="68E8F996" w:rsidR="00D95012" w:rsidRPr="00200689" w:rsidRDefault="00D95012" w:rsidP="00CC466B">
      <w:pPr>
        <w:pStyle w:val="NoteHeading"/>
      </w:pPr>
      <w:r w:rsidRPr="00CC466B">
        <w:t>Notes</w:t>
      </w:r>
      <w:r w:rsidRPr="00200689">
        <w:t>:</w:t>
      </w:r>
    </w:p>
    <w:p w14:paraId="485CF777" w14:textId="5F2ABDFC" w:rsidR="00D95012" w:rsidRPr="001A5C95" w:rsidRDefault="00D95012" w:rsidP="001A5C95">
      <w:pPr>
        <w:pStyle w:val="Notes"/>
      </w:pPr>
      <w:r w:rsidRPr="001A5C95">
        <w:t xml:space="preserve">For natural sands, </w:t>
      </w:r>
      <w:r w:rsidR="00913D6A" w:rsidRPr="001A5C95">
        <w:t xml:space="preserve">the </w:t>
      </w:r>
      <w:r w:rsidR="000F6FD0" w:rsidRPr="001A5C95">
        <w:t xml:space="preserve">maximum </w:t>
      </w:r>
      <w:r w:rsidRPr="001A5C95">
        <w:t xml:space="preserve">expansion </w:t>
      </w:r>
      <w:r w:rsidR="000F6FD0" w:rsidRPr="001A5C95">
        <w:t xml:space="preserve">is </w:t>
      </w:r>
      <w:r w:rsidRPr="001A5C95">
        <w:t>0.15%.</w:t>
      </w:r>
    </w:p>
    <w:p w14:paraId="318E789B" w14:textId="2CB72A17" w:rsidR="004C4A23" w:rsidRPr="001A5C95" w:rsidRDefault="00D95012" w:rsidP="001A5C95">
      <w:pPr>
        <w:pStyle w:val="Notes"/>
        <w:spacing w:after="240"/>
      </w:pPr>
      <w:r w:rsidRPr="001A5C95">
        <w:t>Provided that the aggregate does not exhibit the</w:t>
      </w:r>
      <w:r w:rsidR="002027EF" w:rsidRPr="001A5C95">
        <w:t xml:space="preserve"> </w:t>
      </w:r>
      <w:proofErr w:type="spellStart"/>
      <w:r w:rsidRPr="001A5C95">
        <w:t>Pessimum</w:t>
      </w:r>
      <w:proofErr w:type="spellEnd"/>
      <w:r w:rsidRPr="001A5C95">
        <w:t xml:space="preserve"> Effect.</w:t>
      </w:r>
    </w:p>
    <w:p w14:paraId="7F67EFD1" w14:textId="2AEF9120" w:rsidR="008C54DF" w:rsidRPr="00200689" w:rsidRDefault="00D3609E" w:rsidP="001A5C95">
      <w:pPr>
        <w:pStyle w:val="Bodyparanumbered1"/>
      </w:pPr>
      <w:bookmarkStart w:id="18" w:name="_Ref91142626"/>
      <w:r w:rsidRPr="00200689">
        <w:t>T</w:t>
      </w:r>
      <w:r w:rsidR="00C8393C" w:rsidRPr="00200689">
        <w:t xml:space="preserve">he aggregate must be tested for </w:t>
      </w:r>
      <w:proofErr w:type="spellStart"/>
      <w:r w:rsidR="00C8393C" w:rsidRPr="00200689">
        <w:t>Pessimum</w:t>
      </w:r>
      <w:proofErr w:type="spellEnd"/>
      <w:r w:rsidR="00C8393C" w:rsidRPr="00200689">
        <w:t xml:space="preserve"> Effect</w:t>
      </w:r>
      <w:r w:rsidRPr="00200689">
        <w:t xml:space="preserve"> if</w:t>
      </w:r>
      <w:r w:rsidR="008C54DF" w:rsidRPr="00200689">
        <w:t>:</w:t>
      </w:r>
      <w:bookmarkEnd w:id="18"/>
    </w:p>
    <w:p w14:paraId="44DF891A" w14:textId="77777777" w:rsidR="002F6A52" w:rsidRPr="001A5C95" w:rsidRDefault="00D95012" w:rsidP="00936FA3">
      <w:pPr>
        <w:pStyle w:val="Bodyparanumbered2"/>
        <w:numPr>
          <w:ilvl w:val="0"/>
          <w:numId w:val="14"/>
        </w:numPr>
      </w:pPr>
      <w:r w:rsidRPr="001A5C95">
        <w:t xml:space="preserve">the petrographic examination of aggregates shows large amounts </w:t>
      </w:r>
      <w:r w:rsidR="00F44EE8" w:rsidRPr="001A5C95">
        <w:t xml:space="preserve">(typically &gt; 20%) </w:t>
      </w:r>
      <w:r w:rsidRPr="001A5C95">
        <w:t>of amorphous silica materials, such as opaline and glassy phases</w:t>
      </w:r>
      <w:r w:rsidR="008C54DF" w:rsidRPr="001A5C95">
        <w:t>;</w:t>
      </w:r>
      <w:r w:rsidRPr="001A5C95">
        <w:t xml:space="preserve"> but </w:t>
      </w:r>
    </w:p>
    <w:p w14:paraId="1C5082DF" w14:textId="3E3B38AE" w:rsidR="00287596" w:rsidRPr="00200689" w:rsidRDefault="00DB4C7D" w:rsidP="001A5C95">
      <w:pPr>
        <w:pStyle w:val="Bodyparanumbered2"/>
      </w:pPr>
      <w:r w:rsidRPr="001A5C95">
        <w:t xml:space="preserve">the </w:t>
      </w:r>
      <w:r w:rsidR="00D95012" w:rsidRPr="001A5C95">
        <w:t>AMBT</w:t>
      </w:r>
      <w:r w:rsidR="00D95012" w:rsidRPr="00200689">
        <w:t xml:space="preserve"> expansion E </w:t>
      </w:r>
      <w:r w:rsidRPr="00200689">
        <w:t xml:space="preserve">is </w:t>
      </w:r>
      <w:r w:rsidR="00640AF6" w:rsidRPr="00200689">
        <w:t xml:space="preserve">&lt; </w:t>
      </w:r>
      <w:r w:rsidR="00D95012" w:rsidRPr="00200689">
        <w:t>0.10 % at 21 days</w:t>
      </w:r>
      <w:r w:rsidR="00D3609E" w:rsidRPr="00200689">
        <w:t>.</w:t>
      </w:r>
    </w:p>
    <w:p w14:paraId="1C51CAD5" w14:textId="5E40985B" w:rsidR="00FD6D79" w:rsidRPr="00200689" w:rsidRDefault="00D3609E" w:rsidP="001A5C95">
      <w:pPr>
        <w:pStyle w:val="Bodyparanumbered1"/>
      </w:pPr>
      <w:bookmarkStart w:id="19" w:name="_Ref91142637"/>
      <w:r w:rsidRPr="00200689">
        <w:t xml:space="preserve">The </w:t>
      </w:r>
      <w:r w:rsidRPr="001A5C95">
        <w:t>following</w:t>
      </w:r>
      <w:r w:rsidRPr="00200689">
        <w:t xml:space="preserve"> methodology must </w:t>
      </w:r>
      <w:r w:rsidR="00C21C7E" w:rsidRPr="00200689">
        <w:t xml:space="preserve">be used to </w:t>
      </w:r>
      <w:r w:rsidR="00D95012" w:rsidRPr="00200689">
        <w:t xml:space="preserve">test for </w:t>
      </w:r>
      <w:r w:rsidR="00C21C7E" w:rsidRPr="00200689">
        <w:t xml:space="preserve">the </w:t>
      </w:r>
      <w:proofErr w:type="spellStart"/>
      <w:r w:rsidR="00D95012" w:rsidRPr="00200689">
        <w:t>Pessimum</w:t>
      </w:r>
      <w:proofErr w:type="spellEnd"/>
      <w:r w:rsidR="00D95012" w:rsidRPr="00200689">
        <w:t xml:space="preserve"> Effect</w:t>
      </w:r>
      <w:r w:rsidR="00C21C7E" w:rsidRPr="00200689">
        <w:t>:</w:t>
      </w:r>
      <w:bookmarkEnd w:id="19"/>
    </w:p>
    <w:p w14:paraId="554514BE" w14:textId="6D58FC51" w:rsidR="0029195C" w:rsidRPr="00200689" w:rsidRDefault="00706E6A" w:rsidP="00936FA3">
      <w:pPr>
        <w:pStyle w:val="Bodyparanumbered2"/>
        <w:numPr>
          <w:ilvl w:val="0"/>
          <w:numId w:val="15"/>
        </w:numPr>
      </w:pPr>
      <w:r w:rsidRPr="00200689">
        <w:t>T</w:t>
      </w:r>
      <w:r w:rsidR="00D95012" w:rsidRPr="00200689">
        <w:t xml:space="preserve">he aggregate </w:t>
      </w:r>
      <w:r w:rsidR="00A707D3" w:rsidRPr="00200689">
        <w:t>is</w:t>
      </w:r>
      <w:r w:rsidR="00D95012" w:rsidRPr="00200689">
        <w:t xml:space="preserve"> blended with </w:t>
      </w:r>
      <w:proofErr w:type="gramStart"/>
      <w:r w:rsidR="00400184" w:rsidRPr="00200689">
        <w:t>Non</w:t>
      </w:r>
      <w:r w:rsidR="00D95012" w:rsidRPr="00200689">
        <w:t>-</w:t>
      </w:r>
      <w:r w:rsidR="00400184" w:rsidRPr="00200689">
        <w:t>Reactive</w:t>
      </w:r>
      <w:proofErr w:type="gramEnd"/>
      <w:r w:rsidR="00D95012" w:rsidRPr="00200689">
        <w:t xml:space="preserve"> aggregates </w:t>
      </w:r>
      <w:r w:rsidR="00640AF6" w:rsidRPr="00200689">
        <w:t xml:space="preserve">in varying proportions </w:t>
      </w:r>
      <w:r w:rsidR="001C70A2" w:rsidRPr="00200689">
        <w:t xml:space="preserve">(at least 3 blends) </w:t>
      </w:r>
      <w:r w:rsidR="00E02C0C" w:rsidRPr="00200689">
        <w:t xml:space="preserve">so as to determine if there is a blend </w:t>
      </w:r>
      <w:r w:rsidR="0029195C" w:rsidRPr="00200689">
        <w:t xml:space="preserve">which </w:t>
      </w:r>
      <w:r w:rsidR="00E02C0C" w:rsidRPr="00200689">
        <w:t>produces a</w:t>
      </w:r>
      <w:r w:rsidR="00F6249F" w:rsidRPr="00200689">
        <w:t>n</w:t>
      </w:r>
      <w:r w:rsidR="00E02C0C" w:rsidRPr="00200689">
        <w:t xml:space="preserve"> E value </w:t>
      </w:r>
      <w:r w:rsidR="002D5B7F" w:rsidRPr="00200689">
        <w:t xml:space="preserve">that </w:t>
      </w:r>
      <w:r w:rsidR="00E02C0C" w:rsidRPr="00200689">
        <w:t>is</w:t>
      </w:r>
      <w:r w:rsidR="00F6249F" w:rsidRPr="00200689">
        <w:t xml:space="preserve"> higher than the </w:t>
      </w:r>
      <w:r w:rsidR="0029195C" w:rsidRPr="00200689">
        <w:t>unblended aggregate.</w:t>
      </w:r>
    </w:p>
    <w:p w14:paraId="41B5AD1F" w14:textId="08A2143D" w:rsidR="00D95012" w:rsidRPr="00200689" w:rsidRDefault="00706E6A" w:rsidP="001A5C95">
      <w:pPr>
        <w:pStyle w:val="Bodyparanumbered2"/>
      </w:pPr>
      <w:r w:rsidRPr="00200689">
        <w:t>T</w:t>
      </w:r>
      <w:r w:rsidR="000B141D" w:rsidRPr="00200689">
        <w:t xml:space="preserve">he classification is </w:t>
      </w:r>
      <w:r w:rsidR="00797860" w:rsidRPr="00200689">
        <w:t xml:space="preserve">determined from the </w:t>
      </w:r>
      <w:r w:rsidR="00514FEC" w:rsidRPr="00200689">
        <w:t xml:space="preserve">highest E </w:t>
      </w:r>
      <w:r w:rsidR="00797860" w:rsidRPr="00200689">
        <w:t xml:space="preserve">value </w:t>
      </w:r>
      <w:r w:rsidR="00514FEC" w:rsidRPr="00200689">
        <w:t xml:space="preserve">result from </w:t>
      </w:r>
      <w:r w:rsidR="00810CC4" w:rsidRPr="00200689">
        <w:t>a</w:t>
      </w:r>
      <w:r w:rsidR="00F86219" w:rsidRPr="00200689">
        <w:t>l</w:t>
      </w:r>
      <w:r w:rsidR="00810CC4" w:rsidRPr="00200689">
        <w:t>l</w:t>
      </w:r>
      <w:r w:rsidR="00514FEC" w:rsidRPr="00200689">
        <w:t xml:space="preserve"> </w:t>
      </w:r>
      <w:r w:rsidR="00556710" w:rsidRPr="00200689">
        <w:t xml:space="preserve">tests </w:t>
      </w:r>
      <w:r w:rsidR="00810CC4" w:rsidRPr="00200689">
        <w:t xml:space="preserve">carried out on the </w:t>
      </w:r>
      <w:r w:rsidR="00556710" w:rsidRPr="00200689">
        <w:t xml:space="preserve">blended </w:t>
      </w:r>
      <w:r w:rsidR="00514FEC" w:rsidRPr="00200689">
        <w:t xml:space="preserve">and unblended </w:t>
      </w:r>
      <w:r w:rsidR="00EE58F4" w:rsidRPr="00200689">
        <w:t>aggregate.</w:t>
      </w:r>
      <w:r w:rsidR="008760EA" w:rsidRPr="00200689" w:rsidDel="00E02C0C">
        <w:t xml:space="preserve"> </w:t>
      </w:r>
    </w:p>
    <w:p w14:paraId="70EA6CF8" w14:textId="1C1BDC83" w:rsidR="00A362C0" w:rsidRPr="00200689" w:rsidRDefault="00560A6D" w:rsidP="001A5C95">
      <w:pPr>
        <w:pStyle w:val="Heading1"/>
      </w:pPr>
      <w:bookmarkStart w:id="20" w:name="_Ref91079268"/>
      <w:bookmarkStart w:id="21" w:name="_Toc124413916"/>
      <w:r w:rsidRPr="001A5C95">
        <w:t>Concrete</w:t>
      </w:r>
      <w:r w:rsidRPr="00200689">
        <w:t xml:space="preserve"> Prism Test</w:t>
      </w:r>
      <w:bookmarkEnd w:id="21"/>
    </w:p>
    <w:p w14:paraId="0EB90652" w14:textId="6C7B1A15" w:rsidR="00096306" w:rsidRPr="00200689" w:rsidRDefault="00912BA5" w:rsidP="001A5C95">
      <w:pPr>
        <w:pStyle w:val="Bodyparanumbered1"/>
      </w:pPr>
      <w:r w:rsidRPr="00200689">
        <w:t xml:space="preserve">Clause </w:t>
      </w:r>
      <w:r w:rsidRPr="00200689">
        <w:fldChar w:fldCharType="begin"/>
      </w:r>
      <w:r w:rsidRPr="00200689">
        <w:instrText xml:space="preserve"> REF _Ref96502999 \r \h </w:instrText>
      </w:r>
      <w:r w:rsidR="007627F9" w:rsidRPr="00200689">
        <w:instrText xml:space="preserve"> \* MERGEFORMAT </w:instrText>
      </w:r>
      <w:r w:rsidRPr="00200689">
        <w:fldChar w:fldCharType="separate"/>
      </w:r>
      <w:r w:rsidR="0071215B" w:rsidRPr="00200689">
        <w:t>8.2</w:t>
      </w:r>
      <w:r w:rsidRPr="00200689">
        <w:fldChar w:fldCharType="end"/>
      </w:r>
      <w:r w:rsidRPr="00200689">
        <w:t xml:space="preserve"> applies </w:t>
      </w:r>
      <w:r w:rsidR="004C2ED6" w:rsidRPr="00200689">
        <w:t xml:space="preserve">if the </w:t>
      </w:r>
      <w:r w:rsidR="004C2ED6" w:rsidRPr="001A5C95">
        <w:t>aggregate</w:t>
      </w:r>
      <w:r w:rsidR="00015D90" w:rsidRPr="00200689">
        <w:t>,</w:t>
      </w:r>
      <w:r w:rsidR="00CB74CA" w:rsidRPr="00200689">
        <w:t xml:space="preserve"> when classified by the AMBT in accordance with </w:t>
      </w:r>
      <w:r w:rsidR="009868CA">
        <w:fldChar w:fldCharType="begin"/>
      </w:r>
      <w:r w:rsidR="009868CA">
        <w:instrText xml:space="preserve"> REF _Ref124511833 \h </w:instrText>
      </w:r>
      <w:r w:rsidR="009868CA">
        <w:fldChar w:fldCharType="separate"/>
      </w:r>
      <w:r w:rsidR="009868CA">
        <w:t xml:space="preserve">Table </w:t>
      </w:r>
      <w:r w:rsidR="009868CA">
        <w:rPr>
          <w:noProof/>
        </w:rPr>
        <w:t>7</w:t>
      </w:r>
      <w:r w:rsidR="009868CA">
        <w:t>.</w:t>
      </w:r>
      <w:r w:rsidR="009868CA">
        <w:rPr>
          <w:noProof/>
        </w:rPr>
        <w:t>1</w:t>
      </w:r>
      <w:r w:rsidR="009868CA">
        <w:fldChar w:fldCharType="end"/>
      </w:r>
      <w:r w:rsidR="008837BC" w:rsidRPr="00200689">
        <w:t>,</w:t>
      </w:r>
      <w:r w:rsidR="00015D90" w:rsidRPr="00200689">
        <w:t xml:space="preserve"> </w:t>
      </w:r>
      <w:r w:rsidR="004C2ED6" w:rsidRPr="00200689">
        <w:t xml:space="preserve">is </w:t>
      </w:r>
    </w:p>
    <w:p w14:paraId="4C4CD74A" w14:textId="64EB4650" w:rsidR="00096306" w:rsidRPr="001A5C95" w:rsidRDefault="004C2ED6" w:rsidP="00936FA3">
      <w:pPr>
        <w:pStyle w:val="Bodyparanumbered2"/>
        <w:numPr>
          <w:ilvl w:val="0"/>
          <w:numId w:val="16"/>
        </w:numPr>
      </w:pPr>
      <w:r w:rsidRPr="00200689">
        <w:t>“</w:t>
      </w:r>
      <w:r w:rsidRPr="001A5C95">
        <w:t>Reactive”</w:t>
      </w:r>
      <w:r w:rsidR="00096306" w:rsidRPr="001A5C95">
        <w:t>;</w:t>
      </w:r>
      <w:r w:rsidRPr="001A5C95">
        <w:t xml:space="preserve"> or</w:t>
      </w:r>
    </w:p>
    <w:p w14:paraId="60FF7C9B" w14:textId="5C05B5D0" w:rsidR="00912BA5" w:rsidRPr="001A5C95" w:rsidRDefault="00AD458A" w:rsidP="001A5C95">
      <w:pPr>
        <w:pStyle w:val="Bodyparanumbered2"/>
      </w:pPr>
      <w:r w:rsidRPr="001A5C95">
        <w:t>“Slowly Reactive”</w:t>
      </w:r>
      <w:r w:rsidR="00A770F9" w:rsidRPr="001A5C95">
        <w:t xml:space="preserve"> and the Applicant elects not to adopt the </w:t>
      </w:r>
      <w:r w:rsidR="0093542C" w:rsidRPr="001A5C95">
        <w:t xml:space="preserve">“deemed to </w:t>
      </w:r>
      <w:proofErr w:type="gramStart"/>
      <w:r w:rsidR="003A46DE" w:rsidRPr="001A5C95">
        <w:t>comply“ approach</w:t>
      </w:r>
      <w:proofErr w:type="gramEnd"/>
      <w:r w:rsidR="0093542C" w:rsidRPr="001A5C95">
        <w:t xml:space="preserve"> specified in </w:t>
      </w:r>
      <w:r w:rsidR="001A5C95" w:rsidRPr="001A5C95">
        <w:rPr>
          <w:highlight w:val="yellow"/>
        </w:rPr>
        <w:fldChar w:fldCharType="begin"/>
      </w:r>
      <w:r w:rsidR="001A5C95" w:rsidRPr="001A5C95">
        <w:instrText xml:space="preserve"> REF _Ref124512151 \h </w:instrText>
      </w:r>
      <w:r w:rsidR="001A5C95" w:rsidRPr="001A5C95">
        <w:rPr>
          <w:highlight w:val="yellow"/>
        </w:rPr>
      </w:r>
      <w:r w:rsidR="001A5C95" w:rsidRPr="001A5C95">
        <w:rPr>
          <w:highlight w:val="yellow"/>
        </w:rPr>
        <w:instrText xml:space="preserve"> \* MERGEFORMAT </w:instrText>
      </w:r>
      <w:r w:rsidR="001A5C95" w:rsidRPr="001A5C95">
        <w:rPr>
          <w:highlight w:val="yellow"/>
        </w:rPr>
        <w:fldChar w:fldCharType="separate"/>
      </w:r>
      <w:r w:rsidR="001A5C95" w:rsidRPr="001A5C95">
        <w:t>Table 9.1</w:t>
      </w:r>
      <w:r w:rsidR="001A5C95" w:rsidRPr="001A5C95">
        <w:rPr>
          <w:highlight w:val="yellow"/>
        </w:rPr>
        <w:fldChar w:fldCharType="end"/>
      </w:r>
      <w:r w:rsidR="0093542C" w:rsidRPr="001A5C95">
        <w:t>.</w:t>
      </w:r>
    </w:p>
    <w:p w14:paraId="508E29DF" w14:textId="31FF87CD" w:rsidR="007B18DD" w:rsidRPr="00200689" w:rsidRDefault="00701A0F" w:rsidP="001A5C95">
      <w:pPr>
        <w:pStyle w:val="Bodyparanumbered1"/>
      </w:pPr>
      <w:bookmarkStart w:id="22" w:name="_Ref96502999"/>
      <w:r w:rsidRPr="00200689">
        <w:t xml:space="preserve">The </w:t>
      </w:r>
      <w:r w:rsidR="005D596B" w:rsidRPr="00200689">
        <w:t xml:space="preserve">CPT </w:t>
      </w:r>
      <w:r w:rsidR="00095F9F" w:rsidRPr="00200689">
        <w:t>i</w:t>
      </w:r>
      <w:r w:rsidR="005D596B" w:rsidRPr="00200689">
        <w:t>s carried out as follows:</w:t>
      </w:r>
      <w:bookmarkEnd w:id="20"/>
      <w:bookmarkEnd w:id="22"/>
    </w:p>
    <w:p w14:paraId="78E91E15" w14:textId="12403A01" w:rsidR="007B18DD" w:rsidRPr="00200689" w:rsidRDefault="007B18DD" w:rsidP="00936FA3">
      <w:pPr>
        <w:pStyle w:val="Bodyparanumbered2"/>
        <w:numPr>
          <w:ilvl w:val="0"/>
          <w:numId w:val="17"/>
        </w:numPr>
      </w:pPr>
      <w:r w:rsidRPr="00200689">
        <w:t xml:space="preserve">carry out </w:t>
      </w:r>
      <w:r w:rsidR="0069453F" w:rsidRPr="00200689">
        <w:t xml:space="preserve">further </w:t>
      </w:r>
      <w:r w:rsidRPr="00200689">
        <w:t xml:space="preserve">screening of AAR </w:t>
      </w:r>
      <w:r w:rsidR="00AC7EA4" w:rsidRPr="00200689">
        <w:t xml:space="preserve">in accordance with </w:t>
      </w:r>
      <w:r w:rsidRPr="00200689">
        <w:t>AS 1141.60.</w:t>
      </w:r>
      <w:r w:rsidR="00606D57" w:rsidRPr="00200689">
        <w:t>2</w:t>
      </w:r>
      <w:r w:rsidR="00666AEA" w:rsidRPr="00200689">
        <w:t>,</w:t>
      </w:r>
      <w:r w:rsidRPr="00200689">
        <w:t xml:space="preserve"> using only GP cement</w:t>
      </w:r>
      <w:r w:rsidR="001B5DE0" w:rsidRPr="00200689">
        <w:br/>
      </w:r>
      <w:r w:rsidRPr="00200689">
        <w:t>(</w:t>
      </w:r>
      <w:proofErr w:type="gramStart"/>
      <w:r w:rsidRPr="00200689">
        <w:t>i.e.</w:t>
      </w:r>
      <w:proofErr w:type="gramEnd"/>
      <w:r w:rsidRPr="00200689">
        <w:t xml:space="preserve"> without </w:t>
      </w:r>
      <w:r w:rsidR="00954349" w:rsidRPr="00200689">
        <w:t>S</w:t>
      </w:r>
      <w:r w:rsidR="00E779E6" w:rsidRPr="00200689">
        <w:t>C</w:t>
      </w:r>
      <w:r w:rsidR="00126A0C" w:rsidRPr="00200689">
        <w:t>M</w:t>
      </w:r>
      <w:r w:rsidRPr="00200689">
        <w:t xml:space="preserve">); </w:t>
      </w:r>
    </w:p>
    <w:p w14:paraId="2234162C" w14:textId="691C02B6" w:rsidR="007B18DD" w:rsidRPr="00200689" w:rsidRDefault="007B18DD" w:rsidP="001A5C95">
      <w:pPr>
        <w:pStyle w:val="Bodyparanumbered2"/>
      </w:pPr>
      <w:r w:rsidRPr="00200689">
        <w:t>prepare the test report required by AS 1141.60.</w:t>
      </w:r>
      <w:r w:rsidR="00606D57" w:rsidRPr="00200689">
        <w:t>2</w:t>
      </w:r>
      <w:r w:rsidRPr="00200689">
        <w:t>; and</w:t>
      </w:r>
    </w:p>
    <w:p w14:paraId="0E08B443" w14:textId="4CAEFDD6" w:rsidR="002706D9" w:rsidRPr="00200689" w:rsidRDefault="007B18DD" w:rsidP="001A5C95">
      <w:pPr>
        <w:pStyle w:val="Bodyparanumbered2"/>
      </w:pPr>
      <w:r w:rsidRPr="00200689">
        <w:t xml:space="preserve">classify the aggregate and take the required actions in accordance with </w:t>
      </w:r>
      <w:r w:rsidR="009868CA">
        <w:fldChar w:fldCharType="begin"/>
      </w:r>
      <w:r w:rsidR="009868CA">
        <w:instrText xml:space="preserve"> REF _Ref124512032 \h </w:instrText>
      </w:r>
      <w:r w:rsidR="009868CA">
        <w:fldChar w:fldCharType="separate"/>
      </w:r>
      <w:r w:rsidR="009868CA">
        <w:t xml:space="preserve">Table </w:t>
      </w:r>
      <w:r w:rsidR="009868CA">
        <w:rPr>
          <w:noProof/>
        </w:rPr>
        <w:t>8</w:t>
      </w:r>
      <w:r w:rsidR="009868CA">
        <w:t>.</w:t>
      </w:r>
      <w:r w:rsidR="009868CA">
        <w:rPr>
          <w:noProof/>
        </w:rPr>
        <w:t>1</w:t>
      </w:r>
      <w:r w:rsidR="009868CA">
        <w:fldChar w:fldCharType="end"/>
      </w:r>
      <w:r w:rsidR="002465DC" w:rsidRPr="00200689">
        <w:t>.</w:t>
      </w:r>
    </w:p>
    <w:p w14:paraId="0C510CE6" w14:textId="11EACCB2" w:rsidR="007B18DD" w:rsidRPr="00200689" w:rsidRDefault="009868CA" w:rsidP="009868CA">
      <w:pPr>
        <w:pStyle w:val="Caption"/>
      </w:pPr>
      <w:bookmarkStart w:id="23" w:name="_Ref124512032"/>
      <w:r>
        <w:lastRenderedPageBreak/>
        <w:t xml:space="preserve">Table </w:t>
      </w:r>
      <w:r>
        <w:fldChar w:fldCharType="begin"/>
      </w:r>
      <w:r>
        <w:instrText xml:space="preserve"> STYLEREF 1 \s </w:instrText>
      </w:r>
      <w:r>
        <w:fldChar w:fldCharType="separate"/>
      </w:r>
      <w:r>
        <w:rPr>
          <w:noProof/>
        </w:rPr>
        <w:t>8</w:t>
      </w:r>
      <w:r>
        <w:fldChar w:fldCharType="end"/>
      </w:r>
      <w:r>
        <w:t>.</w:t>
      </w:r>
      <w:r>
        <w:fldChar w:fldCharType="begin"/>
      </w:r>
      <w:r>
        <w:instrText xml:space="preserve"> SEQ Table \* ARABIC \s 1 </w:instrText>
      </w:r>
      <w:r>
        <w:fldChar w:fldCharType="separate"/>
      </w:r>
      <w:r>
        <w:rPr>
          <w:noProof/>
        </w:rPr>
        <w:t>1</w:t>
      </w:r>
      <w:r>
        <w:fldChar w:fldCharType="end"/>
      </w:r>
      <w:bookmarkEnd w:id="23"/>
      <w:r w:rsidR="00242348" w:rsidRPr="00200689">
        <w:t>:</w:t>
      </w:r>
      <w:r>
        <w:tab/>
      </w:r>
      <w:r w:rsidR="007B18DD" w:rsidRPr="00200689">
        <w:t>Classification of AAR</w:t>
      </w:r>
      <w:r w:rsidR="00203346" w:rsidRPr="00200689">
        <w:t xml:space="preserve"> by CPT</w:t>
      </w:r>
    </w:p>
    <w:tbl>
      <w:tblPr>
        <w:tblW w:w="9213" w:type="dxa"/>
        <w:tblInd w:w="41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BFBFBF" w:themeFill="background1" w:themeFillShade="BF"/>
        <w:tblLayout w:type="fixed"/>
        <w:tblCellMar>
          <w:left w:w="113" w:type="dxa"/>
          <w:right w:w="113" w:type="dxa"/>
        </w:tblCellMar>
        <w:tblLook w:val="01E0" w:firstRow="1" w:lastRow="1" w:firstColumn="1" w:lastColumn="1" w:noHBand="0" w:noVBand="0"/>
      </w:tblPr>
      <w:tblGrid>
        <w:gridCol w:w="2268"/>
        <w:gridCol w:w="3118"/>
        <w:gridCol w:w="3827"/>
      </w:tblGrid>
      <w:tr w:rsidR="001A5C95" w:rsidRPr="001A5C95" w14:paraId="4FC41858" w14:textId="77777777" w:rsidTr="00CC466B">
        <w:trPr>
          <w:trHeight w:val="378"/>
        </w:trPr>
        <w:tc>
          <w:tcPr>
            <w:tcW w:w="5386" w:type="dxa"/>
            <w:gridSpan w:val="2"/>
            <w:shd w:val="clear" w:color="auto" w:fill="BFBFBF" w:themeFill="background1" w:themeFillShade="BF"/>
          </w:tcPr>
          <w:p w14:paraId="70B513B7" w14:textId="1BC3805A" w:rsidR="001A5C95" w:rsidRPr="001A5C95" w:rsidRDefault="001A5C95" w:rsidP="001A5C95">
            <w:pPr>
              <w:pStyle w:val="TableParagraph"/>
              <w:keepNext/>
              <w:rPr>
                <w:b/>
                <w:bCs/>
              </w:rPr>
            </w:pPr>
            <w:r w:rsidRPr="001A5C95">
              <w:rPr>
                <w:b/>
                <w:bCs/>
              </w:rPr>
              <w:t>CPT Expansion</w:t>
            </w:r>
          </w:p>
        </w:tc>
        <w:tc>
          <w:tcPr>
            <w:tcW w:w="3827" w:type="dxa"/>
            <w:vMerge w:val="restart"/>
            <w:shd w:val="clear" w:color="auto" w:fill="BFBFBF" w:themeFill="background1" w:themeFillShade="BF"/>
            <w:vAlign w:val="center"/>
          </w:tcPr>
          <w:p w14:paraId="6DC23DA7" w14:textId="77777777" w:rsidR="001A5C95" w:rsidRPr="001A5C95" w:rsidRDefault="001A5C95" w:rsidP="001A5C95">
            <w:pPr>
              <w:pStyle w:val="TableParagraph"/>
              <w:keepNext/>
              <w:rPr>
                <w:b/>
                <w:bCs/>
              </w:rPr>
            </w:pPr>
            <w:r w:rsidRPr="001A5C95">
              <w:rPr>
                <w:b/>
                <w:bCs/>
              </w:rPr>
              <w:t>Action</w:t>
            </w:r>
          </w:p>
        </w:tc>
      </w:tr>
      <w:tr w:rsidR="001A5C95" w:rsidRPr="001A5C95" w14:paraId="2AE8D15A" w14:textId="77777777" w:rsidTr="00CC466B">
        <w:trPr>
          <w:trHeight w:val="371"/>
        </w:trPr>
        <w:tc>
          <w:tcPr>
            <w:tcW w:w="2268" w:type="dxa"/>
            <w:shd w:val="clear" w:color="auto" w:fill="BFBFBF" w:themeFill="background1" w:themeFillShade="BF"/>
          </w:tcPr>
          <w:p w14:paraId="1E3BC42B" w14:textId="0D41E40C" w:rsidR="001A5C95" w:rsidRPr="001A5C95" w:rsidRDefault="001A5C95" w:rsidP="001A5C95">
            <w:pPr>
              <w:pStyle w:val="TableParagraph"/>
              <w:keepNext/>
              <w:rPr>
                <w:b/>
                <w:bCs/>
              </w:rPr>
            </w:pPr>
            <w:r w:rsidRPr="001A5C95">
              <w:rPr>
                <w:b/>
                <w:bCs/>
              </w:rPr>
              <w:t>At 1 Year</w:t>
            </w:r>
          </w:p>
        </w:tc>
        <w:tc>
          <w:tcPr>
            <w:tcW w:w="3118" w:type="dxa"/>
            <w:shd w:val="clear" w:color="auto" w:fill="BFBFBF" w:themeFill="background1" w:themeFillShade="BF"/>
          </w:tcPr>
          <w:p w14:paraId="75E16D2D" w14:textId="77777777" w:rsidR="001A5C95" w:rsidRPr="001A5C95" w:rsidRDefault="001A5C95" w:rsidP="001A5C95">
            <w:pPr>
              <w:pStyle w:val="TableParagraph"/>
              <w:keepNext/>
              <w:rPr>
                <w:b/>
                <w:bCs/>
              </w:rPr>
            </w:pPr>
            <w:r w:rsidRPr="001A5C95">
              <w:rPr>
                <w:b/>
                <w:bCs/>
              </w:rPr>
              <w:t>Classification</w:t>
            </w:r>
          </w:p>
        </w:tc>
        <w:tc>
          <w:tcPr>
            <w:tcW w:w="3827" w:type="dxa"/>
            <w:vMerge/>
            <w:shd w:val="clear" w:color="auto" w:fill="BFBFBF" w:themeFill="background1" w:themeFillShade="BF"/>
          </w:tcPr>
          <w:p w14:paraId="64264318" w14:textId="77777777" w:rsidR="001A5C95" w:rsidRPr="001A5C95" w:rsidRDefault="001A5C95" w:rsidP="001A5C95">
            <w:pPr>
              <w:pStyle w:val="TableParagraph"/>
              <w:keepNext/>
              <w:rPr>
                <w:b/>
                <w:bCs/>
              </w:rPr>
            </w:pPr>
          </w:p>
        </w:tc>
      </w:tr>
      <w:tr w:rsidR="00606D57" w:rsidRPr="001A5C95" w14:paraId="42A0C0A9" w14:textId="77777777" w:rsidTr="00CC466B">
        <w:trPr>
          <w:trHeight w:val="386"/>
        </w:trPr>
        <w:tc>
          <w:tcPr>
            <w:tcW w:w="2268" w:type="dxa"/>
            <w:shd w:val="clear" w:color="auto" w:fill="D9D9D9" w:themeFill="background1" w:themeFillShade="D9"/>
          </w:tcPr>
          <w:p w14:paraId="5CB565C7" w14:textId="46D40FC8" w:rsidR="00606D57" w:rsidRPr="001A5C95" w:rsidRDefault="00FA2968" w:rsidP="001A5C95">
            <w:pPr>
              <w:pStyle w:val="TableParagraph"/>
              <w:keepNext/>
            </w:pPr>
            <w:r w:rsidRPr="001A5C95">
              <w:t>e</w:t>
            </w:r>
            <w:r w:rsidR="00606D57" w:rsidRPr="001A5C95">
              <w:t xml:space="preserve"> &lt; 0.03% </w:t>
            </w:r>
          </w:p>
        </w:tc>
        <w:tc>
          <w:tcPr>
            <w:tcW w:w="3118" w:type="dxa"/>
            <w:shd w:val="clear" w:color="auto" w:fill="D9D9D9" w:themeFill="background1" w:themeFillShade="D9"/>
          </w:tcPr>
          <w:p w14:paraId="360E787B" w14:textId="4E40F64A" w:rsidR="00606D57" w:rsidRPr="001A5C95" w:rsidRDefault="00606D57" w:rsidP="001A5C95">
            <w:pPr>
              <w:pStyle w:val="TableParagraph"/>
              <w:keepNext/>
            </w:pPr>
            <w:r w:rsidRPr="001A5C95">
              <w:t>Non-</w:t>
            </w:r>
            <w:r w:rsidR="00400184" w:rsidRPr="001A5C95">
              <w:t>Reactive</w:t>
            </w:r>
          </w:p>
        </w:tc>
        <w:tc>
          <w:tcPr>
            <w:tcW w:w="3827" w:type="dxa"/>
            <w:shd w:val="clear" w:color="auto" w:fill="D9D9D9" w:themeFill="background1" w:themeFillShade="D9"/>
          </w:tcPr>
          <w:p w14:paraId="6430E3D1" w14:textId="203A1FF1" w:rsidR="00606D57" w:rsidRPr="001A5C95" w:rsidRDefault="00606D57" w:rsidP="001A5C95">
            <w:pPr>
              <w:pStyle w:val="TableParagraph"/>
              <w:keepNext/>
            </w:pPr>
            <w:r w:rsidRPr="001A5C95">
              <w:rPr>
                <w:rFonts w:eastAsiaTheme="minorHAnsi"/>
              </w:rPr>
              <w:t>No further testing required</w:t>
            </w:r>
            <w:r w:rsidRPr="001A5C95">
              <w:t xml:space="preserve"> </w:t>
            </w:r>
            <w:r w:rsidRPr="001A5C95">
              <w:rPr>
                <w:vertAlign w:val="superscript"/>
              </w:rPr>
              <w:t>(</w:t>
            </w:r>
            <w:r w:rsidR="00BA4E7B" w:rsidRPr="001A5C95">
              <w:rPr>
                <w:vertAlign w:val="superscript"/>
              </w:rPr>
              <w:t>1</w:t>
            </w:r>
            <w:r w:rsidR="009D6289" w:rsidRPr="001A5C95">
              <w:rPr>
                <w:vertAlign w:val="superscript"/>
              </w:rPr>
              <w:t>)</w:t>
            </w:r>
            <w:r w:rsidR="00977F73" w:rsidRPr="001A5C95">
              <w:rPr>
                <w:vertAlign w:val="superscript"/>
              </w:rPr>
              <w:t xml:space="preserve"> </w:t>
            </w:r>
            <w:r w:rsidR="009D6289" w:rsidRPr="001A5C95">
              <w:rPr>
                <w:vertAlign w:val="superscript"/>
              </w:rPr>
              <w:t>(</w:t>
            </w:r>
            <w:r w:rsidRPr="001A5C95">
              <w:rPr>
                <w:vertAlign w:val="superscript"/>
              </w:rPr>
              <w:t>2)</w:t>
            </w:r>
            <w:r w:rsidRPr="001A5C95">
              <w:t>.</w:t>
            </w:r>
          </w:p>
        </w:tc>
      </w:tr>
      <w:tr w:rsidR="00606D57" w:rsidRPr="001A5C95" w14:paraId="4034DC21" w14:textId="77777777" w:rsidTr="00CC466B">
        <w:trPr>
          <w:trHeight w:val="457"/>
        </w:trPr>
        <w:tc>
          <w:tcPr>
            <w:tcW w:w="2268" w:type="dxa"/>
            <w:shd w:val="clear" w:color="auto" w:fill="D9D9D9" w:themeFill="background1" w:themeFillShade="D9"/>
          </w:tcPr>
          <w:p w14:paraId="621A1723" w14:textId="4A21966B" w:rsidR="00606D57" w:rsidRPr="001A5C95" w:rsidRDefault="00606D57" w:rsidP="001A5C95">
            <w:pPr>
              <w:pStyle w:val="TableParagraph"/>
            </w:pPr>
            <w:r w:rsidRPr="001A5C95">
              <w:t xml:space="preserve">0.03% ≤ </w:t>
            </w:r>
            <w:r w:rsidR="00FA2968" w:rsidRPr="001A5C95">
              <w:t>e</w:t>
            </w:r>
            <w:r w:rsidRPr="001A5C95">
              <w:t xml:space="preserve"> &lt; 0.06%</w:t>
            </w:r>
          </w:p>
        </w:tc>
        <w:tc>
          <w:tcPr>
            <w:tcW w:w="3118" w:type="dxa"/>
            <w:shd w:val="clear" w:color="auto" w:fill="D9D9D9" w:themeFill="background1" w:themeFillShade="D9"/>
          </w:tcPr>
          <w:p w14:paraId="1DF68A56" w14:textId="62E08E1B" w:rsidR="00606D57" w:rsidRPr="001A5C95" w:rsidRDefault="00606D57" w:rsidP="001A5C95">
            <w:pPr>
              <w:pStyle w:val="TableParagraph"/>
            </w:pPr>
            <w:r w:rsidRPr="001A5C95">
              <w:t xml:space="preserve">Slowly </w:t>
            </w:r>
            <w:r w:rsidR="00400184" w:rsidRPr="001A5C95">
              <w:t>Reactive</w:t>
            </w:r>
            <w:r w:rsidR="00AE3AA3" w:rsidRPr="001A5C95">
              <w:t xml:space="preserve"> </w:t>
            </w:r>
            <w:r w:rsidR="00E3080C" w:rsidRPr="001A5C95">
              <w:rPr>
                <w:vertAlign w:val="superscript"/>
              </w:rPr>
              <w:t>(3)</w:t>
            </w:r>
            <w:r w:rsidR="00375914" w:rsidRPr="001A5C95">
              <w:t xml:space="preserve"> or Reactive</w:t>
            </w:r>
          </w:p>
        </w:tc>
        <w:tc>
          <w:tcPr>
            <w:tcW w:w="3827" w:type="dxa"/>
            <w:shd w:val="clear" w:color="auto" w:fill="D9D9D9" w:themeFill="background1" w:themeFillShade="D9"/>
          </w:tcPr>
          <w:p w14:paraId="1625B8F2" w14:textId="10FF1E75" w:rsidR="00606D57" w:rsidRPr="001A5C95" w:rsidRDefault="00606D57" w:rsidP="001A5C95">
            <w:pPr>
              <w:pStyle w:val="TableParagraph"/>
              <w:rPr>
                <w:rFonts w:eastAsiaTheme="minorHAnsi"/>
              </w:rPr>
            </w:pPr>
            <w:r w:rsidRPr="001A5C95">
              <w:rPr>
                <w:rFonts w:eastAsiaTheme="minorHAnsi"/>
              </w:rPr>
              <w:t xml:space="preserve">Comply with the requirements of Clause </w:t>
            </w:r>
            <w:r w:rsidR="006E3C6A" w:rsidRPr="001A5C95">
              <w:rPr>
                <w:rFonts w:eastAsiaTheme="minorHAnsi"/>
              </w:rPr>
              <w:fldChar w:fldCharType="begin"/>
            </w:r>
            <w:r w:rsidR="006E3C6A" w:rsidRPr="001A5C95">
              <w:rPr>
                <w:rFonts w:eastAsiaTheme="minorHAnsi"/>
              </w:rPr>
              <w:instrText xml:space="preserve"> REF _Ref90901059 \r \h </w:instrText>
            </w:r>
            <w:r w:rsidR="00053AD3" w:rsidRPr="001A5C95">
              <w:rPr>
                <w:rFonts w:eastAsiaTheme="minorHAnsi"/>
              </w:rPr>
              <w:instrText xml:space="preserve"> \* MERGEFORMAT </w:instrText>
            </w:r>
            <w:r w:rsidR="006E3C6A" w:rsidRPr="001A5C95">
              <w:rPr>
                <w:rFonts w:eastAsiaTheme="minorHAnsi"/>
              </w:rPr>
            </w:r>
            <w:r w:rsidR="006E3C6A" w:rsidRPr="001A5C95">
              <w:rPr>
                <w:rFonts w:eastAsiaTheme="minorHAnsi"/>
              </w:rPr>
              <w:fldChar w:fldCharType="separate"/>
            </w:r>
            <w:r w:rsidR="0071215B" w:rsidRPr="001A5C95">
              <w:rPr>
                <w:rFonts w:eastAsiaTheme="minorHAnsi"/>
              </w:rPr>
              <w:t>9</w:t>
            </w:r>
            <w:r w:rsidR="006E3C6A" w:rsidRPr="001A5C95">
              <w:rPr>
                <w:rFonts w:eastAsiaTheme="minorHAnsi"/>
              </w:rPr>
              <w:fldChar w:fldCharType="end"/>
            </w:r>
            <w:r w:rsidR="00621695" w:rsidRPr="001A5C95">
              <w:rPr>
                <w:rFonts w:eastAsiaTheme="minorHAnsi"/>
              </w:rPr>
              <w:t xml:space="preserve"> or</w:t>
            </w:r>
            <w:r w:rsidRPr="001A5C95">
              <w:rPr>
                <w:rFonts w:eastAsiaTheme="minorHAnsi"/>
              </w:rPr>
              <w:t xml:space="preserve"> Clause </w:t>
            </w:r>
            <w:r w:rsidR="006E3C6A" w:rsidRPr="001A5C95">
              <w:rPr>
                <w:rFonts w:eastAsiaTheme="minorHAnsi"/>
              </w:rPr>
              <w:fldChar w:fldCharType="begin"/>
            </w:r>
            <w:r w:rsidR="006E3C6A" w:rsidRPr="001A5C95">
              <w:rPr>
                <w:rFonts w:eastAsiaTheme="minorHAnsi"/>
              </w:rPr>
              <w:instrText xml:space="preserve"> REF _Ref90901078 \r \h </w:instrText>
            </w:r>
            <w:r w:rsidR="00053AD3" w:rsidRPr="001A5C95">
              <w:rPr>
                <w:rFonts w:eastAsiaTheme="minorHAnsi"/>
              </w:rPr>
              <w:instrText xml:space="preserve"> \* MERGEFORMAT </w:instrText>
            </w:r>
            <w:r w:rsidR="006E3C6A" w:rsidRPr="001A5C95">
              <w:rPr>
                <w:rFonts w:eastAsiaTheme="minorHAnsi"/>
              </w:rPr>
            </w:r>
            <w:r w:rsidR="006E3C6A" w:rsidRPr="001A5C95">
              <w:rPr>
                <w:rFonts w:eastAsiaTheme="minorHAnsi"/>
              </w:rPr>
              <w:fldChar w:fldCharType="separate"/>
            </w:r>
            <w:r w:rsidR="0071215B" w:rsidRPr="001A5C95">
              <w:rPr>
                <w:rFonts w:eastAsiaTheme="minorHAnsi"/>
              </w:rPr>
              <w:t>10</w:t>
            </w:r>
            <w:r w:rsidR="006E3C6A" w:rsidRPr="001A5C95">
              <w:rPr>
                <w:rFonts w:eastAsiaTheme="minorHAnsi"/>
              </w:rPr>
              <w:fldChar w:fldCharType="end"/>
            </w:r>
            <w:r w:rsidRPr="001A5C95">
              <w:rPr>
                <w:rFonts w:eastAsiaTheme="minorHAnsi"/>
              </w:rPr>
              <w:t xml:space="preserve"> as applicable.</w:t>
            </w:r>
          </w:p>
        </w:tc>
      </w:tr>
      <w:tr w:rsidR="009A3992" w:rsidRPr="001A5C95" w14:paraId="5080AFFE" w14:textId="77777777" w:rsidTr="00CC466B">
        <w:trPr>
          <w:trHeight w:val="457"/>
        </w:trPr>
        <w:tc>
          <w:tcPr>
            <w:tcW w:w="2268" w:type="dxa"/>
            <w:shd w:val="clear" w:color="auto" w:fill="D9D9D9" w:themeFill="background1" w:themeFillShade="D9"/>
          </w:tcPr>
          <w:p w14:paraId="449DA062" w14:textId="16920991" w:rsidR="009A3992" w:rsidRPr="001A5C95" w:rsidRDefault="00FA2968" w:rsidP="001A5C95">
            <w:pPr>
              <w:pStyle w:val="TableParagraph"/>
            </w:pPr>
            <w:r w:rsidRPr="001A5C95">
              <w:t>e</w:t>
            </w:r>
            <w:r w:rsidR="00134650" w:rsidRPr="001A5C95">
              <w:t xml:space="preserve"> </w:t>
            </w:r>
            <w:r w:rsidR="009A3992" w:rsidRPr="001A5C95">
              <w:t>&gt;</w:t>
            </w:r>
            <w:r w:rsidR="00134650" w:rsidRPr="001A5C95">
              <w:t xml:space="preserve"> </w:t>
            </w:r>
            <w:r w:rsidR="009A3992" w:rsidRPr="001A5C95">
              <w:t>0.06%</w:t>
            </w:r>
          </w:p>
        </w:tc>
        <w:tc>
          <w:tcPr>
            <w:tcW w:w="3118" w:type="dxa"/>
            <w:shd w:val="clear" w:color="auto" w:fill="D9D9D9" w:themeFill="background1" w:themeFillShade="D9"/>
          </w:tcPr>
          <w:p w14:paraId="6E1EA10C" w14:textId="47146A7F" w:rsidR="009A3992" w:rsidRPr="001A5C95" w:rsidRDefault="009E07B3" w:rsidP="001A5C95">
            <w:pPr>
              <w:pStyle w:val="TableParagraph"/>
            </w:pPr>
            <w:r w:rsidRPr="001A5C95">
              <w:t xml:space="preserve">Highly </w:t>
            </w:r>
            <w:r w:rsidR="009A3992" w:rsidRPr="001A5C95">
              <w:t>Reactive</w:t>
            </w:r>
          </w:p>
        </w:tc>
        <w:tc>
          <w:tcPr>
            <w:tcW w:w="3827" w:type="dxa"/>
            <w:shd w:val="clear" w:color="auto" w:fill="D9D9D9" w:themeFill="background1" w:themeFillShade="D9"/>
          </w:tcPr>
          <w:p w14:paraId="28153435" w14:textId="71C38C37" w:rsidR="009A3992" w:rsidRPr="001A5C95" w:rsidRDefault="009E07B3" w:rsidP="001A5C95">
            <w:pPr>
              <w:pStyle w:val="TableParagraph"/>
              <w:rPr>
                <w:rFonts w:eastAsiaTheme="minorHAnsi"/>
              </w:rPr>
            </w:pPr>
            <w:r w:rsidRPr="001A5C95">
              <w:t>Do not use the aggregate</w:t>
            </w:r>
          </w:p>
        </w:tc>
      </w:tr>
    </w:tbl>
    <w:p w14:paraId="28871BA8" w14:textId="77777777" w:rsidR="00A55D56" w:rsidRPr="00CC466B" w:rsidRDefault="00A55D56" w:rsidP="00CC466B">
      <w:pPr>
        <w:pStyle w:val="NoteHeading"/>
      </w:pPr>
      <w:r w:rsidRPr="00CC466B">
        <w:t>Notes:</w:t>
      </w:r>
    </w:p>
    <w:p w14:paraId="0F7B1A1D" w14:textId="152A4C46" w:rsidR="00E62021" w:rsidRPr="00200689" w:rsidRDefault="00A55D56" w:rsidP="00936FA3">
      <w:pPr>
        <w:pStyle w:val="Notes"/>
        <w:numPr>
          <w:ilvl w:val="0"/>
          <w:numId w:val="18"/>
        </w:numPr>
        <w:ind w:left="709" w:hanging="283"/>
      </w:pPr>
      <w:r w:rsidRPr="00200689">
        <w:t xml:space="preserve">Cases </w:t>
      </w:r>
      <w:r w:rsidR="00E62021" w:rsidRPr="00CC466B">
        <w:t>may</w:t>
      </w:r>
      <w:r w:rsidRPr="00200689">
        <w:t xml:space="preserve"> occur where expansion values </w:t>
      </w:r>
      <w:r w:rsidR="00BA4E7B" w:rsidRPr="00200689">
        <w:t>for AMBT are g</w:t>
      </w:r>
      <w:r w:rsidRPr="00200689">
        <w:t>reater than 0.30% at 21 days and so would normally be classified as “Reactive”</w:t>
      </w:r>
      <w:r w:rsidR="00744EE4" w:rsidRPr="00200689">
        <w:t>,</w:t>
      </w:r>
      <w:r w:rsidRPr="00200689">
        <w:t xml:space="preserve"> but CPT values </w:t>
      </w:r>
      <w:r w:rsidR="00744EE4" w:rsidRPr="00200689">
        <w:t xml:space="preserve">classify </w:t>
      </w:r>
      <w:r w:rsidRPr="00200689">
        <w:t xml:space="preserve">the </w:t>
      </w:r>
      <w:r w:rsidR="00744EE4" w:rsidRPr="00200689">
        <w:t>aggregates as</w:t>
      </w:r>
      <w:r w:rsidRPr="00200689">
        <w:t xml:space="preserve"> </w:t>
      </w:r>
      <w:r w:rsidR="00BA4E7B" w:rsidRPr="00200689">
        <w:t xml:space="preserve">Non-Reactive or </w:t>
      </w:r>
      <w:r w:rsidR="00400184" w:rsidRPr="00200689">
        <w:t>S</w:t>
      </w:r>
      <w:r w:rsidR="00BA4E7B" w:rsidRPr="00200689">
        <w:t xml:space="preserve">lowly </w:t>
      </w:r>
      <w:r w:rsidR="00400184" w:rsidRPr="00200689">
        <w:t>Reactive</w:t>
      </w:r>
      <w:r w:rsidR="00BA4E7B" w:rsidRPr="00200689">
        <w:t>. These aggregates</w:t>
      </w:r>
      <w:r w:rsidR="00E62021" w:rsidRPr="00200689">
        <w:t>:</w:t>
      </w:r>
    </w:p>
    <w:p w14:paraId="6C18EC74" w14:textId="328D7D96" w:rsidR="00744EE4" w:rsidRPr="00200689" w:rsidRDefault="00744EE4" w:rsidP="00936FA3">
      <w:pPr>
        <w:pStyle w:val="Notes"/>
        <w:numPr>
          <w:ilvl w:val="0"/>
          <w:numId w:val="19"/>
        </w:numPr>
        <w:ind w:left="993" w:hanging="284"/>
      </w:pPr>
      <w:r w:rsidRPr="00200689">
        <w:t>may</w:t>
      </w:r>
      <w:r w:rsidR="00BA4E7B" w:rsidRPr="00200689">
        <w:t xml:space="preserve"> be classified as </w:t>
      </w:r>
      <w:r w:rsidR="00400184" w:rsidRPr="00200689">
        <w:t>Non</w:t>
      </w:r>
      <w:r w:rsidR="00BA4E7B" w:rsidRPr="00200689">
        <w:t>-</w:t>
      </w:r>
      <w:r w:rsidR="00400184" w:rsidRPr="00200689">
        <w:t>Reactive</w:t>
      </w:r>
      <w:r w:rsidR="00BA4E7B" w:rsidRPr="00200689">
        <w:t xml:space="preserve"> </w:t>
      </w:r>
      <w:r w:rsidR="00DC3AC0" w:rsidRPr="00200689">
        <w:t xml:space="preserve">or </w:t>
      </w:r>
      <w:r w:rsidR="00400184" w:rsidRPr="00200689">
        <w:t>Slow</w:t>
      </w:r>
      <w:r w:rsidR="00DC3AC0" w:rsidRPr="00200689">
        <w:t xml:space="preserve">ly </w:t>
      </w:r>
      <w:r w:rsidR="00400184" w:rsidRPr="00200689">
        <w:t>Reactive</w:t>
      </w:r>
      <w:r w:rsidR="00DC3AC0" w:rsidRPr="00200689">
        <w:t xml:space="preserve"> </w:t>
      </w:r>
      <w:r w:rsidR="00BA4E7B" w:rsidRPr="00200689">
        <w:t xml:space="preserve">if used </w:t>
      </w:r>
      <w:r w:rsidR="009B493F" w:rsidRPr="00200689">
        <w:t>as coarse aggregates</w:t>
      </w:r>
      <w:r w:rsidRPr="00200689">
        <w:t>;</w:t>
      </w:r>
      <w:r w:rsidR="00DC3AC0" w:rsidRPr="00200689">
        <w:t xml:space="preserve"> and </w:t>
      </w:r>
    </w:p>
    <w:p w14:paraId="623CD75E" w14:textId="08136CF3" w:rsidR="00A55D56" w:rsidRPr="00200689" w:rsidRDefault="00744EE4" w:rsidP="00936FA3">
      <w:pPr>
        <w:pStyle w:val="Notes"/>
        <w:numPr>
          <w:ilvl w:val="0"/>
          <w:numId w:val="19"/>
        </w:numPr>
        <w:ind w:left="993" w:hanging="284"/>
      </w:pPr>
      <w:r w:rsidRPr="00200689">
        <w:t xml:space="preserve">must not </w:t>
      </w:r>
      <w:r w:rsidR="00DC3AC0" w:rsidRPr="00200689">
        <w:t>be used as fine aggregate</w:t>
      </w:r>
      <w:r w:rsidRPr="00200689">
        <w:t>,</w:t>
      </w:r>
      <w:r w:rsidR="00DC3AC0" w:rsidRPr="00200689">
        <w:t xml:space="preserve"> unless </w:t>
      </w:r>
      <w:r w:rsidRPr="00200689">
        <w:t xml:space="preserve">they have been </w:t>
      </w:r>
      <w:r w:rsidR="00DC3AC0" w:rsidRPr="00200689">
        <w:t xml:space="preserve">assessed using a </w:t>
      </w:r>
      <w:proofErr w:type="gramStart"/>
      <w:r w:rsidR="00DC3AC0" w:rsidRPr="00200689">
        <w:t>performance based</w:t>
      </w:r>
      <w:proofErr w:type="gramEnd"/>
      <w:r w:rsidR="00DC3AC0" w:rsidRPr="00200689">
        <w:t xml:space="preserve"> approach complying with Clause </w:t>
      </w:r>
      <w:r w:rsidR="003B5A03" w:rsidRPr="00200689">
        <w:fldChar w:fldCharType="begin"/>
      </w:r>
      <w:r w:rsidR="003B5A03" w:rsidRPr="00200689">
        <w:instrText xml:space="preserve"> REF _Ref90901189 \r \h </w:instrText>
      </w:r>
      <w:r w:rsidR="001F1C0F" w:rsidRPr="00200689">
        <w:instrText xml:space="preserve"> \* MERGEFORMAT </w:instrText>
      </w:r>
      <w:r w:rsidR="003B5A03" w:rsidRPr="00200689">
        <w:fldChar w:fldCharType="separate"/>
      </w:r>
      <w:r w:rsidR="0071215B" w:rsidRPr="00200689">
        <w:t>10</w:t>
      </w:r>
      <w:r w:rsidR="003B5A03" w:rsidRPr="00200689">
        <w:fldChar w:fldCharType="end"/>
      </w:r>
      <w:r w:rsidRPr="00200689">
        <w:t>.</w:t>
      </w:r>
    </w:p>
    <w:p w14:paraId="01005FB5" w14:textId="519127B5" w:rsidR="00BA4E7B" w:rsidRPr="00200689" w:rsidRDefault="00BA4E7B" w:rsidP="00CC466B">
      <w:pPr>
        <w:pStyle w:val="Notes"/>
      </w:pPr>
      <w:r w:rsidRPr="00200689">
        <w:t xml:space="preserve">Provided that the aggregate does not exhibit the </w:t>
      </w:r>
      <w:proofErr w:type="spellStart"/>
      <w:r w:rsidRPr="00200689">
        <w:t>Pessimum</w:t>
      </w:r>
      <w:proofErr w:type="spellEnd"/>
      <w:r w:rsidRPr="00200689">
        <w:t xml:space="preserve"> Effect </w:t>
      </w:r>
      <w:r w:rsidR="00977F73" w:rsidRPr="00200689">
        <w:t xml:space="preserve">when assessed on accordance with </w:t>
      </w:r>
      <w:r w:rsidR="009A5C52" w:rsidRPr="00200689">
        <w:t>Clause</w:t>
      </w:r>
      <w:r w:rsidR="00CC466B">
        <w:t> </w:t>
      </w:r>
      <w:r w:rsidR="009D6289" w:rsidRPr="00200689">
        <w:fldChar w:fldCharType="begin"/>
      </w:r>
      <w:r w:rsidR="009D6289" w:rsidRPr="00200689">
        <w:instrText xml:space="preserve"> REF _Ref91142637 \r \h </w:instrText>
      </w:r>
      <w:r w:rsidR="001F1C0F" w:rsidRPr="00200689">
        <w:instrText xml:space="preserve"> \* MERGEFORMAT </w:instrText>
      </w:r>
      <w:r w:rsidR="009D6289" w:rsidRPr="00200689">
        <w:fldChar w:fldCharType="separate"/>
      </w:r>
      <w:r w:rsidR="0071215B" w:rsidRPr="00200689">
        <w:t>7.3</w:t>
      </w:r>
      <w:r w:rsidR="009D6289" w:rsidRPr="00200689">
        <w:fldChar w:fldCharType="end"/>
      </w:r>
      <w:r w:rsidRPr="00200689">
        <w:t>.</w:t>
      </w:r>
    </w:p>
    <w:p w14:paraId="54CD3749" w14:textId="79DA4321" w:rsidR="00AE3AA3" w:rsidRPr="00200689" w:rsidRDefault="0063078E" w:rsidP="00CC466B">
      <w:pPr>
        <w:pStyle w:val="Notes"/>
      </w:pPr>
      <w:r w:rsidRPr="00200689">
        <w:t>Additional classification to AS1141.60.2 classification</w:t>
      </w:r>
      <w:r w:rsidR="0095580C" w:rsidRPr="00200689">
        <w:t>.</w:t>
      </w:r>
    </w:p>
    <w:p w14:paraId="4FC7D41C" w14:textId="520C8698" w:rsidR="00606D57" w:rsidRPr="00200689" w:rsidRDefault="00606D57" w:rsidP="001A5C95">
      <w:pPr>
        <w:pStyle w:val="Heading1"/>
      </w:pPr>
      <w:bookmarkStart w:id="24" w:name="_Ref90901059"/>
      <w:bookmarkStart w:id="25" w:name="_Ref90901069"/>
      <w:bookmarkStart w:id="26" w:name="_Ref90901227"/>
      <w:bookmarkStart w:id="27" w:name="_Toc124413917"/>
      <w:r w:rsidRPr="00200689">
        <w:t>Control of AAR Using the “D</w:t>
      </w:r>
      <w:r w:rsidR="00592F1B" w:rsidRPr="00200689">
        <w:t>eemed to Comply</w:t>
      </w:r>
      <w:r w:rsidRPr="00200689">
        <w:t>” Approach</w:t>
      </w:r>
      <w:bookmarkEnd w:id="24"/>
      <w:bookmarkEnd w:id="25"/>
      <w:bookmarkEnd w:id="26"/>
      <w:bookmarkEnd w:id="27"/>
    </w:p>
    <w:p w14:paraId="72563022" w14:textId="107617E8" w:rsidR="009B493F" w:rsidRPr="00200689" w:rsidRDefault="009B493F" w:rsidP="001A5C95">
      <w:pPr>
        <w:pStyle w:val="Bodyparanumbered1"/>
      </w:pPr>
      <w:r w:rsidRPr="00200689">
        <w:t>The</w:t>
      </w:r>
      <w:r w:rsidR="00597C36" w:rsidRPr="00200689">
        <w:t xml:space="preserve"> Applicant </w:t>
      </w:r>
      <w:r w:rsidRPr="00200689">
        <w:t xml:space="preserve">may </w:t>
      </w:r>
      <w:r w:rsidR="00B955EB" w:rsidRPr="00200689">
        <w:t>elect</w:t>
      </w:r>
      <w:r w:rsidRPr="00200689">
        <w:t xml:space="preserve"> </w:t>
      </w:r>
      <w:r w:rsidR="00597C36" w:rsidRPr="00200689">
        <w:t xml:space="preserve">to use the </w:t>
      </w:r>
      <w:r w:rsidR="00342B92" w:rsidRPr="00200689">
        <w:t>“</w:t>
      </w:r>
      <w:r w:rsidR="007922E6" w:rsidRPr="00200689">
        <w:t>D</w:t>
      </w:r>
      <w:r w:rsidR="00342B92" w:rsidRPr="00200689">
        <w:t xml:space="preserve">eemed </w:t>
      </w:r>
      <w:r w:rsidR="001011A2" w:rsidRPr="00200689">
        <w:t>to</w:t>
      </w:r>
      <w:r w:rsidR="00342B92" w:rsidRPr="00200689">
        <w:t xml:space="preserve"> </w:t>
      </w:r>
      <w:r w:rsidR="007922E6" w:rsidRPr="00200689">
        <w:t>C</w:t>
      </w:r>
      <w:r w:rsidR="001011A2" w:rsidRPr="00200689">
        <w:t>omply” approach</w:t>
      </w:r>
      <w:r w:rsidRPr="00200689">
        <w:t xml:space="preserve"> for mitigation of </w:t>
      </w:r>
      <w:r w:rsidR="00400184" w:rsidRPr="00200689">
        <w:t>Slow</w:t>
      </w:r>
      <w:r w:rsidRPr="00200689">
        <w:t xml:space="preserve">ly </w:t>
      </w:r>
      <w:r w:rsidR="00400184" w:rsidRPr="00200689">
        <w:t>Reactive</w:t>
      </w:r>
      <w:r w:rsidRPr="00200689">
        <w:t xml:space="preserve"> </w:t>
      </w:r>
      <w:r w:rsidR="00DC3AC0" w:rsidRPr="00200689">
        <w:t xml:space="preserve">and </w:t>
      </w:r>
      <w:r w:rsidR="00400184" w:rsidRPr="00200689">
        <w:t>Reactive</w:t>
      </w:r>
      <w:r w:rsidR="00DC3AC0" w:rsidRPr="00200689">
        <w:t xml:space="preserve"> </w:t>
      </w:r>
      <w:r w:rsidRPr="00200689">
        <w:t xml:space="preserve">aggregates if the AMBT and </w:t>
      </w:r>
      <w:r w:rsidR="00C9766F" w:rsidRPr="00200689">
        <w:t>CPT are</w:t>
      </w:r>
      <w:r w:rsidR="00342B92" w:rsidRPr="00200689">
        <w:t xml:space="preserve"> carried out</w:t>
      </w:r>
      <w:r w:rsidR="00434CA6" w:rsidRPr="00200689">
        <w:t xml:space="preserve"> </w:t>
      </w:r>
      <w:r w:rsidR="00795230" w:rsidRPr="00200689">
        <w:t xml:space="preserve">in accordance with </w:t>
      </w:r>
      <w:r w:rsidR="009868CA">
        <w:fldChar w:fldCharType="begin"/>
      </w:r>
      <w:r w:rsidR="009868CA">
        <w:instrText xml:space="preserve"> REF _Ref124511833 \h </w:instrText>
      </w:r>
      <w:r w:rsidR="009868CA">
        <w:fldChar w:fldCharType="separate"/>
      </w:r>
      <w:r w:rsidR="009868CA">
        <w:t xml:space="preserve">Table </w:t>
      </w:r>
      <w:r w:rsidR="009868CA">
        <w:rPr>
          <w:noProof/>
        </w:rPr>
        <w:t>7</w:t>
      </w:r>
      <w:r w:rsidR="009868CA">
        <w:t>.</w:t>
      </w:r>
      <w:r w:rsidR="009868CA">
        <w:rPr>
          <w:noProof/>
        </w:rPr>
        <w:t>1</w:t>
      </w:r>
      <w:r w:rsidR="009868CA">
        <w:fldChar w:fldCharType="end"/>
      </w:r>
      <w:r w:rsidR="00606D57" w:rsidRPr="00200689">
        <w:t xml:space="preserve">and </w:t>
      </w:r>
      <w:r w:rsidR="009868CA">
        <w:fldChar w:fldCharType="begin"/>
      </w:r>
      <w:r w:rsidR="009868CA">
        <w:instrText xml:space="preserve"> REF _Ref124512032 \h </w:instrText>
      </w:r>
      <w:r w:rsidR="009868CA">
        <w:fldChar w:fldCharType="separate"/>
      </w:r>
      <w:r w:rsidR="009868CA">
        <w:t>Table </w:t>
      </w:r>
      <w:r w:rsidR="009868CA">
        <w:rPr>
          <w:noProof/>
        </w:rPr>
        <w:t>8</w:t>
      </w:r>
      <w:r w:rsidR="009868CA">
        <w:t>.</w:t>
      </w:r>
      <w:r w:rsidR="009868CA">
        <w:rPr>
          <w:noProof/>
        </w:rPr>
        <w:t>1</w:t>
      </w:r>
      <w:r w:rsidR="009868CA">
        <w:fldChar w:fldCharType="end"/>
      </w:r>
      <w:r w:rsidR="00B41C95" w:rsidRPr="00200689">
        <w:t xml:space="preserve"> using </w:t>
      </w:r>
      <w:r w:rsidR="000600B2" w:rsidRPr="00200689">
        <w:t>G</w:t>
      </w:r>
      <w:r w:rsidR="00906F97" w:rsidRPr="00200689">
        <w:t>P cement only</w:t>
      </w:r>
      <w:r w:rsidR="005949F5" w:rsidRPr="00200689">
        <w:t xml:space="preserve">. </w:t>
      </w:r>
    </w:p>
    <w:p w14:paraId="6BA37A85" w14:textId="37323401" w:rsidR="001011A2" w:rsidRPr="00200689" w:rsidRDefault="005949F5" w:rsidP="001A5C95">
      <w:pPr>
        <w:pStyle w:val="Bodyparanumbered1"/>
      </w:pPr>
      <w:r w:rsidRPr="00200689">
        <w:t xml:space="preserve">Approval to use the aggregate </w:t>
      </w:r>
      <w:r w:rsidR="003810C0" w:rsidRPr="00200689">
        <w:t xml:space="preserve">is </w:t>
      </w:r>
      <w:r w:rsidR="00434CA6" w:rsidRPr="00200689">
        <w:t>subject</w:t>
      </w:r>
      <w:r w:rsidR="003810C0" w:rsidRPr="00200689">
        <w:t xml:space="preserve"> to </w:t>
      </w:r>
      <w:r w:rsidR="00F3365D" w:rsidRPr="00200689">
        <w:t xml:space="preserve">it </w:t>
      </w:r>
      <w:r w:rsidR="00E90604" w:rsidRPr="00200689">
        <w:t xml:space="preserve">being used with the </w:t>
      </w:r>
      <w:r w:rsidR="003810C0" w:rsidRPr="00200689">
        <w:t xml:space="preserve">blended cements specified </w:t>
      </w:r>
      <w:r w:rsidR="006B02E9" w:rsidRPr="00200689">
        <w:t xml:space="preserve">in </w:t>
      </w:r>
      <w:r w:rsidR="009868CA">
        <w:fldChar w:fldCharType="begin"/>
      </w:r>
      <w:r w:rsidR="009868CA">
        <w:instrText xml:space="preserve"> REF _Ref124512151 \h </w:instrText>
      </w:r>
      <w:r w:rsidR="009868CA">
        <w:fldChar w:fldCharType="separate"/>
      </w:r>
      <w:r w:rsidR="009868CA">
        <w:t>Table </w:t>
      </w:r>
      <w:r w:rsidR="009868CA">
        <w:rPr>
          <w:noProof/>
        </w:rPr>
        <w:t>9</w:t>
      </w:r>
      <w:r w:rsidR="009868CA">
        <w:t>.</w:t>
      </w:r>
      <w:r w:rsidR="009868CA">
        <w:rPr>
          <w:noProof/>
        </w:rPr>
        <w:t>1</w:t>
      </w:r>
      <w:r w:rsidR="009868CA">
        <w:fldChar w:fldCharType="end"/>
      </w:r>
      <w:r w:rsidR="009868CA">
        <w:t xml:space="preserve"> </w:t>
      </w:r>
      <w:r w:rsidR="00F73E9D" w:rsidRPr="00200689">
        <w:t>(or other blend</w:t>
      </w:r>
      <w:r w:rsidR="0087066B" w:rsidRPr="00200689">
        <w:t>s</w:t>
      </w:r>
      <w:r w:rsidR="00F73E9D" w:rsidRPr="00200689">
        <w:t xml:space="preserve"> approved by </w:t>
      </w:r>
      <w:r w:rsidR="00F73E9D" w:rsidRPr="009868CA">
        <w:rPr>
          <w:i/>
          <w:iCs/>
          <w:color w:val="FF4519"/>
        </w:rPr>
        <w:t>[insert agency name]</w:t>
      </w:r>
      <w:r w:rsidR="00F73E9D" w:rsidRPr="009868CA">
        <w:t>)</w:t>
      </w:r>
      <w:r w:rsidR="009B493F" w:rsidRPr="009868CA">
        <w:rPr>
          <w:color w:val="FF4519"/>
        </w:rPr>
        <w:t xml:space="preserve"> </w:t>
      </w:r>
      <w:r w:rsidR="00F3365D" w:rsidRPr="00200689">
        <w:t>in the manufacture of concrete</w:t>
      </w:r>
      <w:r w:rsidR="001011A2" w:rsidRPr="00200689">
        <w:t>.</w:t>
      </w:r>
    </w:p>
    <w:p w14:paraId="79A03F8B" w14:textId="7C32133A" w:rsidR="001011A2" w:rsidRPr="00200689" w:rsidRDefault="009868CA" w:rsidP="00CC466B">
      <w:pPr>
        <w:pStyle w:val="Caption"/>
      </w:pPr>
      <w:bookmarkStart w:id="28" w:name="_Ref124512151"/>
      <w:r w:rsidRPr="00CC466B">
        <w:t>Table</w:t>
      </w:r>
      <w:r>
        <w:t xml:space="preserve"> </w:t>
      </w:r>
      <w:r>
        <w:fldChar w:fldCharType="begin"/>
      </w:r>
      <w:r>
        <w:instrText xml:space="preserve"> STYLEREF 1 \s </w:instrText>
      </w:r>
      <w:r>
        <w:fldChar w:fldCharType="separate"/>
      </w:r>
      <w:r>
        <w:rPr>
          <w:noProof/>
        </w:rPr>
        <w:t>9</w:t>
      </w:r>
      <w:r>
        <w:fldChar w:fldCharType="end"/>
      </w:r>
      <w:r>
        <w:t>.</w:t>
      </w:r>
      <w:r>
        <w:fldChar w:fldCharType="begin"/>
      </w:r>
      <w:r>
        <w:instrText xml:space="preserve"> SEQ Table \* ARABIC \s 1 </w:instrText>
      </w:r>
      <w:r>
        <w:fldChar w:fldCharType="separate"/>
      </w:r>
      <w:r>
        <w:rPr>
          <w:noProof/>
        </w:rPr>
        <w:t>1</w:t>
      </w:r>
      <w:r>
        <w:fldChar w:fldCharType="end"/>
      </w:r>
      <w:bookmarkEnd w:id="28"/>
      <w:r w:rsidR="0032187A" w:rsidRPr="00200689">
        <w:t>:</w:t>
      </w:r>
      <w:r>
        <w:tab/>
      </w:r>
      <w:r w:rsidR="001011A2" w:rsidRPr="00200689">
        <w:t xml:space="preserve"> “Deemed-to-Comply” Approach for Control of Potential AAR</w:t>
      </w:r>
    </w:p>
    <w:tbl>
      <w:tblPr>
        <w:tblW w:w="9223" w:type="dxa"/>
        <w:tblInd w:w="41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113" w:type="dxa"/>
          <w:right w:w="113" w:type="dxa"/>
        </w:tblCellMar>
        <w:tblLook w:val="01E0" w:firstRow="1" w:lastRow="1" w:firstColumn="1" w:lastColumn="1" w:noHBand="0" w:noVBand="0"/>
      </w:tblPr>
      <w:tblGrid>
        <w:gridCol w:w="2551"/>
        <w:gridCol w:w="2268"/>
        <w:gridCol w:w="4404"/>
      </w:tblGrid>
      <w:tr w:rsidR="00075F40" w:rsidRPr="00200689" w14:paraId="20B85BBC" w14:textId="77777777" w:rsidTr="00CC466B">
        <w:trPr>
          <w:trHeight w:val="20"/>
        </w:trPr>
        <w:tc>
          <w:tcPr>
            <w:tcW w:w="2551" w:type="dxa"/>
            <w:shd w:val="clear" w:color="auto" w:fill="BFBFBF" w:themeFill="background1" w:themeFillShade="BF"/>
            <w:vAlign w:val="center"/>
          </w:tcPr>
          <w:p w14:paraId="5BB97722" w14:textId="2A2B1EC2" w:rsidR="00416C3A" w:rsidRPr="00CC466B" w:rsidRDefault="00416C3A" w:rsidP="00CC466B">
            <w:pPr>
              <w:pStyle w:val="TableParagraph"/>
              <w:rPr>
                <w:b/>
                <w:bCs/>
              </w:rPr>
            </w:pPr>
            <w:r w:rsidRPr="00CC466B">
              <w:rPr>
                <w:b/>
                <w:bCs/>
              </w:rPr>
              <w:t>AMBT Expansion “E” (%) at 21 Days)</w:t>
            </w:r>
          </w:p>
        </w:tc>
        <w:tc>
          <w:tcPr>
            <w:tcW w:w="2268" w:type="dxa"/>
            <w:shd w:val="clear" w:color="auto" w:fill="BFBFBF" w:themeFill="background1" w:themeFillShade="BF"/>
            <w:vAlign w:val="center"/>
          </w:tcPr>
          <w:p w14:paraId="751C4863" w14:textId="5F0DB0A4" w:rsidR="00416C3A" w:rsidRPr="00CC466B" w:rsidRDefault="00416C3A" w:rsidP="00CC466B">
            <w:pPr>
              <w:pStyle w:val="TableParagraph"/>
              <w:rPr>
                <w:b/>
                <w:bCs/>
              </w:rPr>
            </w:pPr>
            <w:r w:rsidRPr="00CC466B">
              <w:rPr>
                <w:b/>
                <w:bCs/>
              </w:rPr>
              <w:t>CPT Expansion “</w:t>
            </w:r>
            <w:r w:rsidR="00FA2968" w:rsidRPr="00CC466B">
              <w:rPr>
                <w:b/>
                <w:bCs/>
              </w:rPr>
              <w:t>e</w:t>
            </w:r>
            <w:r w:rsidRPr="00CC466B">
              <w:rPr>
                <w:b/>
                <w:bCs/>
              </w:rPr>
              <w:t>” (%) at One Year</w:t>
            </w:r>
          </w:p>
        </w:tc>
        <w:tc>
          <w:tcPr>
            <w:tcW w:w="4404" w:type="dxa"/>
            <w:shd w:val="clear" w:color="auto" w:fill="BFBFBF" w:themeFill="background1" w:themeFillShade="BF"/>
            <w:vAlign w:val="center"/>
          </w:tcPr>
          <w:p w14:paraId="5911F387" w14:textId="26393BFE" w:rsidR="00416C3A" w:rsidRPr="00CC466B" w:rsidRDefault="00416C3A" w:rsidP="00CC466B">
            <w:pPr>
              <w:pStyle w:val="TableParagraph"/>
              <w:rPr>
                <w:b/>
                <w:bCs/>
              </w:rPr>
            </w:pPr>
            <w:r w:rsidRPr="00CC466B">
              <w:rPr>
                <w:b/>
                <w:bCs/>
              </w:rPr>
              <w:t>Actions Required</w:t>
            </w:r>
          </w:p>
        </w:tc>
      </w:tr>
      <w:tr w:rsidR="008F15F1" w:rsidRPr="00200689" w14:paraId="13CD9178" w14:textId="77777777" w:rsidTr="00CC466B">
        <w:trPr>
          <w:trHeight w:val="20"/>
        </w:trPr>
        <w:tc>
          <w:tcPr>
            <w:tcW w:w="2551" w:type="dxa"/>
            <w:shd w:val="clear" w:color="auto" w:fill="D9D9D9" w:themeFill="background1" w:themeFillShade="D9"/>
          </w:tcPr>
          <w:p w14:paraId="5BA3FF08" w14:textId="01DCA536" w:rsidR="008F15F1" w:rsidRPr="00CC466B" w:rsidRDefault="008F15F1" w:rsidP="00CC466B">
            <w:pPr>
              <w:pStyle w:val="TableParagraph"/>
            </w:pPr>
            <w:r w:rsidRPr="00CC466B">
              <w:t>E &lt; 0.30</w:t>
            </w:r>
            <w:r w:rsidRPr="00CC466B">
              <w:br/>
              <w:t xml:space="preserve">(Slowly Reactive when classified by </w:t>
            </w:r>
            <w:r w:rsidR="009868CA" w:rsidRPr="00CC466B">
              <w:fldChar w:fldCharType="begin"/>
            </w:r>
            <w:r w:rsidR="009868CA" w:rsidRPr="00CC466B">
              <w:instrText xml:space="preserve"> REF _Ref124511833 \h </w:instrText>
            </w:r>
            <w:r w:rsidR="00CC466B">
              <w:instrText xml:space="preserve"> \* MERGEFORMAT </w:instrText>
            </w:r>
            <w:r w:rsidR="009868CA" w:rsidRPr="00CC466B">
              <w:fldChar w:fldCharType="separate"/>
            </w:r>
            <w:r w:rsidR="009868CA" w:rsidRPr="00CC466B">
              <w:t>Table 7.1</w:t>
            </w:r>
            <w:r w:rsidR="009868CA" w:rsidRPr="00CC466B">
              <w:fldChar w:fldCharType="end"/>
            </w:r>
            <w:r w:rsidRPr="00CC466B">
              <w:t>)</w:t>
            </w:r>
          </w:p>
        </w:tc>
        <w:tc>
          <w:tcPr>
            <w:tcW w:w="2268" w:type="dxa"/>
            <w:shd w:val="clear" w:color="auto" w:fill="D9D9D9" w:themeFill="background1" w:themeFillShade="D9"/>
          </w:tcPr>
          <w:p w14:paraId="3D7BB78A" w14:textId="3FBE3D12" w:rsidR="008F15F1" w:rsidRPr="00CC466B" w:rsidRDefault="008F15F1" w:rsidP="00CC466B">
            <w:pPr>
              <w:pStyle w:val="TableParagraph"/>
            </w:pPr>
            <w:r w:rsidRPr="00CC466B">
              <w:t>Test is not mandatory</w:t>
            </w:r>
          </w:p>
        </w:tc>
        <w:tc>
          <w:tcPr>
            <w:tcW w:w="4404" w:type="dxa"/>
            <w:shd w:val="clear" w:color="auto" w:fill="D9D9D9" w:themeFill="background1" w:themeFillShade="D9"/>
          </w:tcPr>
          <w:p w14:paraId="4E3CF69C" w14:textId="3188394E" w:rsidR="008F15F1" w:rsidRPr="00CC466B" w:rsidRDefault="008F15F1" w:rsidP="00CC466B">
            <w:pPr>
              <w:pStyle w:val="TableParagraph"/>
            </w:pPr>
            <w:r w:rsidRPr="00CC466B">
              <w:t xml:space="preserve">Use blended cement with a minimum of 25% fly ash or 50% </w:t>
            </w:r>
            <w:r w:rsidR="005556FD" w:rsidRPr="00CC466B">
              <w:t>ground granulated blast furnace slag</w:t>
            </w:r>
            <w:r w:rsidRPr="00CC466B">
              <w:t xml:space="preserve"> </w:t>
            </w:r>
            <w:r w:rsidRPr="00CC466B">
              <w:rPr>
                <w:vertAlign w:val="superscript"/>
              </w:rPr>
              <w:t xml:space="preserve">(1) </w:t>
            </w:r>
            <w:r w:rsidRPr="00CC466B">
              <w:t>in production concrete</w:t>
            </w:r>
          </w:p>
        </w:tc>
      </w:tr>
      <w:tr w:rsidR="00922B20" w:rsidRPr="00200689" w14:paraId="62C9F324" w14:textId="77777777" w:rsidTr="00CC466B">
        <w:trPr>
          <w:trHeight w:val="20"/>
        </w:trPr>
        <w:tc>
          <w:tcPr>
            <w:tcW w:w="2551" w:type="dxa"/>
            <w:vMerge w:val="restart"/>
            <w:shd w:val="clear" w:color="auto" w:fill="D9D9D9" w:themeFill="background1" w:themeFillShade="D9"/>
          </w:tcPr>
          <w:p w14:paraId="00BA004D" w14:textId="08BAC71C" w:rsidR="00922B20" w:rsidRPr="00CC466B" w:rsidRDefault="00922B20" w:rsidP="00CC466B">
            <w:pPr>
              <w:pStyle w:val="TableParagraph"/>
            </w:pPr>
            <w:r w:rsidRPr="00CC466B">
              <w:t>0.30 ≤ E &lt; 0.50</w:t>
            </w:r>
            <w:r w:rsidRPr="00CC466B">
              <w:br/>
              <w:t xml:space="preserve">(Reactive when classified by </w:t>
            </w:r>
            <w:r w:rsidR="009868CA" w:rsidRPr="00CC466B">
              <w:fldChar w:fldCharType="begin"/>
            </w:r>
            <w:r w:rsidR="009868CA" w:rsidRPr="00CC466B">
              <w:instrText xml:space="preserve"> REF _Ref124511833 \h </w:instrText>
            </w:r>
            <w:r w:rsidR="00CC466B">
              <w:instrText xml:space="preserve"> \* MERGEFORMAT </w:instrText>
            </w:r>
            <w:r w:rsidR="009868CA" w:rsidRPr="00CC466B">
              <w:fldChar w:fldCharType="separate"/>
            </w:r>
            <w:r w:rsidR="009868CA" w:rsidRPr="00CC466B">
              <w:t>Table 7.1</w:t>
            </w:r>
            <w:r w:rsidR="009868CA" w:rsidRPr="00CC466B">
              <w:fldChar w:fldCharType="end"/>
            </w:r>
            <w:r w:rsidRPr="00CC466B">
              <w:t>)</w:t>
            </w:r>
          </w:p>
        </w:tc>
        <w:tc>
          <w:tcPr>
            <w:tcW w:w="2268" w:type="dxa"/>
            <w:shd w:val="clear" w:color="auto" w:fill="D9D9D9" w:themeFill="background1" w:themeFillShade="D9"/>
          </w:tcPr>
          <w:p w14:paraId="7AAA3E92" w14:textId="53508FAD" w:rsidR="00922B20" w:rsidRPr="00CC466B" w:rsidRDefault="00FA2968" w:rsidP="00CC466B">
            <w:pPr>
              <w:pStyle w:val="TableParagraph"/>
            </w:pPr>
            <w:r w:rsidRPr="00CC466B">
              <w:t>e</w:t>
            </w:r>
            <w:r w:rsidR="00922B20" w:rsidRPr="00CC466B">
              <w:t xml:space="preserve"> &lt; 0.03</w:t>
            </w:r>
          </w:p>
        </w:tc>
        <w:tc>
          <w:tcPr>
            <w:tcW w:w="4404" w:type="dxa"/>
            <w:shd w:val="clear" w:color="auto" w:fill="D9D9D9" w:themeFill="background1" w:themeFillShade="D9"/>
          </w:tcPr>
          <w:p w14:paraId="702F5482" w14:textId="6224F496" w:rsidR="00922B20" w:rsidRPr="00CC466B" w:rsidRDefault="00922B20" w:rsidP="00CC466B">
            <w:pPr>
              <w:pStyle w:val="TableParagraph"/>
            </w:pPr>
            <w:r w:rsidRPr="00CC466B">
              <w:t xml:space="preserve">Use blended cement with a minimum of 25% fly ash or 50% ground granulated blast furnace slag </w:t>
            </w:r>
            <w:r w:rsidRPr="00CC466B">
              <w:rPr>
                <w:vertAlign w:val="superscript"/>
              </w:rPr>
              <w:t>(2)</w:t>
            </w:r>
            <w:r w:rsidRPr="00CC466B">
              <w:t xml:space="preserve"> in production concrete</w:t>
            </w:r>
          </w:p>
        </w:tc>
      </w:tr>
      <w:tr w:rsidR="00922B20" w:rsidRPr="00200689" w14:paraId="052FC928" w14:textId="77777777" w:rsidTr="00CC466B">
        <w:trPr>
          <w:trHeight w:val="20"/>
        </w:trPr>
        <w:tc>
          <w:tcPr>
            <w:tcW w:w="2551" w:type="dxa"/>
            <w:vMerge/>
            <w:shd w:val="clear" w:color="auto" w:fill="D9D9D9" w:themeFill="background1" w:themeFillShade="D9"/>
          </w:tcPr>
          <w:p w14:paraId="5052776B" w14:textId="1D43421A" w:rsidR="00922B20" w:rsidRPr="00CC466B" w:rsidRDefault="00922B20" w:rsidP="00CC466B">
            <w:pPr>
              <w:pStyle w:val="TableParagraph"/>
            </w:pPr>
          </w:p>
        </w:tc>
        <w:tc>
          <w:tcPr>
            <w:tcW w:w="2268" w:type="dxa"/>
            <w:shd w:val="clear" w:color="auto" w:fill="D9D9D9" w:themeFill="background1" w:themeFillShade="D9"/>
          </w:tcPr>
          <w:p w14:paraId="7A4B1B18" w14:textId="4E96E50F" w:rsidR="00922B20" w:rsidRPr="00CC466B" w:rsidRDefault="00FA2968" w:rsidP="00CC466B">
            <w:pPr>
              <w:pStyle w:val="TableParagraph"/>
            </w:pPr>
            <w:r w:rsidRPr="00CC466B">
              <w:t>e</w:t>
            </w:r>
            <w:r w:rsidR="00922B20" w:rsidRPr="00CC466B">
              <w:t xml:space="preserve"> &gt; 0.03</w:t>
            </w:r>
          </w:p>
        </w:tc>
        <w:tc>
          <w:tcPr>
            <w:tcW w:w="4404" w:type="dxa"/>
            <w:vMerge w:val="restart"/>
            <w:shd w:val="clear" w:color="auto" w:fill="D9D9D9" w:themeFill="background1" w:themeFillShade="D9"/>
          </w:tcPr>
          <w:p w14:paraId="2E5B71F6" w14:textId="43F2ABC1" w:rsidR="00922B20" w:rsidRPr="00CC466B" w:rsidRDefault="00922B20" w:rsidP="00CC466B">
            <w:pPr>
              <w:pStyle w:val="TableParagraph"/>
            </w:pPr>
            <w:r w:rsidRPr="00CC466B">
              <w:t xml:space="preserve">Use blended cement with a minimum of 30% fly ash or 60% ground granulated blast furnace slag </w:t>
            </w:r>
            <w:r w:rsidRPr="00CC466B">
              <w:rPr>
                <w:vertAlign w:val="superscript"/>
              </w:rPr>
              <w:t xml:space="preserve">(3) </w:t>
            </w:r>
            <w:r w:rsidRPr="00CC466B">
              <w:t>in production concrete and limit total alkali level of concrete in accordance with Clause 3.3 of SA HB 79</w:t>
            </w:r>
          </w:p>
        </w:tc>
      </w:tr>
      <w:tr w:rsidR="00922B20" w:rsidRPr="00200689" w14:paraId="7454CF64" w14:textId="77777777" w:rsidTr="00CC466B">
        <w:trPr>
          <w:trHeight w:val="762"/>
        </w:trPr>
        <w:tc>
          <w:tcPr>
            <w:tcW w:w="2551" w:type="dxa"/>
            <w:vMerge w:val="restart"/>
            <w:shd w:val="clear" w:color="auto" w:fill="D9D9D9" w:themeFill="background1" w:themeFillShade="D9"/>
          </w:tcPr>
          <w:p w14:paraId="14085BF1" w14:textId="77777777" w:rsidR="00922B20" w:rsidRPr="00CC466B" w:rsidRDefault="00922B20" w:rsidP="00CC466B">
            <w:pPr>
              <w:pStyle w:val="TableParagraph"/>
            </w:pPr>
            <w:r w:rsidRPr="00CC466B">
              <w:t>0.50 ≤ E &lt; 0.80</w:t>
            </w:r>
          </w:p>
          <w:p w14:paraId="0CDD8991" w14:textId="00754363" w:rsidR="00922B20" w:rsidRPr="00CC466B" w:rsidRDefault="00922B20" w:rsidP="00CC466B">
            <w:pPr>
              <w:pStyle w:val="TableParagraph"/>
            </w:pPr>
            <w:r w:rsidRPr="00CC466B">
              <w:t xml:space="preserve">(Reactive when classified by </w:t>
            </w:r>
            <w:r w:rsidR="009868CA" w:rsidRPr="00CC466B">
              <w:fldChar w:fldCharType="begin"/>
            </w:r>
            <w:r w:rsidR="009868CA" w:rsidRPr="00CC466B">
              <w:instrText xml:space="preserve"> REF _Ref124511833 \h </w:instrText>
            </w:r>
            <w:r w:rsidR="00CC466B">
              <w:instrText xml:space="preserve"> \* MERGEFORMAT </w:instrText>
            </w:r>
            <w:r w:rsidR="009868CA" w:rsidRPr="00CC466B">
              <w:fldChar w:fldCharType="separate"/>
            </w:r>
            <w:r w:rsidR="009868CA" w:rsidRPr="00CC466B">
              <w:t>Table 7.1</w:t>
            </w:r>
            <w:r w:rsidR="009868CA" w:rsidRPr="00CC466B">
              <w:fldChar w:fldCharType="end"/>
            </w:r>
            <w:r w:rsidRPr="00CC466B">
              <w:t>)</w:t>
            </w:r>
          </w:p>
        </w:tc>
        <w:tc>
          <w:tcPr>
            <w:tcW w:w="2268" w:type="dxa"/>
            <w:shd w:val="clear" w:color="auto" w:fill="D9D9D9" w:themeFill="background1" w:themeFillShade="D9"/>
          </w:tcPr>
          <w:p w14:paraId="29F34669" w14:textId="2B3E68CF" w:rsidR="00922B20" w:rsidRPr="00CC466B" w:rsidRDefault="00FA2968" w:rsidP="00CC466B">
            <w:pPr>
              <w:pStyle w:val="TableParagraph"/>
            </w:pPr>
            <w:r w:rsidRPr="00CC466B">
              <w:t>e</w:t>
            </w:r>
            <w:r w:rsidR="00922B20" w:rsidRPr="00CC466B">
              <w:t xml:space="preserve"> &lt; 0.06</w:t>
            </w:r>
          </w:p>
        </w:tc>
        <w:tc>
          <w:tcPr>
            <w:tcW w:w="4404" w:type="dxa"/>
            <w:vMerge/>
            <w:shd w:val="clear" w:color="auto" w:fill="D9D9D9" w:themeFill="background1" w:themeFillShade="D9"/>
          </w:tcPr>
          <w:p w14:paraId="74E0EF9A" w14:textId="038A3426" w:rsidR="00922B20" w:rsidRPr="00CC466B" w:rsidRDefault="00922B20" w:rsidP="00CC466B">
            <w:pPr>
              <w:pStyle w:val="TableParagraph"/>
            </w:pPr>
          </w:p>
        </w:tc>
      </w:tr>
      <w:tr w:rsidR="00922B20" w:rsidRPr="00200689" w14:paraId="62DC5752" w14:textId="77777777" w:rsidTr="00CC466B">
        <w:trPr>
          <w:trHeight w:val="20"/>
        </w:trPr>
        <w:tc>
          <w:tcPr>
            <w:tcW w:w="2551" w:type="dxa"/>
            <w:vMerge/>
            <w:shd w:val="clear" w:color="auto" w:fill="D9D9D9" w:themeFill="background1" w:themeFillShade="D9"/>
          </w:tcPr>
          <w:p w14:paraId="1544AE65" w14:textId="630DAB7E" w:rsidR="00922B20" w:rsidRPr="00CC466B" w:rsidRDefault="00922B20" w:rsidP="00CC466B">
            <w:pPr>
              <w:pStyle w:val="TableParagraph"/>
            </w:pPr>
          </w:p>
        </w:tc>
        <w:tc>
          <w:tcPr>
            <w:tcW w:w="2268" w:type="dxa"/>
            <w:shd w:val="clear" w:color="auto" w:fill="D9D9D9" w:themeFill="background1" w:themeFillShade="D9"/>
          </w:tcPr>
          <w:p w14:paraId="06E30846" w14:textId="5A19C1C9" w:rsidR="00922B20" w:rsidRPr="00CC466B" w:rsidRDefault="00FA2968" w:rsidP="00CC466B">
            <w:pPr>
              <w:pStyle w:val="TableParagraph"/>
            </w:pPr>
            <w:bookmarkStart w:id="29" w:name="_Hlk90474993"/>
            <w:r w:rsidRPr="00CC466B">
              <w:t>e</w:t>
            </w:r>
            <w:r w:rsidR="00922B20" w:rsidRPr="00CC466B">
              <w:t xml:space="preserve"> ≥ 0.06</w:t>
            </w:r>
            <w:bookmarkEnd w:id="29"/>
          </w:p>
        </w:tc>
        <w:tc>
          <w:tcPr>
            <w:tcW w:w="4404" w:type="dxa"/>
            <w:shd w:val="clear" w:color="auto" w:fill="D9D9D9" w:themeFill="background1" w:themeFillShade="D9"/>
          </w:tcPr>
          <w:p w14:paraId="4EC12604" w14:textId="1FABEA33" w:rsidR="00922B20" w:rsidRPr="00CC466B" w:rsidRDefault="0079457D" w:rsidP="00CC466B">
            <w:pPr>
              <w:pStyle w:val="TableParagraph"/>
            </w:pPr>
            <w:r w:rsidRPr="00CC466B">
              <w:t>Do not use the aggregate</w:t>
            </w:r>
          </w:p>
        </w:tc>
      </w:tr>
    </w:tbl>
    <w:p w14:paraId="37661196" w14:textId="07F34691" w:rsidR="001011A2" w:rsidRPr="00200689" w:rsidRDefault="001011A2" w:rsidP="00CC466B">
      <w:pPr>
        <w:pStyle w:val="NoteHeading"/>
      </w:pPr>
      <w:r w:rsidRPr="00200689">
        <w:t>Notes:</w:t>
      </w:r>
    </w:p>
    <w:p w14:paraId="4E326176" w14:textId="0EDC65D9" w:rsidR="00083342" w:rsidRPr="00200689" w:rsidRDefault="00083342" w:rsidP="00936FA3">
      <w:pPr>
        <w:pStyle w:val="Notes"/>
        <w:numPr>
          <w:ilvl w:val="0"/>
          <w:numId w:val="20"/>
        </w:numPr>
        <w:ind w:left="709" w:hanging="283"/>
      </w:pPr>
      <w:r w:rsidRPr="00200689">
        <w:t xml:space="preserve">Ternary blended cement with a minimum of 15% fly ash and a minimum of 25% </w:t>
      </w:r>
      <w:r w:rsidR="005556FD" w:rsidRPr="00200689">
        <w:t xml:space="preserve">ground granulated blast furnace slag </w:t>
      </w:r>
      <w:r w:rsidRPr="00200689">
        <w:t>is permitted. Alternatively, 15% fly ash and 5% well-dispersed amorphous silica may be used.</w:t>
      </w:r>
    </w:p>
    <w:p w14:paraId="7DD1B91D" w14:textId="6073EBBA" w:rsidR="00083342" w:rsidRPr="00200689" w:rsidRDefault="00083342" w:rsidP="00CC466B">
      <w:pPr>
        <w:pStyle w:val="Notes"/>
      </w:pPr>
      <w:r w:rsidRPr="00200689">
        <w:t xml:space="preserve">Ternary blended cement with a minimum of 20% fly ash and a minimum of 30% ground </w:t>
      </w:r>
      <w:r w:rsidR="00611906" w:rsidRPr="00200689">
        <w:t>granulated blast furnace slag</w:t>
      </w:r>
      <w:r w:rsidRPr="00200689">
        <w:t xml:space="preserve"> is permitted. Alternatively, 20% fly ash and 5% well-dispersed amorphous silica may be used.</w:t>
      </w:r>
    </w:p>
    <w:p w14:paraId="71B79826" w14:textId="683ED169" w:rsidR="00083342" w:rsidRPr="00200689" w:rsidRDefault="00083342" w:rsidP="00CC466B">
      <w:pPr>
        <w:pStyle w:val="Notes"/>
      </w:pPr>
      <w:r w:rsidRPr="00200689">
        <w:t xml:space="preserve">Ternary blended cement with a minimum of 20 % fly ash and a minimum of 35% </w:t>
      </w:r>
      <w:r w:rsidR="00611906" w:rsidRPr="00200689">
        <w:t>ground granulated blast furnace slag</w:t>
      </w:r>
      <w:r w:rsidRPr="00200689">
        <w:t xml:space="preserve"> is permitted.</w:t>
      </w:r>
    </w:p>
    <w:p w14:paraId="135E4A64" w14:textId="38F5FA72" w:rsidR="001011A2" w:rsidRPr="00200689" w:rsidRDefault="001011A2" w:rsidP="001A5C95">
      <w:pPr>
        <w:pStyle w:val="Heading1"/>
      </w:pPr>
      <w:bookmarkStart w:id="30" w:name="_Ref90901078"/>
      <w:bookmarkStart w:id="31" w:name="_Ref90901088"/>
      <w:bookmarkStart w:id="32" w:name="_Ref90901172"/>
      <w:bookmarkStart w:id="33" w:name="_Ref90901189"/>
      <w:bookmarkStart w:id="34" w:name="_Ref90901210"/>
      <w:bookmarkStart w:id="35" w:name="_Ref90901261"/>
      <w:bookmarkStart w:id="36" w:name="_Ref90901271"/>
      <w:bookmarkStart w:id="37" w:name="_Toc124413918"/>
      <w:r w:rsidRPr="00200689">
        <w:lastRenderedPageBreak/>
        <w:t xml:space="preserve">Control of AAR Using </w:t>
      </w:r>
      <w:r w:rsidR="002007C6" w:rsidRPr="00200689">
        <w:t>t</w:t>
      </w:r>
      <w:r w:rsidR="00D65085" w:rsidRPr="00200689">
        <w:t>he</w:t>
      </w:r>
      <w:r w:rsidR="00CF5E3A" w:rsidRPr="00200689">
        <w:t xml:space="preserve"> </w:t>
      </w:r>
      <w:r w:rsidRPr="00200689">
        <w:t>“Performance-Based” Approach</w:t>
      </w:r>
      <w:bookmarkEnd w:id="30"/>
      <w:bookmarkEnd w:id="31"/>
      <w:bookmarkEnd w:id="32"/>
      <w:bookmarkEnd w:id="33"/>
      <w:bookmarkEnd w:id="34"/>
      <w:bookmarkEnd w:id="35"/>
      <w:bookmarkEnd w:id="36"/>
      <w:bookmarkEnd w:id="37"/>
    </w:p>
    <w:p w14:paraId="17AA9FD7" w14:textId="572612E4" w:rsidR="001011A2" w:rsidRPr="00200689" w:rsidRDefault="009D4ACC" w:rsidP="00CC466B">
      <w:pPr>
        <w:pStyle w:val="Bodyparanumbered1"/>
      </w:pPr>
      <w:r w:rsidRPr="00200689">
        <w:t>If the Applicant elects to use the “</w:t>
      </w:r>
      <w:r w:rsidR="00F56BEA" w:rsidRPr="00200689">
        <w:t>P</w:t>
      </w:r>
      <w:r w:rsidRPr="00200689">
        <w:t xml:space="preserve">erformance </w:t>
      </w:r>
      <w:r w:rsidR="00F56BEA" w:rsidRPr="00200689">
        <w:t>B</w:t>
      </w:r>
      <w:r w:rsidRPr="00200689">
        <w:t>ased” approach,</w:t>
      </w:r>
      <w:r w:rsidR="00B41C95" w:rsidRPr="00200689">
        <w:t xml:space="preserve"> </w:t>
      </w:r>
      <w:r w:rsidR="001011A2" w:rsidRPr="00200689">
        <w:t>further testing using blended cements (</w:t>
      </w:r>
      <w:proofErr w:type="gramStart"/>
      <w:r w:rsidR="001011A2" w:rsidRPr="00200689">
        <w:t>i.e.</w:t>
      </w:r>
      <w:proofErr w:type="gramEnd"/>
      <w:r w:rsidR="001011A2" w:rsidRPr="00200689">
        <w:t xml:space="preserve"> GP cement blended with the proposed dosage of selected SCMs) </w:t>
      </w:r>
      <w:r w:rsidR="00EE7E2B" w:rsidRPr="00200689">
        <w:t xml:space="preserve">must be carried out. Each of </w:t>
      </w:r>
      <w:r w:rsidR="0013167F" w:rsidRPr="00200689">
        <w:t xml:space="preserve">the </w:t>
      </w:r>
      <w:r w:rsidR="001011A2" w:rsidRPr="00200689">
        <w:t xml:space="preserve">test methods and durations described in </w:t>
      </w:r>
      <w:r w:rsidR="009868CA">
        <w:fldChar w:fldCharType="begin"/>
      </w:r>
      <w:r w:rsidR="009868CA">
        <w:instrText xml:space="preserve"> REF _Ref124512281 \h </w:instrText>
      </w:r>
      <w:r w:rsidR="00CC466B">
        <w:instrText xml:space="preserve"> \* MERGEFORMAT </w:instrText>
      </w:r>
      <w:r w:rsidR="009868CA">
        <w:fldChar w:fldCharType="separate"/>
      </w:r>
      <w:r w:rsidR="009868CA">
        <w:t xml:space="preserve">Table </w:t>
      </w:r>
      <w:r w:rsidR="009868CA">
        <w:rPr>
          <w:noProof/>
        </w:rPr>
        <w:t>10</w:t>
      </w:r>
      <w:r w:rsidR="009868CA">
        <w:t>.</w:t>
      </w:r>
      <w:r w:rsidR="009868CA">
        <w:rPr>
          <w:noProof/>
        </w:rPr>
        <w:t>1</w:t>
      </w:r>
      <w:r w:rsidR="009868CA">
        <w:fldChar w:fldCharType="end"/>
      </w:r>
      <w:r w:rsidR="00BD63F8" w:rsidRPr="00200689">
        <w:t xml:space="preserve"> must be used</w:t>
      </w:r>
      <w:r w:rsidR="00D80D14" w:rsidRPr="00200689">
        <w:t xml:space="preserve"> </w:t>
      </w:r>
      <w:r w:rsidR="001011A2" w:rsidRPr="00200689">
        <w:t>to assess the effectiveness of the proposed mitigation to control AAR</w:t>
      </w:r>
      <w:r w:rsidR="00472703" w:rsidRPr="00200689">
        <w:t>.</w:t>
      </w:r>
      <w:r w:rsidR="00E208D1" w:rsidRPr="00200689">
        <w:t xml:space="preserve"> In addition</w:t>
      </w:r>
      <w:r w:rsidR="00E1103C" w:rsidRPr="00200689">
        <w:t xml:space="preserve">, a CPT using GP cement only </w:t>
      </w:r>
      <w:r w:rsidR="0070000F" w:rsidRPr="00200689">
        <w:t>must be carried out</w:t>
      </w:r>
      <w:r w:rsidR="00C71F03" w:rsidRPr="00200689">
        <w:t>.</w:t>
      </w:r>
    </w:p>
    <w:p w14:paraId="71227807" w14:textId="29106B04" w:rsidR="00785D7C" w:rsidRPr="00200689" w:rsidRDefault="00DC452F" w:rsidP="00CC466B">
      <w:pPr>
        <w:pStyle w:val="Bodyparanumbered1"/>
      </w:pPr>
      <w:r w:rsidRPr="00200689">
        <w:t>The Performance Based approach is not to be used for a “Cri</w:t>
      </w:r>
      <w:r w:rsidR="00A049BE" w:rsidRPr="00200689">
        <w:t>tical Application”.</w:t>
      </w:r>
    </w:p>
    <w:p w14:paraId="523D60F9" w14:textId="7584579F" w:rsidR="001011A2" w:rsidRPr="00200689" w:rsidRDefault="001011A2" w:rsidP="00CC466B">
      <w:pPr>
        <w:pStyle w:val="Bodyparanumbered1"/>
      </w:pPr>
      <w:r w:rsidRPr="00200689">
        <w:t xml:space="preserve">The result of each test is </w:t>
      </w:r>
      <w:r w:rsidR="00BF348F" w:rsidRPr="00200689">
        <w:t xml:space="preserve">deemed </w:t>
      </w:r>
      <w:r w:rsidR="00166F4C" w:rsidRPr="00200689">
        <w:t>to be</w:t>
      </w:r>
      <w:r w:rsidRPr="00200689">
        <w:t xml:space="preserve"> the average of a minimum 5 test specimens</w:t>
      </w:r>
      <w:r w:rsidR="00166F4C" w:rsidRPr="00200689">
        <w:br/>
      </w:r>
      <w:r w:rsidRPr="00200689">
        <w:t>(</w:t>
      </w:r>
      <w:proofErr w:type="gramStart"/>
      <w:r w:rsidRPr="00200689">
        <w:t>i.e.</w:t>
      </w:r>
      <w:proofErr w:type="gramEnd"/>
      <w:r w:rsidRPr="00200689">
        <w:t xml:space="preserve"> 5 replicates) performed at the same laboratory. The variability in results amongst the test specimens must </w:t>
      </w:r>
      <w:r w:rsidR="00E13079" w:rsidRPr="00200689">
        <w:t xml:space="preserve">be considered in accordance </w:t>
      </w:r>
      <w:r w:rsidRPr="00200689">
        <w:t>with Clause 2.8 of SA HB-79.</w:t>
      </w:r>
    </w:p>
    <w:p w14:paraId="72418466" w14:textId="619AAACD" w:rsidR="001011A2" w:rsidRPr="00200689" w:rsidRDefault="009868CA" w:rsidP="00CC466B">
      <w:pPr>
        <w:pStyle w:val="Caption"/>
      </w:pPr>
      <w:bookmarkStart w:id="38" w:name="_Ref124512281"/>
      <w:r>
        <w:t xml:space="preserve">Table </w:t>
      </w:r>
      <w:r>
        <w:fldChar w:fldCharType="begin"/>
      </w:r>
      <w:r>
        <w:instrText xml:space="preserve"> STYLEREF 1 \s </w:instrText>
      </w:r>
      <w:r>
        <w:fldChar w:fldCharType="separate"/>
      </w:r>
      <w:r>
        <w:rPr>
          <w:noProof/>
        </w:rPr>
        <w:t>10</w:t>
      </w:r>
      <w:r>
        <w:fldChar w:fldCharType="end"/>
      </w:r>
      <w:r>
        <w:t>.</w:t>
      </w:r>
      <w:r>
        <w:fldChar w:fldCharType="begin"/>
      </w:r>
      <w:r>
        <w:instrText xml:space="preserve"> SEQ Table \* ARABIC \s 1 </w:instrText>
      </w:r>
      <w:r>
        <w:fldChar w:fldCharType="separate"/>
      </w:r>
      <w:r>
        <w:rPr>
          <w:noProof/>
        </w:rPr>
        <w:t>1</w:t>
      </w:r>
      <w:r>
        <w:fldChar w:fldCharType="end"/>
      </w:r>
      <w:bookmarkEnd w:id="38"/>
      <w:r w:rsidR="00BA65B1" w:rsidRPr="00200689">
        <w:t>:</w:t>
      </w:r>
      <w:r>
        <w:tab/>
      </w:r>
      <w:r w:rsidR="001011A2" w:rsidRPr="00200689">
        <w:t>“Performance-Based” Approach for Control of Potential AAR</w:t>
      </w:r>
    </w:p>
    <w:tbl>
      <w:tblPr>
        <w:tblW w:w="9213" w:type="dxa"/>
        <w:tblInd w:w="41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0" w:type="dxa"/>
          <w:right w:w="0" w:type="dxa"/>
        </w:tblCellMar>
        <w:tblLook w:val="01E0" w:firstRow="1" w:lastRow="1" w:firstColumn="1" w:lastColumn="1" w:noHBand="0" w:noVBand="0"/>
      </w:tblPr>
      <w:tblGrid>
        <w:gridCol w:w="3827"/>
        <w:gridCol w:w="5386"/>
      </w:tblGrid>
      <w:tr w:rsidR="00EA28E9" w:rsidRPr="00936FA3" w14:paraId="4EAAE048" w14:textId="77777777" w:rsidTr="00936FA3">
        <w:trPr>
          <w:trHeight w:val="20"/>
        </w:trPr>
        <w:tc>
          <w:tcPr>
            <w:tcW w:w="3827" w:type="dxa"/>
            <w:shd w:val="clear" w:color="auto" w:fill="BFBFBF" w:themeFill="background1" w:themeFillShade="BF"/>
            <w:vAlign w:val="center"/>
          </w:tcPr>
          <w:p w14:paraId="3694CB19" w14:textId="77777777" w:rsidR="00EA28E9" w:rsidRPr="00936FA3" w:rsidRDefault="00EA28E9" w:rsidP="00936FA3">
            <w:pPr>
              <w:pStyle w:val="TableParagraph"/>
              <w:spacing w:before="120" w:after="120"/>
              <w:ind w:left="107"/>
              <w:rPr>
                <w:rFonts w:cs="Arial"/>
                <w:b/>
                <w:szCs w:val="18"/>
              </w:rPr>
            </w:pPr>
            <w:r w:rsidRPr="00936FA3">
              <w:rPr>
                <w:rFonts w:cs="Arial"/>
                <w:b/>
                <w:szCs w:val="18"/>
              </w:rPr>
              <w:t>Testing Methodology</w:t>
            </w:r>
          </w:p>
        </w:tc>
        <w:tc>
          <w:tcPr>
            <w:tcW w:w="5386" w:type="dxa"/>
            <w:shd w:val="clear" w:color="auto" w:fill="BFBFBF" w:themeFill="background1" w:themeFillShade="BF"/>
            <w:vAlign w:val="center"/>
          </w:tcPr>
          <w:p w14:paraId="112EE243" w14:textId="2D5EA4C7" w:rsidR="00EA28E9" w:rsidRPr="00936FA3" w:rsidRDefault="00EA28E9" w:rsidP="00936FA3">
            <w:pPr>
              <w:pStyle w:val="TableParagraph"/>
              <w:spacing w:before="120" w:after="120"/>
              <w:ind w:left="107"/>
              <w:rPr>
                <w:rFonts w:cs="Arial"/>
                <w:b/>
                <w:szCs w:val="18"/>
              </w:rPr>
            </w:pPr>
            <w:r w:rsidRPr="00936FA3">
              <w:rPr>
                <w:rFonts w:cs="Arial"/>
                <w:b/>
                <w:szCs w:val="18"/>
              </w:rPr>
              <w:t>Acceptance Limits</w:t>
            </w:r>
            <w:r w:rsidR="001812EC" w:rsidRPr="00936FA3">
              <w:rPr>
                <w:rFonts w:cs="Arial"/>
                <w:b/>
                <w:szCs w:val="18"/>
              </w:rPr>
              <w:t xml:space="preserve"> </w:t>
            </w:r>
            <w:r w:rsidR="001812EC" w:rsidRPr="00936FA3">
              <w:rPr>
                <w:rFonts w:cs="Arial"/>
                <w:b/>
                <w:szCs w:val="18"/>
                <w:vertAlign w:val="superscript"/>
              </w:rPr>
              <w:t>(3)</w:t>
            </w:r>
          </w:p>
        </w:tc>
      </w:tr>
      <w:tr w:rsidR="00EA28E9" w:rsidRPr="00936FA3" w14:paraId="7E42A806" w14:textId="77777777" w:rsidTr="00936FA3">
        <w:trPr>
          <w:trHeight w:val="20"/>
        </w:trPr>
        <w:tc>
          <w:tcPr>
            <w:tcW w:w="3827" w:type="dxa"/>
            <w:shd w:val="clear" w:color="auto" w:fill="D9D9D9" w:themeFill="background1" w:themeFillShade="D9"/>
          </w:tcPr>
          <w:p w14:paraId="02510A9F" w14:textId="77777777" w:rsidR="00EA28E9" w:rsidRPr="00936FA3" w:rsidRDefault="00EA28E9" w:rsidP="003679F9">
            <w:pPr>
              <w:pStyle w:val="TableParagraph"/>
              <w:spacing w:before="120" w:after="120"/>
              <w:ind w:left="208" w:right="195"/>
              <w:rPr>
                <w:rFonts w:cs="Arial"/>
                <w:szCs w:val="18"/>
              </w:rPr>
            </w:pPr>
            <w:r w:rsidRPr="00936FA3">
              <w:rPr>
                <w:rFonts w:cs="Arial"/>
                <w:szCs w:val="18"/>
              </w:rPr>
              <w:t xml:space="preserve">AS 1141.60.1 </w:t>
            </w:r>
            <w:r w:rsidRPr="00936FA3">
              <w:rPr>
                <w:rFonts w:cs="Arial"/>
                <w:szCs w:val="18"/>
                <w:vertAlign w:val="superscript"/>
              </w:rPr>
              <w:t>(1)</w:t>
            </w:r>
          </w:p>
        </w:tc>
        <w:tc>
          <w:tcPr>
            <w:tcW w:w="5386" w:type="dxa"/>
            <w:shd w:val="clear" w:color="auto" w:fill="D9D9D9" w:themeFill="background1" w:themeFillShade="D9"/>
          </w:tcPr>
          <w:p w14:paraId="7A112197" w14:textId="18E9857E" w:rsidR="00EA28E9" w:rsidRPr="00936FA3" w:rsidRDefault="00EA28E9" w:rsidP="003679F9">
            <w:pPr>
              <w:pStyle w:val="TableParagraph"/>
              <w:spacing w:before="120" w:after="120"/>
              <w:ind w:left="208" w:right="195"/>
              <w:rPr>
                <w:rFonts w:cs="Arial"/>
                <w:szCs w:val="18"/>
              </w:rPr>
            </w:pPr>
            <w:r w:rsidRPr="00936FA3">
              <w:rPr>
                <w:rFonts w:cs="Arial"/>
                <w:szCs w:val="18"/>
              </w:rPr>
              <w:t>Expansion &lt; 0.1% at 21 days</w:t>
            </w:r>
          </w:p>
        </w:tc>
      </w:tr>
      <w:tr w:rsidR="00EA28E9" w:rsidRPr="00936FA3" w14:paraId="0B562E5E" w14:textId="77777777" w:rsidTr="00936FA3">
        <w:trPr>
          <w:trHeight w:val="20"/>
        </w:trPr>
        <w:tc>
          <w:tcPr>
            <w:tcW w:w="3827" w:type="dxa"/>
            <w:shd w:val="clear" w:color="auto" w:fill="D9D9D9" w:themeFill="background1" w:themeFillShade="D9"/>
          </w:tcPr>
          <w:p w14:paraId="2D0F155A" w14:textId="088CCBEB" w:rsidR="00EA28E9" w:rsidRPr="00936FA3" w:rsidRDefault="00EA28E9" w:rsidP="00DB65B4">
            <w:pPr>
              <w:pStyle w:val="TableParagraph"/>
              <w:spacing w:before="120" w:after="120"/>
              <w:ind w:left="208" w:right="195"/>
              <w:rPr>
                <w:rFonts w:cs="Arial"/>
                <w:szCs w:val="18"/>
              </w:rPr>
            </w:pPr>
            <w:r w:rsidRPr="00936FA3">
              <w:rPr>
                <w:rFonts w:cs="Arial"/>
                <w:szCs w:val="18"/>
              </w:rPr>
              <w:t>AS 1141.60.2</w:t>
            </w:r>
            <w:r w:rsidRPr="00936FA3">
              <w:rPr>
                <w:rFonts w:cs="Arial"/>
                <w:szCs w:val="18"/>
                <w:vertAlign w:val="superscript"/>
              </w:rPr>
              <w:t xml:space="preserve"> </w:t>
            </w:r>
            <w:r w:rsidR="00DB65B4" w:rsidRPr="00936FA3">
              <w:rPr>
                <w:rFonts w:cs="Arial"/>
                <w:szCs w:val="18"/>
                <w:vertAlign w:val="superscript"/>
              </w:rPr>
              <w:t>(2)</w:t>
            </w:r>
          </w:p>
        </w:tc>
        <w:tc>
          <w:tcPr>
            <w:tcW w:w="5386" w:type="dxa"/>
            <w:shd w:val="clear" w:color="auto" w:fill="D9D9D9" w:themeFill="background1" w:themeFillShade="D9"/>
          </w:tcPr>
          <w:p w14:paraId="36B2FB0F" w14:textId="57465646" w:rsidR="00EA28E9" w:rsidRPr="00936FA3" w:rsidRDefault="00EA28E9" w:rsidP="003679F9">
            <w:pPr>
              <w:pStyle w:val="TableParagraph"/>
              <w:spacing w:before="120" w:after="120"/>
              <w:ind w:left="208" w:right="195"/>
              <w:rPr>
                <w:rFonts w:cs="Arial"/>
                <w:szCs w:val="18"/>
              </w:rPr>
            </w:pPr>
            <w:r w:rsidRPr="00936FA3">
              <w:rPr>
                <w:rFonts w:cs="Arial"/>
                <w:szCs w:val="18"/>
              </w:rPr>
              <w:t>Expansion &lt; 0.03% at two years</w:t>
            </w:r>
          </w:p>
        </w:tc>
      </w:tr>
    </w:tbl>
    <w:p w14:paraId="20B9D95A" w14:textId="77777777" w:rsidR="001011A2" w:rsidRPr="00200689" w:rsidRDefault="001011A2" w:rsidP="00CC466B">
      <w:pPr>
        <w:pStyle w:val="NoteHeading"/>
      </w:pPr>
      <w:r w:rsidRPr="00200689">
        <w:t>Notes:</w:t>
      </w:r>
    </w:p>
    <w:p w14:paraId="14D417D5" w14:textId="0D18D902" w:rsidR="001011A2" w:rsidRPr="00200689" w:rsidRDefault="001011A2" w:rsidP="00936FA3">
      <w:pPr>
        <w:pStyle w:val="Notes"/>
        <w:numPr>
          <w:ilvl w:val="0"/>
          <w:numId w:val="22"/>
        </w:numPr>
        <w:ind w:left="709" w:hanging="283"/>
      </w:pPr>
      <w:r w:rsidRPr="00200689">
        <w:t>The test must be in accordance with AS 1141.60.1, except that blended cements containing the proposed SCM dosages are used in the sample mix.</w:t>
      </w:r>
    </w:p>
    <w:p w14:paraId="27A2FA75" w14:textId="0297A2E7" w:rsidR="00593649" w:rsidRPr="00200689" w:rsidRDefault="001011A2" w:rsidP="00CC466B">
      <w:pPr>
        <w:pStyle w:val="Notes"/>
      </w:pPr>
      <w:r w:rsidRPr="00200689">
        <w:t>The test must be in accordance with AS 1141.60.2, except that blended cements containing the proposed SCM dosages are used in the sample mix</w:t>
      </w:r>
      <w:r w:rsidR="00DC0BE3" w:rsidRPr="00200689">
        <w:t xml:space="preserve"> and measurement must continue for two years</w:t>
      </w:r>
      <w:r w:rsidRPr="00200689">
        <w:t>.</w:t>
      </w:r>
    </w:p>
    <w:p w14:paraId="6EDD2D5D" w14:textId="37A72FFC" w:rsidR="001812EC" w:rsidRPr="00200689" w:rsidRDefault="00984715" w:rsidP="00CC466B">
      <w:pPr>
        <w:pStyle w:val="Notes"/>
      </w:pPr>
      <w:r w:rsidRPr="00200689">
        <w:t>If the CPT result E is ≥ 0.06</w:t>
      </w:r>
      <w:r w:rsidR="00C248DA" w:rsidRPr="00200689">
        <w:t xml:space="preserve"> when </w:t>
      </w:r>
      <w:r w:rsidR="00536888" w:rsidRPr="00200689">
        <w:t xml:space="preserve">using GP cement only, </w:t>
      </w:r>
      <w:r w:rsidRPr="00200689">
        <w:t xml:space="preserve">the aggregate must not be </w:t>
      </w:r>
      <w:r w:rsidR="00C248DA" w:rsidRPr="00200689">
        <w:t>used in a “</w:t>
      </w:r>
      <w:r w:rsidR="00424DE6" w:rsidRPr="00200689">
        <w:t>Critical Application</w:t>
      </w:r>
      <w:r w:rsidR="00C248DA" w:rsidRPr="00200689">
        <w:t>”</w:t>
      </w:r>
      <w:r w:rsidR="0040763A" w:rsidRPr="00200689">
        <w:t>,</w:t>
      </w:r>
      <w:r w:rsidR="00536888" w:rsidRPr="00200689">
        <w:t xml:space="preserve"> even if it meets the requirements of </w:t>
      </w:r>
      <w:r w:rsidR="009868CA">
        <w:fldChar w:fldCharType="begin"/>
      </w:r>
      <w:r w:rsidR="009868CA">
        <w:instrText xml:space="preserve"> REF _Ref124512281 \h </w:instrText>
      </w:r>
      <w:r w:rsidR="009868CA">
        <w:fldChar w:fldCharType="separate"/>
      </w:r>
      <w:r w:rsidR="009868CA">
        <w:t xml:space="preserve">Table </w:t>
      </w:r>
      <w:r w:rsidR="009868CA">
        <w:rPr>
          <w:noProof/>
        </w:rPr>
        <w:t>10</w:t>
      </w:r>
      <w:r w:rsidR="009868CA">
        <w:t>.</w:t>
      </w:r>
      <w:r w:rsidR="009868CA">
        <w:rPr>
          <w:noProof/>
        </w:rPr>
        <w:t>1</w:t>
      </w:r>
      <w:r w:rsidR="009868CA">
        <w:fldChar w:fldCharType="end"/>
      </w:r>
      <w:r w:rsidR="0040763A" w:rsidRPr="00200689">
        <w:t>.</w:t>
      </w:r>
    </w:p>
    <w:p w14:paraId="4879337F" w14:textId="77777777" w:rsidR="009A66A5" w:rsidRPr="00200689" w:rsidRDefault="009A66A5" w:rsidP="00CC466B">
      <w:pPr>
        <w:pStyle w:val="Bodyparanumbered1"/>
      </w:pPr>
      <w:r w:rsidRPr="00200689">
        <w:t xml:space="preserve">The Applicant must establish and maintain a register of mix details, including complete details of the aggregates, cementitious </w:t>
      </w:r>
      <w:proofErr w:type="gramStart"/>
      <w:r w:rsidRPr="00200689">
        <w:t>materials</w:t>
      </w:r>
      <w:proofErr w:type="gramEnd"/>
      <w:r w:rsidRPr="00200689">
        <w:t xml:space="preserve"> and test results, which must be included in the application.</w:t>
      </w:r>
    </w:p>
    <w:p w14:paraId="1D9668BA" w14:textId="07279B8A" w:rsidR="001011A2" w:rsidRPr="00200689" w:rsidRDefault="001011A2" w:rsidP="001A5C95">
      <w:pPr>
        <w:pStyle w:val="Heading1"/>
      </w:pPr>
      <w:bookmarkStart w:id="39" w:name="_Ref90901242"/>
      <w:bookmarkStart w:id="40" w:name="_Ref90901243"/>
      <w:bookmarkStart w:id="41" w:name="_Hlk90540000"/>
      <w:bookmarkStart w:id="42" w:name="_Toc124413919"/>
      <w:r w:rsidRPr="00200689">
        <w:t>Management of AAR at Quarries</w:t>
      </w:r>
      <w:bookmarkEnd w:id="39"/>
      <w:bookmarkEnd w:id="40"/>
      <w:bookmarkEnd w:id="42"/>
    </w:p>
    <w:p w14:paraId="0C2F39C6" w14:textId="77777777" w:rsidR="00BF0F97" w:rsidRPr="00200689" w:rsidRDefault="001F58AE" w:rsidP="00CC466B">
      <w:pPr>
        <w:pStyle w:val="Bodyparanumbered1"/>
      </w:pPr>
      <w:r w:rsidRPr="00200689">
        <w:t xml:space="preserve">The quarry must establish and maintain </w:t>
      </w:r>
      <w:r w:rsidR="00064193" w:rsidRPr="00200689">
        <w:t>a</w:t>
      </w:r>
      <w:r w:rsidRPr="00200689">
        <w:t xml:space="preserve"> </w:t>
      </w:r>
      <w:r w:rsidR="003C73CA" w:rsidRPr="00200689">
        <w:t>Q</w:t>
      </w:r>
      <w:r w:rsidRPr="00200689">
        <w:t xml:space="preserve">uality </w:t>
      </w:r>
      <w:r w:rsidR="003C73CA" w:rsidRPr="00200689">
        <w:t>P</w:t>
      </w:r>
      <w:r w:rsidRPr="00200689">
        <w:t xml:space="preserve">lan that includes regular testing </w:t>
      </w:r>
      <w:r w:rsidR="00522618" w:rsidRPr="00200689">
        <w:t xml:space="preserve">for AAR </w:t>
      </w:r>
      <w:r w:rsidRPr="00200689">
        <w:t xml:space="preserve">and </w:t>
      </w:r>
      <w:r w:rsidR="00FB7B12" w:rsidRPr="00200689">
        <w:t xml:space="preserve">reporting in accordance with this </w:t>
      </w:r>
      <w:r w:rsidR="006437A1" w:rsidRPr="00200689">
        <w:t>C</w:t>
      </w:r>
      <w:r w:rsidR="00FB7B12" w:rsidRPr="00200689">
        <w:t xml:space="preserve">ode of </w:t>
      </w:r>
      <w:r w:rsidR="006437A1" w:rsidRPr="00200689">
        <w:t>P</w:t>
      </w:r>
      <w:r w:rsidR="00FB7B12" w:rsidRPr="00200689">
        <w:t>ractice.</w:t>
      </w:r>
    </w:p>
    <w:p w14:paraId="467A23EC" w14:textId="6A286BFD" w:rsidR="00BF0F97" w:rsidRPr="00200689" w:rsidRDefault="000C0778" w:rsidP="00CC466B">
      <w:pPr>
        <w:pStyle w:val="Bodyparanumbered1"/>
      </w:pPr>
      <w:r w:rsidRPr="00200689">
        <w:t>For each rock type</w:t>
      </w:r>
      <w:r w:rsidR="00BF0F97" w:rsidRPr="00200689">
        <w:t xml:space="preserve">, testing using the AMBT </w:t>
      </w:r>
      <w:r w:rsidRPr="00200689">
        <w:t>(</w:t>
      </w:r>
      <w:r w:rsidR="00BF0F97" w:rsidRPr="00200689">
        <w:t xml:space="preserve">and CPT </w:t>
      </w:r>
      <w:r w:rsidRPr="00200689">
        <w:t xml:space="preserve">if necessary) </w:t>
      </w:r>
      <w:r w:rsidR="00BF0F97" w:rsidRPr="00200689">
        <w:t>in accordance with this Code of Practice must be carried out at intervals not exceeding one year.</w:t>
      </w:r>
    </w:p>
    <w:p w14:paraId="2CB29704" w14:textId="77777777" w:rsidR="003D1B7F" w:rsidRPr="00200689" w:rsidRDefault="003D1B7F" w:rsidP="00CC466B">
      <w:pPr>
        <w:pStyle w:val="Bodyparanumbered1"/>
      </w:pPr>
      <w:r w:rsidRPr="00200689">
        <w:t xml:space="preserve">During production, the petrology of the material being quarried must be regularly monitored and tested at intervals not exceeding one year. If the petrology of the material changes to the extent that the reactivity may be affected, new testing on that material must be carried out. If the testing indicates that the classification of the aggregate has changed due to a change in expansion, a new application for approval of that material must be submitted. </w:t>
      </w:r>
    </w:p>
    <w:p w14:paraId="41135787" w14:textId="7CA313CD" w:rsidR="00015933" w:rsidRPr="00200689" w:rsidRDefault="00A96EDF" w:rsidP="001A5C95">
      <w:pPr>
        <w:pStyle w:val="Heading1"/>
      </w:pPr>
      <w:bookmarkStart w:id="43" w:name="_Hlk536167376"/>
      <w:bookmarkStart w:id="44" w:name="_Hlk536112941"/>
      <w:bookmarkStart w:id="45" w:name="_Toc9598757"/>
      <w:bookmarkStart w:id="46" w:name="_Ref90900979"/>
      <w:bookmarkStart w:id="47" w:name="_Toc124413920"/>
      <w:bookmarkEnd w:id="41"/>
      <w:bookmarkEnd w:id="43"/>
      <w:bookmarkEnd w:id="44"/>
      <w:bookmarkEnd w:id="45"/>
      <w:r w:rsidRPr="00200689">
        <w:t>Application Details</w:t>
      </w:r>
      <w:bookmarkEnd w:id="46"/>
      <w:bookmarkEnd w:id="47"/>
    </w:p>
    <w:p w14:paraId="48B63569" w14:textId="63C036FF" w:rsidR="00BB3F07" w:rsidRPr="00200689" w:rsidRDefault="00015933" w:rsidP="00CC466B">
      <w:pPr>
        <w:pStyle w:val="Bodyparanumbered1"/>
      </w:pPr>
      <w:r w:rsidRPr="00200689">
        <w:t>The</w:t>
      </w:r>
      <w:r w:rsidR="00064193" w:rsidRPr="00200689">
        <w:t xml:space="preserve"> application for approval of the aggregate must include the </w:t>
      </w:r>
      <w:r w:rsidR="00C820A5" w:rsidRPr="00200689">
        <w:t>following</w:t>
      </w:r>
      <w:r w:rsidR="00BB3F07" w:rsidRPr="00200689">
        <w:t>:</w:t>
      </w:r>
    </w:p>
    <w:p w14:paraId="6906AE48" w14:textId="3AA37E24" w:rsidR="00CE5A85" w:rsidRPr="00200689" w:rsidRDefault="00CE5A85" w:rsidP="00936FA3">
      <w:pPr>
        <w:pStyle w:val="Bodyparanumbered2"/>
        <w:numPr>
          <w:ilvl w:val="0"/>
          <w:numId w:val="21"/>
        </w:numPr>
      </w:pPr>
      <w:r w:rsidRPr="00200689">
        <w:t xml:space="preserve">Description </w:t>
      </w:r>
      <w:r w:rsidR="003A20BB" w:rsidRPr="00200689">
        <w:t xml:space="preserve">of </w:t>
      </w:r>
      <w:r w:rsidRPr="00200689">
        <w:t xml:space="preserve">the aggregate </w:t>
      </w:r>
      <w:proofErr w:type="gramStart"/>
      <w:r w:rsidRPr="00200689">
        <w:t>source;</w:t>
      </w:r>
      <w:proofErr w:type="gramEnd"/>
    </w:p>
    <w:p w14:paraId="715ADD92" w14:textId="22E5E85B" w:rsidR="00536037" w:rsidRPr="00200689" w:rsidRDefault="00536037" w:rsidP="00CC466B">
      <w:pPr>
        <w:pStyle w:val="Bodyparanumbered2"/>
      </w:pPr>
      <w:r w:rsidRPr="00200689">
        <w:t>Petrographic Examination</w:t>
      </w:r>
      <w:r w:rsidR="008D3034" w:rsidRPr="00200689">
        <w:t xml:space="preserve"> Report</w:t>
      </w:r>
      <w:r w:rsidR="00120B8B" w:rsidRPr="00200689">
        <w:t>s</w:t>
      </w:r>
      <w:r w:rsidR="00E3267C" w:rsidRPr="00200689">
        <w:t xml:space="preserve"> in accordance with ASTM </w:t>
      </w:r>
      <w:proofErr w:type="gramStart"/>
      <w:r w:rsidR="00E3267C" w:rsidRPr="00200689">
        <w:t>C295</w:t>
      </w:r>
      <w:r w:rsidR="00E362BC" w:rsidRPr="00200689">
        <w:t>;</w:t>
      </w:r>
      <w:proofErr w:type="gramEnd"/>
    </w:p>
    <w:p w14:paraId="679ABC73" w14:textId="3AB3B019" w:rsidR="00064193" w:rsidRPr="00200689" w:rsidRDefault="00536037" w:rsidP="00CC466B">
      <w:pPr>
        <w:pStyle w:val="Bodyparanumbered2"/>
      </w:pPr>
      <w:r w:rsidRPr="00200689">
        <w:t xml:space="preserve">Accelerated Mortar Bar Test </w:t>
      </w:r>
      <w:r w:rsidR="00E362BC" w:rsidRPr="00200689">
        <w:t>Report</w:t>
      </w:r>
      <w:r w:rsidR="00120B8B" w:rsidRPr="00200689">
        <w:t>s</w:t>
      </w:r>
      <w:r w:rsidR="00E3267C" w:rsidRPr="00200689">
        <w:t xml:space="preserve"> in accordance with AS </w:t>
      </w:r>
      <w:proofErr w:type="gramStart"/>
      <w:r w:rsidR="00E3267C" w:rsidRPr="00200689">
        <w:t>1141.60.1</w:t>
      </w:r>
      <w:r w:rsidR="007D1FB9" w:rsidRPr="00200689">
        <w:t>;</w:t>
      </w:r>
      <w:proofErr w:type="gramEnd"/>
    </w:p>
    <w:p w14:paraId="1D029E08" w14:textId="67960560" w:rsidR="008D3034" w:rsidRPr="00200689" w:rsidRDefault="00536037" w:rsidP="00CC466B">
      <w:pPr>
        <w:pStyle w:val="Bodyparanumbered2"/>
      </w:pPr>
      <w:r w:rsidRPr="00200689">
        <w:lastRenderedPageBreak/>
        <w:t xml:space="preserve">Unless the </w:t>
      </w:r>
      <w:r w:rsidR="00A925CE" w:rsidRPr="00200689">
        <w:t xml:space="preserve">aggregate is </w:t>
      </w:r>
      <w:r w:rsidR="00400184" w:rsidRPr="00200689">
        <w:t>Non</w:t>
      </w:r>
      <w:r w:rsidR="00A925CE" w:rsidRPr="00200689">
        <w:t>-</w:t>
      </w:r>
      <w:r w:rsidR="00400184" w:rsidRPr="00200689">
        <w:t>Reactive</w:t>
      </w:r>
      <w:r w:rsidR="00A925CE" w:rsidRPr="00200689">
        <w:t xml:space="preserve">, Concrete Prism Test </w:t>
      </w:r>
      <w:r w:rsidR="00E362BC" w:rsidRPr="00200689">
        <w:t>Re</w:t>
      </w:r>
      <w:r w:rsidR="007D1FB9" w:rsidRPr="00200689">
        <w:t>port</w:t>
      </w:r>
      <w:r w:rsidR="002007C6" w:rsidRPr="00200689">
        <w:t>s</w:t>
      </w:r>
      <w:r w:rsidR="007D1FB9" w:rsidRPr="00200689">
        <w:t xml:space="preserve"> </w:t>
      </w:r>
      <w:r w:rsidR="00C820A5" w:rsidRPr="00200689">
        <w:t xml:space="preserve">in accordance </w:t>
      </w:r>
      <w:r w:rsidR="00DE6A0D" w:rsidRPr="00200689">
        <w:t>with AS</w:t>
      </w:r>
      <w:r w:rsidR="007F16CA" w:rsidRPr="00200689">
        <w:t> </w:t>
      </w:r>
      <w:r w:rsidR="00DE6A0D" w:rsidRPr="00200689">
        <w:t xml:space="preserve">1141.60.2 and </w:t>
      </w:r>
      <w:r w:rsidR="00C820A5" w:rsidRPr="00200689">
        <w:t xml:space="preserve">with </w:t>
      </w:r>
      <w:r w:rsidR="001520D1" w:rsidRPr="00200689">
        <w:t xml:space="preserve">Clause </w:t>
      </w:r>
      <w:r w:rsidR="00364602" w:rsidRPr="00200689">
        <w:fldChar w:fldCharType="begin"/>
      </w:r>
      <w:r w:rsidR="00364602" w:rsidRPr="00200689">
        <w:instrText xml:space="preserve"> REF _Ref90901227 \r \h </w:instrText>
      </w:r>
      <w:r w:rsidR="001F1C0F" w:rsidRPr="00200689">
        <w:instrText xml:space="preserve"> \* MERGEFORMAT </w:instrText>
      </w:r>
      <w:r w:rsidR="00364602" w:rsidRPr="00200689">
        <w:fldChar w:fldCharType="separate"/>
      </w:r>
      <w:r w:rsidR="0071215B" w:rsidRPr="00200689">
        <w:t>9</w:t>
      </w:r>
      <w:r w:rsidR="00364602" w:rsidRPr="00200689">
        <w:fldChar w:fldCharType="end"/>
      </w:r>
      <w:r w:rsidR="001520D1" w:rsidRPr="00200689">
        <w:t xml:space="preserve"> or Clause </w:t>
      </w:r>
      <w:r w:rsidR="006502F3" w:rsidRPr="00200689">
        <w:fldChar w:fldCharType="begin"/>
      </w:r>
      <w:r w:rsidR="006502F3" w:rsidRPr="00200689">
        <w:instrText xml:space="preserve"> REF _Ref90901261 \r \h </w:instrText>
      </w:r>
      <w:r w:rsidR="001F1C0F" w:rsidRPr="00200689">
        <w:instrText xml:space="preserve"> \* MERGEFORMAT </w:instrText>
      </w:r>
      <w:r w:rsidR="006502F3" w:rsidRPr="00200689">
        <w:fldChar w:fldCharType="separate"/>
      </w:r>
      <w:r w:rsidR="0071215B" w:rsidRPr="00200689">
        <w:t>10</w:t>
      </w:r>
      <w:r w:rsidR="006502F3" w:rsidRPr="00200689">
        <w:fldChar w:fldCharType="end"/>
      </w:r>
      <w:r w:rsidR="001520D1" w:rsidRPr="00200689">
        <w:t xml:space="preserve"> </w:t>
      </w:r>
      <w:r w:rsidR="008D3034" w:rsidRPr="00200689">
        <w:t>(</w:t>
      </w:r>
      <w:r w:rsidR="001520D1" w:rsidRPr="00200689">
        <w:t>as applicable</w:t>
      </w:r>
      <w:r w:rsidR="008D3034" w:rsidRPr="00200689">
        <w:t>)</w:t>
      </w:r>
      <w:r w:rsidR="002007C6" w:rsidRPr="00200689">
        <w:t>;</w:t>
      </w:r>
    </w:p>
    <w:p w14:paraId="2441D4C9" w14:textId="553E3FCD" w:rsidR="00542F90" w:rsidRPr="00200689" w:rsidRDefault="00542F90" w:rsidP="00CC466B">
      <w:pPr>
        <w:pStyle w:val="Bodyparanumbered2"/>
      </w:pPr>
      <w:r w:rsidRPr="00200689">
        <w:t xml:space="preserve">Quality Plan for the management of AAR in accordance with Clause </w:t>
      </w:r>
      <w:r w:rsidRPr="00200689">
        <w:fldChar w:fldCharType="begin"/>
      </w:r>
      <w:r w:rsidRPr="00200689">
        <w:instrText xml:space="preserve"> REF _Ref90901243 \r \h  \* MERGEFORMAT </w:instrText>
      </w:r>
      <w:r w:rsidRPr="00200689">
        <w:fldChar w:fldCharType="separate"/>
      </w:r>
      <w:r w:rsidR="0071215B" w:rsidRPr="00200689">
        <w:t>11</w:t>
      </w:r>
      <w:r w:rsidRPr="00200689">
        <w:fldChar w:fldCharType="end"/>
      </w:r>
      <w:r w:rsidRPr="00200689">
        <w:t xml:space="preserve">; </w:t>
      </w:r>
    </w:p>
    <w:p w14:paraId="0C8CD73F" w14:textId="77777777" w:rsidR="00542F90" w:rsidRPr="00200689" w:rsidRDefault="00542F90" w:rsidP="00CC466B">
      <w:pPr>
        <w:pStyle w:val="Bodyparanumbered2"/>
      </w:pPr>
      <w:r w:rsidRPr="00200689">
        <w:t>Evidence that the potential for AAR has been regularly monitored in accordance with the Quality Plan for a period of not less than 5 years (or the life of the quarry if it is newly established); and</w:t>
      </w:r>
    </w:p>
    <w:p w14:paraId="122A5685" w14:textId="77777777" w:rsidR="00542F90" w:rsidRPr="00200689" w:rsidRDefault="00542F90" w:rsidP="00CC466B">
      <w:pPr>
        <w:pStyle w:val="Bodyparanumbered2"/>
      </w:pPr>
      <w:r w:rsidRPr="00200689">
        <w:t>historical performance data on the use of the aggregates, including mix constituents (including cement type and cement content), cement alkali level, compressive strength test results.</w:t>
      </w:r>
    </w:p>
    <w:p w14:paraId="7CD6A914" w14:textId="550C9A6C" w:rsidR="00B752FB" w:rsidRPr="00200689" w:rsidRDefault="00E63C81" w:rsidP="00CC466B">
      <w:pPr>
        <w:pStyle w:val="Bodyparanumbered1"/>
      </w:pPr>
      <w:r w:rsidRPr="00200689">
        <w:t xml:space="preserve">If the Performance based </w:t>
      </w:r>
      <w:r w:rsidR="003A20BB" w:rsidRPr="00200689">
        <w:t>approach</w:t>
      </w:r>
      <w:r w:rsidRPr="00200689">
        <w:t xml:space="preserve"> described in </w:t>
      </w:r>
      <w:r w:rsidR="003A20BB" w:rsidRPr="00200689">
        <w:t>Clause</w:t>
      </w:r>
      <w:r w:rsidRPr="00200689">
        <w:t xml:space="preserve"> </w:t>
      </w:r>
      <w:r w:rsidR="006502F3" w:rsidRPr="00200689">
        <w:fldChar w:fldCharType="begin"/>
      </w:r>
      <w:r w:rsidR="006502F3" w:rsidRPr="00200689">
        <w:instrText xml:space="preserve"> REF _Ref90901271 \r \h </w:instrText>
      </w:r>
      <w:r w:rsidR="001F1C0F" w:rsidRPr="00200689">
        <w:instrText xml:space="preserve"> \* MERGEFORMAT </w:instrText>
      </w:r>
      <w:r w:rsidR="006502F3" w:rsidRPr="00200689">
        <w:fldChar w:fldCharType="separate"/>
      </w:r>
      <w:r w:rsidR="0071215B" w:rsidRPr="00200689">
        <w:t>10</w:t>
      </w:r>
      <w:r w:rsidR="006502F3" w:rsidRPr="00200689">
        <w:fldChar w:fldCharType="end"/>
      </w:r>
      <w:r w:rsidRPr="00200689">
        <w:t xml:space="preserve"> is used, </w:t>
      </w:r>
      <w:r w:rsidR="003A20BB" w:rsidRPr="00200689">
        <w:t>the reports</w:t>
      </w:r>
      <w:r w:rsidR="00CA3E68" w:rsidRPr="00200689">
        <w:t xml:space="preserve"> must include full details of the source and proportions of </w:t>
      </w:r>
      <w:bookmarkStart w:id="48" w:name="_Hlk90541172"/>
      <w:r w:rsidR="003A20BB" w:rsidRPr="00200689">
        <w:t>cementitious materials</w:t>
      </w:r>
      <w:bookmarkEnd w:id="48"/>
      <w:r w:rsidR="003A20BB" w:rsidRPr="00200689">
        <w:t>.</w:t>
      </w:r>
      <w:r w:rsidR="00691FE9" w:rsidRPr="00200689">
        <w:t xml:space="preserve"> Any proposed change to the cementitious materials will require the submission of a new application.</w:t>
      </w:r>
    </w:p>
    <w:p w14:paraId="5EAA8058" w14:textId="77777777" w:rsidR="00FA34FA" w:rsidRPr="00200689" w:rsidRDefault="00FA34FA" w:rsidP="00CC466B">
      <w:pPr>
        <w:pStyle w:val="Bodyparanumbered1"/>
      </w:pPr>
      <w:r w:rsidRPr="00200689">
        <w:t xml:space="preserve">To maintain approval of the aggregate, a new application must be submitted to </w:t>
      </w:r>
      <w:r w:rsidRPr="00CC466B">
        <w:rPr>
          <w:i/>
          <w:iCs/>
          <w:color w:val="FF4519"/>
        </w:rPr>
        <w:t xml:space="preserve">[insert agency name] </w:t>
      </w:r>
      <w:r w:rsidRPr="00200689">
        <w:t>at periods not exceeding 12 months.</w:t>
      </w:r>
    </w:p>
    <w:p w14:paraId="1B03E2B2" w14:textId="77777777" w:rsidR="003647CC" w:rsidRDefault="003647CC" w:rsidP="000C5086">
      <w:pPr>
        <w:pStyle w:val="Bodynumbered1"/>
        <w:numPr>
          <w:ilvl w:val="0"/>
          <w:numId w:val="0"/>
        </w:numPr>
        <w:ind w:left="426"/>
        <w:sectPr w:rsidR="003647CC" w:rsidSect="001769D6">
          <w:pgSz w:w="11906" w:h="16838" w:code="9"/>
          <w:pgMar w:top="1134" w:right="1134" w:bottom="1134" w:left="1134" w:header="709" w:footer="624" w:gutter="0"/>
          <w:cols w:space="708"/>
          <w:titlePg/>
          <w:docGrid w:linePitch="360"/>
        </w:sectPr>
      </w:pPr>
    </w:p>
    <w:p w14:paraId="14BDD42F" w14:textId="0269CA0C" w:rsidR="0009146C" w:rsidRPr="001F1C0F" w:rsidRDefault="003647CC" w:rsidP="000C5086">
      <w:pPr>
        <w:pStyle w:val="Bodynumbered1"/>
        <w:numPr>
          <w:ilvl w:val="0"/>
          <w:numId w:val="0"/>
        </w:numPr>
        <w:ind w:left="426"/>
      </w:pPr>
      <w:r>
        <w:rPr>
          <w:noProof/>
        </w:rPr>
        <w:lastRenderedPageBreak/>
        <w:drawing>
          <wp:anchor distT="0" distB="0" distL="114300" distR="114300" simplePos="0" relativeHeight="251662336" behindDoc="0" locked="0" layoutInCell="1" allowOverlap="1" wp14:anchorId="2F78E43C" wp14:editId="29123FA4">
            <wp:simplePos x="0" y="0"/>
            <wp:positionH relativeFrom="page">
              <wp:align>right</wp:align>
            </wp:positionH>
            <wp:positionV relativeFrom="paragraph">
              <wp:posOffset>-914400</wp:posOffset>
            </wp:positionV>
            <wp:extent cx="7548466" cy="10677525"/>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8466" cy="10677525"/>
                    </a:xfrm>
                    <a:prstGeom prst="rect">
                      <a:avLst/>
                    </a:prstGeom>
                  </pic:spPr>
                </pic:pic>
              </a:graphicData>
            </a:graphic>
            <wp14:sizeRelH relativeFrom="margin">
              <wp14:pctWidth>0</wp14:pctWidth>
            </wp14:sizeRelH>
            <wp14:sizeRelV relativeFrom="margin">
              <wp14:pctHeight>0</wp14:pctHeight>
            </wp14:sizeRelV>
          </wp:anchor>
        </w:drawing>
      </w:r>
    </w:p>
    <w:sectPr w:rsidR="0009146C" w:rsidRPr="001F1C0F" w:rsidSect="000C5086">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BAB1A" w14:textId="77777777" w:rsidR="005B604D" w:rsidRDefault="005B604D" w:rsidP="003B576C">
      <w:pPr>
        <w:spacing w:before="0"/>
      </w:pPr>
      <w:r>
        <w:separator/>
      </w:r>
    </w:p>
  </w:endnote>
  <w:endnote w:type="continuationSeparator" w:id="0">
    <w:p w14:paraId="7C959815" w14:textId="77777777" w:rsidR="005B604D" w:rsidRDefault="005B604D" w:rsidP="003B57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7BAC" w14:textId="2C7E28BD" w:rsidR="003B576C" w:rsidRPr="003647CC" w:rsidRDefault="003647CC" w:rsidP="003647CC">
    <w:pPr>
      <w:pStyle w:val="Footer"/>
      <w:pBdr>
        <w:top w:val="single" w:sz="2" w:space="4" w:color="404040" w:themeColor="text1" w:themeTint="BF"/>
      </w:pBdr>
      <w:ind w:left="0" w:firstLine="0"/>
      <w:jc w:val="right"/>
      <w:rPr>
        <w:color w:val="404040" w:themeColor="text1" w:themeTint="BF"/>
        <w:sz w:val="16"/>
        <w:szCs w:val="16"/>
      </w:rPr>
    </w:pPr>
    <w:r w:rsidRPr="003647CC">
      <w:rPr>
        <w:color w:val="404040" w:themeColor="text1" w:themeTint="BF"/>
        <w:sz w:val="16"/>
        <w:szCs w:val="16"/>
      </w:rPr>
      <w:t xml:space="preserve">Austroads </w:t>
    </w:r>
    <w:r w:rsidR="000B62CF" w:rsidRPr="003647CC">
      <w:rPr>
        <w:color w:val="404040" w:themeColor="text1" w:themeTint="BF"/>
        <w:sz w:val="16"/>
        <w:szCs w:val="16"/>
      </w:rPr>
      <w:t>202</w:t>
    </w:r>
    <w:r w:rsidRPr="003647CC">
      <w:rPr>
        <w:color w:val="404040" w:themeColor="text1" w:themeTint="BF"/>
        <w:sz w:val="16"/>
        <w:szCs w:val="16"/>
      </w:rPr>
      <w:t>3</w:t>
    </w:r>
    <w:r w:rsidR="000B62CF" w:rsidRPr="003647CC">
      <w:rPr>
        <w:color w:val="404040" w:themeColor="text1" w:themeTint="BF"/>
        <w:sz w:val="16"/>
        <w:szCs w:val="16"/>
      </w:rPr>
      <w:t xml:space="preserve"> </w:t>
    </w:r>
    <w:r w:rsidRPr="003647CC">
      <w:rPr>
        <w:color w:val="404040" w:themeColor="text1" w:themeTint="BF"/>
        <w:sz w:val="16"/>
        <w:szCs w:val="16"/>
      </w:rPr>
      <w:t xml:space="preserve">| </w:t>
    </w:r>
    <w:r w:rsidR="000B62CF" w:rsidRPr="003647CC">
      <w:rPr>
        <w:color w:val="404040" w:themeColor="text1" w:themeTint="BF"/>
        <w:sz w:val="16"/>
        <w:szCs w:val="16"/>
      </w:rPr>
      <w:t xml:space="preserve">Page </w:t>
    </w:r>
    <w:sdt>
      <w:sdtPr>
        <w:rPr>
          <w:color w:val="404040" w:themeColor="text1" w:themeTint="BF"/>
          <w:sz w:val="16"/>
          <w:szCs w:val="16"/>
        </w:rPr>
        <w:id w:val="-970821408"/>
        <w:docPartObj>
          <w:docPartGallery w:val="Page Numbers (Bottom of Page)"/>
          <w:docPartUnique/>
        </w:docPartObj>
      </w:sdtPr>
      <w:sdtEndPr>
        <w:rPr>
          <w:noProof/>
          <w:color w:val="404040" w:themeColor="text1" w:themeTint="BF"/>
        </w:rPr>
      </w:sdtEndPr>
      <w:sdtContent>
        <w:r w:rsidR="003746AA" w:rsidRPr="003647CC">
          <w:rPr>
            <w:color w:val="404040" w:themeColor="text1" w:themeTint="BF"/>
            <w:sz w:val="16"/>
            <w:szCs w:val="16"/>
          </w:rPr>
          <w:fldChar w:fldCharType="begin"/>
        </w:r>
        <w:r w:rsidR="003746AA" w:rsidRPr="003647CC">
          <w:rPr>
            <w:color w:val="404040" w:themeColor="text1" w:themeTint="BF"/>
            <w:sz w:val="16"/>
            <w:szCs w:val="16"/>
          </w:rPr>
          <w:instrText xml:space="preserve"> PAGE   \* MERGEFORMAT </w:instrText>
        </w:r>
        <w:r w:rsidR="003746AA" w:rsidRPr="003647CC">
          <w:rPr>
            <w:color w:val="404040" w:themeColor="text1" w:themeTint="BF"/>
            <w:sz w:val="16"/>
            <w:szCs w:val="16"/>
          </w:rPr>
          <w:fldChar w:fldCharType="separate"/>
        </w:r>
        <w:r w:rsidR="003D2F3F" w:rsidRPr="003647CC">
          <w:rPr>
            <w:noProof/>
            <w:color w:val="404040" w:themeColor="text1" w:themeTint="BF"/>
            <w:sz w:val="16"/>
            <w:szCs w:val="16"/>
          </w:rPr>
          <w:t>1</w:t>
        </w:r>
        <w:r w:rsidR="003746AA" w:rsidRPr="003647CC">
          <w:rPr>
            <w:noProof/>
            <w:color w:val="404040" w:themeColor="text1" w:themeTint="B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0C0E" w14:textId="77777777" w:rsidR="001769D6" w:rsidRPr="003647CC" w:rsidRDefault="001769D6" w:rsidP="001769D6">
    <w:pPr>
      <w:pStyle w:val="Footer"/>
      <w:pBdr>
        <w:top w:val="single" w:sz="2" w:space="4" w:color="404040" w:themeColor="text1" w:themeTint="BF"/>
      </w:pBdr>
      <w:ind w:left="0" w:firstLine="0"/>
      <w:jc w:val="right"/>
      <w:rPr>
        <w:color w:val="404040" w:themeColor="text1" w:themeTint="BF"/>
        <w:sz w:val="16"/>
        <w:szCs w:val="16"/>
      </w:rPr>
    </w:pPr>
    <w:r w:rsidRPr="003647CC">
      <w:rPr>
        <w:color w:val="404040" w:themeColor="text1" w:themeTint="BF"/>
        <w:sz w:val="16"/>
        <w:szCs w:val="16"/>
      </w:rPr>
      <w:t xml:space="preserve">Austroads 2023 | Page </w:t>
    </w:r>
    <w:sdt>
      <w:sdtPr>
        <w:rPr>
          <w:color w:val="404040" w:themeColor="text1" w:themeTint="BF"/>
          <w:sz w:val="16"/>
          <w:szCs w:val="16"/>
        </w:rPr>
        <w:id w:val="-932664586"/>
        <w:docPartObj>
          <w:docPartGallery w:val="Page Numbers (Bottom of Page)"/>
          <w:docPartUnique/>
        </w:docPartObj>
      </w:sdtPr>
      <w:sdtEndPr>
        <w:rPr>
          <w:noProof/>
          <w:color w:val="404040" w:themeColor="text1" w:themeTint="BF"/>
        </w:rPr>
      </w:sdtEndPr>
      <w:sdtContent>
        <w:r w:rsidRPr="003647CC">
          <w:rPr>
            <w:color w:val="404040" w:themeColor="text1" w:themeTint="BF"/>
            <w:sz w:val="16"/>
            <w:szCs w:val="16"/>
          </w:rPr>
          <w:fldChar w:fldCharType="begin"/>
        </w:r>
        <w:r w:rsidRPr="003647CC">
          <w:rPr>
            <w:color w:val="404040" w:themeColor="text1" w:themeTint="BF"/>
            <w:sz w:val="16"/>
            <w:szCs w:val="16"/>
          </w:rPr>
          <w:instrText xml:space="preserve"> PAGE   \* MERGEFORMAT </w:instrText>
        </w:r>
        <w:r w:rsidRPr="003647CC">
          <w:rPr>
            <w:color w:val="404040" w:themeColor="text1" w:themeTint="BF"/>
            <w:sz w:val="16"/>
            <w:szCs w:val="16"/>
          </w:rPr>
          <w:fldChar w:fldCharType="separate"/>
        </w:r>
        <w:r>
          <w:rPr>
            <w:color w:val="404040" w:themeColor="text1" w:themeTint="BF"/>
            <w:sz w:val="16"/>
            <w:szCs w:val="16"/>
          </w:rPr>
          <w:t>2</w:t>
        </w:r>
        <w:r w:rsidRPr="003647CC">
          <w:rPr>
            <w:noProof/>
            <w:color w:val="404040" w:themeColor="text1" w:themeTint="B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FDDF" w14:textId="77777777" w:rsidR="005B604D" w:rsidRDefault="005B604D" w:rsidP="003B576C">
      <w:pPr>
        <w:spacing w:before="0"/>
      </w:pPr>
      <w:r>
        <w:separator/>
      </w:r>
    </w:p>
  </w:footnote>
  <w:footnote w:type="continuationSeparator" w:id="0">
    <w:p w14:paraId="4FE0025B" w14:textId="77777777" w:rsidR="005B604D" w:rsidRDefault="005B604D" w:rsidP="003B576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BD10" w14:textId="13887990" w:rsidR="003B576C" w:rsidRDefault="00F43D07" w:rsidP="001769D6">
    <w:pPr>
      <w:pStyle w:val="Header"/>
      <w:pBdr>
        <w:bottom w:val="single" w:sz="2" w:space="1" w:color="404040" w:themeColor="text1" w:themeTint="BF"/>
      </w:pBdr>
      <w:ind w:left="0" w:firstLine="0"/>
      <w:jc w:val="right"/>
      <w:rPr>
        <w:b/>
        <w:bCs/>
        <w:color w:val="404040" w:themeColor="text1" w:themeTint="BF"/>
        <w:sz w:val="16"/>
        <w:szCs w:val="16"/>
      </w:rPr>
    </w:pPr>
    <w:r w:rsidRPr="003647CC">
      <w:rPr>
        <w:b/>
        <w:bCs/>
        <w:color w:val="404040" w:themeColor="text1" w:themeTint="BF"/>
        <w:sz w:val="16"/>
        <w:szCs w:val="16"/>
      </w:rPr>
      <w:t xml:space="preserve">Austroads: </w:t>
    </w:r>
    <w:r w:rsidR="002014E8" w:rsidRPr="003647CC">
      <w:rPr>
        <w:b/>
        <w:bCs/>
        <w:color w:val="404040" w:themeColor="text1" w:themeTint="BF"/>
        <w:sz w:val="16"/>
        <w:szCs w:val="16"/>
      </w:rPr>
      <w:t xml:space="preserve">Management of </w:t>
    </w:r>
    <w:r w:rsidR="0073070D" w:rsidRPr="003647CC">
      <w:rPr>
        <w:b/>
        <w:bCs/>
        <w:color w:val="404040" w:themeColor="text1" w:themeTint="BF"/>
        <w:sz w:val="16"/>
        <w:szCs w:val="16"/>
      </w:rPr>
      <w:t xml:space="preserve">Alkali Aggregate Reactivity </w:t>
    </w:r>
    <w:r w:rsidRPr="003647CC">
      <w:rPr>
        <w:b/>
        <w:bCs/>
        <w:color w:val="404040" w:themeColor="text1" w:themeTint="BF"/>
        <w:sz w:val="16"/>
        <w:szCs w:val="16"/>
      </w:rPr>
      <w:t>[</w:t>
    </w:r>
    <w:r w:rsidR="00A659BD" w:rsidRPr="003647CC">
      <w:rPr>
        <w:b/>
        <w:bCs/>
        <w:color w:val="404040" w:themeColor="text1" w:themeTint="BF"/>
        <w:sz w:val="16"/>
        <w:szCs w:val="16"/>
      </w:rPr>
      <w:t>Template</w:t>
    </w:r>
    <w:r w:rsidRPr="003647CC">
      <w:rPr>
        <w:b/>
        <w:bCs/>
        <w:color w:val="404040" w:themeColor="text1" w:themeTint="BF"/>
        <w:sz w:val="16"/>
        <w:szCs w:val="16"/>
      </w:rPr>
      <w:t>]</w:t>
    </w:r>
  </w:p>
  <w:p w14:paraId="75AC3EBC" w14:textId="6BEF9FB1" w:rsidR="001769D6" w:rsidRDefault="001769D6" w:rsidP="001769D6">
    <w:pPr>
      <w:pStyle w:val="Header"/>
      <w:ind w:left="0" w:firstLine="0"/>
      <w:jc w:val="right"/>
      <w:rPr>
        <w:b/>
        <w:bCs/>
        <w:color w:val="404040" w:themeColor="text1" w:themeTint="BF"/>
        <w:sz w:val="16"/>
        <w:szCs w:val="16"/>
      </w:rPr>
    </w:pPr>
  </w:p>
  <w:p w14:paraId="62CE2AA1" w14:textId="77777777" w:rsidR="001769D6" w:rsidRPr="003647CC" w:rsidRDefault="001769D6" w:rsidP="001769D6">
    <w:pPr>
      <w:pStyle w:val="Header"/>
      <w:ind w:left="0" w:firstLine="0"/>
      <w:jc w:val="right"/>
      <w:rPr>
        <w:b/>
        <w:bCs/>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1758" w14:textId="77777777" w:rsidR="001769D6" w:rsidRDefault="001769D6" w:rsidP="001769D6">
    <w:pPr>
      <w:pStyle w:val="Header"/>
      <w:pBdr>
        <w:bottom w:val="single" w:sz="2" w:space="1" w:color="404040" w:themeColor="text1" w:themeTint="BF"/>
      </w:pBdr>
      <w:ind w:left="0" w:firstLine="0"/>
      <w:jc w:val="right"/>
      <w:rPr>
        <w:b/>
        <w:bCs/>
        <w:color w:val="404040" w:themeColor="text1" w:themeTint="BF"/>
        <w:sz w:val="16"/>
        <w:szCs w:val="16"/>
      </w:rPr>
    </w:pPr>
    <w:r w:rsidRPr="003647CC">
      <w:rPr>
        <w:b/>
        <w:bCs/>
        <w:color w:val="404040" w:themeColor="text1" w:themeTint="BF"/>
        <w:sz w:val="16"/>
        <w:szCs w:val="16"/>
      </w:rPr>
      <w:t>Austroads: Management of Alkali Aggregate Reactivity [Template]</w:t>
    </w:r>
  </w:p>
  <w:p w14:paraId="6C1058BE" w14:textId="77777777" w:rsidR="001769D6" w:rsidRDefault="001769D6" w:rsidP="001769D6">
    <w:pPr>
      <w:pStyle w:val="Header"/>
      <w:ind w:left="0" w:firstLine="0"/>
      <w:jc w:val="right"/>
      <w:rPr>
        <w:b/>
        <w:bCs/>
        <w:color w:val="404040" w:themeColor="text1" w:themeTint="BF"/>
        <w:sz w:val="16"/>
        <w:szCs w:val="16"/>
      </w:rPr>
    </w:pPr>
  </w:p>
  <w:p w14:paraId="4A295FB1" w14:textId="77777777" w:rsidR="001769D6" w:rsidRPr="003647CC" w:rsidRDefault="001769D6" w:rsidP="001769D6">
    <w:pPr>
      <w:pStyle w:val="Header"/>
      <w:ind w:left="0" w:firstLine="0"/>
      <w:jc w:val="right"/>
      <w:rPr>
        <w:b/>
        <w:bCs/>
        <w:color w:val="404040" w:themeColor="text1" w:themeTint="B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54D6C"/>
    <w:multiLevelType w:val="hybridMultilevel"/>
    <w:tmpl w:val="4E72E7C8"/>
    <w:lvl w:ilvl="0" w:tplc="DBE09FA6">
      <w:numFmt w:val="bullet"/>
      <w:lvlText w:val="•"/>
      <w:lvlJc w:val="left"/>
      <w:pPr>
        <w:ind w:left="4961" w:hanging="435"/>
      </w:pPr>
      <w:rPr>
        <w:rFonts w:ascii="Arial" w:eastAsiaTheme="minorHAnsi" w:hAnsi="Arial" w:cs="Arial" w:hint="default"/>
      </w:rPr>
    </w:lvl>
    <w:lvl w:ilvl="1" w:tplc="0C090003" w:tentative="1">
      <w:start w:val="1"/>
      <w:numFmt w:val="bullet"/>
      <w:lvlText w:val="o"/>
      <w:lvlJc w:val="left"/>
      <w:pPr>
        <w:ind w:left="3703" w:hanging="360"/>
      </w:pPr>
      <w:rPr>
        <w:rFonts w:ascii="Courier New" w:hAnsi="Courier New" w:cs="Courier New" w:hint="default"/>
      </w:rPr>
    </w:lvl>
    <w:lvl w:ilvl="2" w:tplc="0C090005" w:tentative="1">
      <w:start w:val="1"/>
      <w:numFmt w:val="bullet"/>
      <w:lvlText w:val=""/>
      <w:lvlJc w:val="left"/>
      <w:pPr>
        <w:ind w:left="4423" w:hanging="360"/>
      </w:pPr>
      <w:rPr>
        <w:rFonts w:ascii="Wingdings" w:hAnsi="Wingdings" w:hint="default"/>
      </w:rPr>
    </w:lvl>
    <w:lvl w:ilvl="3" w:tplc="A9189684">
      <w:start w:val="1"/>
      <w:numFmt w:val="bullet"/>
      <w:pStyle w:val="Style2"/>
      <w:lvlText w:val=""/>
      <w:lvlJc w:val="left"/>
      <w:pPr>
        <w:ind w:left="5143" w:hanging="360"/>
      </w:pPr>
      <w:rPr>
        <w:rFonts w:ascii="Symbol" w:hAnsi="Symbol" w:hint="default"/>
      </w:rPr>
    </w:lvl>
    <w:lvl w:ilvl="4" w:tplc="0C090003" w:tentative="1">
      <w:start w:val="1"/>
      <w:numFmt w:val="bullet"/>
      <w:lvlText w:val="o"/>
      <w:lvlJc w:val="left"/>
      <w:pPr>
        <w:ind w:left="5863" w:hanging="360"/>
      </w:pPr>
      <w:rPr>
        <w:rFonts w:ascii="Courier New" w:hAnsi="Courier New" w:cs="Courier New" w:hint="default"/>
      </w:rPr>
    </w:lvl>
    <w:lvl w:ilvl="5" w:tplc="0C090005" w:tentative="1">
      <w:start w:val="1"/>
      <w:numFmt w:val="bullet"/>
      <w:lvlText w:val=""/>
      <w:lvlJc w:val="left"/>
      <w:pPr>
        <w:ind w:left="6583" w:hanging="360"/>
      </w:pPr>
      <w:rPr>
        <w:rFonts w:ascii="Wingdings" w:hAnsi="Wingdings" w:hint="default"/>
      </w:rPr>
    </w:lvl>
    <w:lvl w:ilvl="6" w:tplc="0C090001" w:tentative="1">
      <w:start w:val="1"/>
      <w:numFmt w:val="bullet"/>
      <w:lvlText w:val=""/>
      <w:lvlJc w:val="left"/>
      <w:pPr>
        <w:ind w:left="7303" w:hanging="360"/>
      </w:pPr>
      <w:rPr>
        <w:rFonts w:ascii="Symbol" w:hAnsi="Symbol" w:hint="default"/>
      </w:rPr>
    </w:lvl>
    <w:lvl w:ilvl="7" w:tplc="0C090003" w:tentative="1">
      <w:start w:val="1"/>
      <w:numFmt w:val="bullet"/>
      <w:lvlText w:val="o"/>
      <w:lvlJc w:val="left"/>
      <w:pPr>
        <w:ind w:left="8023" w:hanging="360"/>
      </w:pPr>
      <w:rPr>
        <w:rFonts w:ascii="Courier New" w:hAnsi="Courier New" w:cs="Courier New" w:hint="default"/>
      </w:rPr>
    </w:lvl>
    <w:lvl w:ilvl="8" w:tplc="0C090005" w:tentative="1">
      <w:start w:val="1"/>
      <w:numFmt w:val="bullet"/>
      <w:lvlText w:val=""/>
      <w:lvlJc w:val="left"/>
      <w:pPr>
        <w:ind w:left="8743" w:hanging="360"/>
      </w:pPr>
      <w:rPr>
        <w:rFonts w:ascii="Wingdings" w:hAnsi="Wingdings" w:hint="default"/>
      </w:rPr>
    </w:lvl>
  </w:abstractNum>
  <w:abstractNum w:abstractNumId="1" w15:restartNumberingAfterBreak="0">
    <w:nsid w:val="247C51A8"/>
    <w:multiLevelType w:val="multilevel"/>
    <w:tmpl w:val="C5140B22"/>
    <w:lvl w:ilvl="0">
      <w:start w:val="1"/>
      <w:numFmt w:val="decimal"/>
      <w:pStyle w:val="Notes"/>
      <w:lvlText w:val="%1."/>
      <w:lvlJc w:val="left"/>
      <w:pPr>
        <w:ind w:left="1134" w:firstLine="0"/>
      </w:pPr>
    </w:lvl>
    <w:lvl w:ilvl="1">
      <w:start w:val="1"/>
      <w:numFmt w:val="decimal"/>
      <w:lvlText w:val="%1%2"/>
      <w:lvlJc w:val="left"/>
      <w:pPr>
        <w:tabs>
          <w:tab w:val="num" w:pos="425"/>
        </w:tabs>
        <w:ind w:left="425" w:hanging="425"/>
      </w:pPr>
      <w:rPr>
        <w:sz w:val="20"/>
        <w:szCs w:val="20"/>
      </w:rPr>
    </w:lvl>
    <w:lvl w:ilvl="2">
      <w:start w:val="1"/>
      <w:numFmt w:val="decimal"/>
      <w:lvlText w:val="%1.%3"/>
      <w:lvlJc w:val="left"/>
      <w:pPr>
        <w:tabs>
          <w:tab w:val="num" w:pos="1134"/>
        </w:tabs>
        <w:ind w:left="1134" w:hanging="425"/>
      </w:p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lvl>
    <w:lvl w:ilvl="5">
      <w:start w:val="1"/>
      <w:numFmt w:val="decimal"/>
      <w:lvlText w:val="%1.%6"/>
      <w:lvlJc w:val="left"/>
      <w:pPr>
        <w:tabs>
          <w:tab w:val="num" w:pos="2410"/>
        </w:tabs>
        <w:ind w:left="2410" w:hanging="425"/>
      </w:pPr>
    </w:lvl>
    <w:lvl w:ilvl="6">
      <w:start w:val="1"/>
      <w:numFmt w:val="none"/>
      <w:lvlText w:val="%1"/>
      <w:lvlJc w:val="left"/>
      <w:pPr>
        <w:tabs>
          <w:tab w:val="num" w:pos="3402"/>
        </w:tabs>
        <w:ind w:left="3402" w:hanging="425"/>
      </w:pPr>
    </w:lvl>
    <w:lvl w:ilvl="7">
      <w:start w:val="1"/>
      <w:numFmt w:val="none"/>
      <w:lvlText w:val="%1"/>
      <w:lvlJc w:val="left"/>
      <w:pPr>
        <w:tabs>
          <w:tab w:val="num" w:pos="3969"/>
        </w:tabs>
        <w:ind w:left="3969" w:hanging="425"/>
      </w:pPr>
    </w:lvl>
    <w:lvl w:ilvl="8">
      <w:start w:val="1"/>
      <w:numFmt w:val="none"/>
      <w:lvlText w:val="%1%9"/>
      <w:lvlJc w:val="left"/>
      <w:pPr>
        <w:tabs>
          <w:tab w:val="num" w:pos="4831"/>
        </w:tabs>
        <w:ind w:left="4536" w:hanging="425"/>
      </w:pPr>
    </w:lvl>
  </w:abstractNum>
  <w:abstractNum w:abstractNumId="2" w15:restartNumberingAfterBreak="0">
    <w:nsid w:val="262A6482"/>
    <w:multiLevelType w:val="hybridMultilevel"/>
    <w:tmpl w:val="3698E634"/>
    <w:lvl w:ilvl="0" w:tplc="5E625CCA">
      <w:numFmt w:val="bullet"/>
      <w:lvlText w:val="‒"/>
      <w:lvlJc w:val="left"/>
      <w:pPr>
        <w:ind w:left="1854" w:hanging="360"/>
      </w:pPr>
      <w:rPr>
        <w:rFonts w:ascii="Arial" w:eastAsia="Symbol" w:hAnsi="Arial" w:hint="default"/>
        <w:color w:val="313131"/>
        <w:w w:val="99"/>
        <w:sz w:val="20"/>
        <w:szCs w:val="20"/>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2F701DDF"/>
    <w:multiLevelType w:val="hybridMultilevel"/>
    <w:tmpl w:val="011A9342"/>
    <w:lvl w:ilvl="0" w:tplc="CD0A7F88">
      <w:start w:val="1"/>
      <w:numFmt w:val="lowerLetter"/>
      <w:pStyle w:val="Bodyparanumbered2"/>
      <w:lvlText w:val="%1)"/>
      <w:lvlJc w:val="left"/>
      <w:pPr>
        <w:tabs>
          <w:tab w:val="num" w:pos="851"/>
        </w:tabs>
        <w:ind w:left="851" w:hanging="426"/>
      </w:pPr>
      <w:rPr>
        <w:rFonts w:hint="default"/>
        <w:sz w:val="20"/>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4" w15:restartNumberingAfterBreak="0">
    <w:nsid w:val="3D9B2731"/>
    <w:multiLevelType w:val="hybridMultilevel"/>
    <w:tmpl w:val="35764650"/>
    <w:lvl w:ilvl="0" w:tplc="BFE2BE40">
      <w:start w:val="1"/>
      <w:numFmt w:val="lowerRoman"/>
      <w:pStyle w:val="Style1"/>
      <w:lvlText w:val="%1)"/>
      <w:lvlJc w:val="left"/>
      <w:pPr>
        <w:ind w:left="2416" w:hanging="360"/>
      </w:pPr>
      <w:rPr>
        <w:rFonts w:ascii="Arial" w:hAnsi="Arial" w:hint="default"/>
        <w:b w:val="0"/>
        <w:i w:val="0"/>
        <w:sz w:val="20"/>
      </w:rPr>
    </w:lvl>
    <w:lvl w:ilvl="1" w:tplc="0C090019" w:tentative="1">
      <w:start w:val="1"/>
      <w:numFmt w:val="lowerLetter"/>
      <w:lvlText w:val="%2."/>
      <w:lvlJc w:val="left"/>
      <w:pPr>
        <w:ind w:left="3136" w:hanging="360"/>
      </w:pPr>
    </w:lvl>
    <w:lvl w:ilvl="2" w:tplc="0C09001B" w:tentative="1">
      <w:start w:val="1"/>
      <w:numFmt w:val="lowerRoman"/>
      <w:lvlText w:val="%3."/>
      <w:lvlJc w:val="right"/>
      <w:pPr>
        <w:ind w:left="3856" w:hanging="180"/>
      </w:pPr>
    </w:lvl>
    <w:lvl w:ilvl="3" w:tplc="0C09000F" w:tentative="1">
      <w:start w:val="1"/>
      <w:numFmt w:val="decimal"/>
      <w:lvlText w:val="%4."/>
      <w:lvlJc w:val="left"/>
      <w:pPr>
        <w:ind w:left="4576" w:hanging="360"/>
      </w:pPr>
    </w:lvl>
    <w:lvl w:ilvl="4" w:tplc="0C090019" w:tentative="1">
      <w:start w:val="1"/>
      <w:numFmt w:val="lowerLetter"/>
      <w:lvlText w:val="%5."/>
      <w:lvlJc w:val="left"/>
      <w:pPr>
        <w:ind w:left="5296" w:hanging="360"/>
      </w:pPr>
    </w:lvl>
    <w:lvl w:ilvl="5" w:tplc="0C09001B" w:tentative="1">
      <w:start w:val="1"/>
      <w:numFmt w:val="lowerRoman"/>
      <w:lvlText w:val="%6."/>
      <w:lvlJc w:val="right"/>
      <w:pPr>
        <w:ind w:left="6016" w:hanging="180"/>
      </w:pPr>
    </w:lvl>
    <w:lvl w:ilvl="6" w:tplc="0C09000F" w:tentative="1">
      <w:start w:val="1"/>
      <w:numFmt w:val="decimal"/>
      <w:lvlText w:val="%7."/>
      <w:lvlJc w:val="left"/>
      <w:pPr>
        <w:ind w:left="6736" w:hanging="360"/>
      </w:pPr>
    </w:lvl>
    <w:lvl w:ilvl="7" w:tplc="0C090019" w:tentative="1">
      <w:start w:val="1"/>
      <w:numFmt w:val="lowerLetter"/>
      <w:lvlText w:val="%8."/>
      <w:lvlJc w:val="left"/>
      <w:pPr>
        <w:ind w:left="7456" w:hanging="360"/>
      </w:pPr>
    </w:lvl>
    <w:lvl w:ilvl="8" w:tplc="0C09001B" w:tentative="1">
      <w:start w:val="1"/>
      <w:numFmt w:val="lowerRoman"/>
      <w:lvlText w:val="%9."/>
      <w:lvlJc w:val="right"/>
      <w:pPr>
        <w:ind w:left="8176" w:hanging="180"/>
      </w:pPr>
    </w:lvl>
  </w:abstractNum>
  <w:abstractNum w:abstractNumId="5" w15:restartNumberingAfterBreak="0">
    <w:nsid w:val="5E455653"/>
    <w:multiLevelType w:val="multilevel"/>
    <w:tmpl w:val="071C3EB2"/>
    <w:lvl w:ilvl="0">
      <w:start w:val="1"/>
      <w:numFmt w:val="decimal"/>
      <w:pStyle w:val="Heading1"/>
      <w:lvlText w:val="%1."/>
      <w:lvlJc w:val="left"/>
      <w:rPr>
        <w:b w:val="0"/>
        <w:bCs w:val="0"/>
        <w:i w:val="0"/>
        <w:iCs w:val="0"/>
        <w:caps w:val="0"/>
        <w:smallCaps w:val="0"/>
        <w:strike w:val="0"/>
        <w:dstrike w:val="0"/>
        <w:noProof w:val="0"/>
        <w:vanish w:val="0"/>
        <w:color w:val="00425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paranumbered1"/>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7" w15:restartNumberingAfterBreak="0">
    <w:nsid w:val="75022970"/>
    <w:multiLevelType w:val="hybridMultilevel"/>
    <w:tmpl w:val="B8565CD2"/>
    <w:lvl w:ilvl="0" w:tplc="5C6063CA">
      <w:start w:val="1"/>
      <w:numFmt w:val="lowerLetter"/>
      <w:pStyle w:val="Bodynumbered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5E535F4"/>
    <w:multiLevelType w:val="hybridMultilevel"/>
    <w:tmpl w:val="BE72D18A"/>
    <w:lvl w:ilvl="0" w:tplc="42B236EC">
      <w:start w:val="1"/>
      <w:numFmt w:val="lowerRoman"/>
      <w:pStyle w:val="Bodynumbered3"/>
      <w:lvlText w:val="%1)"/>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858" w:hanging="360"/>
      </w:pPr>
    </w:lvl>
    <w:lvl w:ilvl="2" w:tplc="0C09001B">
      <w:start w:val="1"/>
      <w:numFmt w:val="lowerRoman"/>
      <w:lvlText w:val="%3."/>
      <w:lvlJc w:val="right"/>
      <w:pPr>
        <w:ind w:left="3578" w:hanging="180"/>
      </w:pPr>
    </w:lvl>
    <w:lvl w:ilvl="3" w:tplc="0C09000F">
      <w:start w:val="1"/>
      <w:numFmt w:val="decimal"/>
      <w:lvlText w:val="%4."/>
      <w:lvlJc w:val="left"/>
      <w:pPr>
        <w:ind w:left="4298" w:hanging="360"/>
      </w:pPr>
    </w:lvl>
    <w:lvl w:ilvl="4" w:tplc="0C090019">
      <w:start w:val="1"/>
      <w:numFmt w:val="lowerLetter"/>
      <w:lvlText w:val="%5."/>
      <w:lvlJc w:val="left"/>
      <w:pPr>
        <w:ind w:left="5018" w:hanging="360"/>
      </w:pPr>
    </w:lvl>
    <w:lvl w:ilvl="5" w:tplc="0C09001B">
      <w:start w:val="1"/>
      <w:numFmt w:val="lowerRoman"/>
      <w:lvlText w:val="%6."/>
      <w:lvlJc w:val="right"/>
      <w:pPr>
        <w:ind w:left="5738" w:hanging="180"/>
      </w:pPr>
    </w:lvl>
    <w:lvl w:ilvl="6" w:tplc="0C09000F">
      <w:start w:val="1"/>
      <w:numFmt w:val="decimal"/>
      <w:lvlText w:val="%7."/>
      <w:lvlJc w:val="left"/>
      <w:pPr>
        <w:ind w:left="6458" w:hanging="360"/>
      </w:pPr>
    </w:lvl>
    <w:lvl w:ilvl="7" w:tplc="0C090019">
      <w:start w:val="1"/>
      <w:numFmt w:val="lowerLetter"/>
      <w:lvlText w:val="%8."/>
      <w:lvlJc w:val="left"/>
      <w:pPr>
        <w:ind w:left="7178" w:hanging="360"/>
      </w:pPr>
    </w:lvl>
    <w:lvl w:ilvl="8" w:tplc="0C09001B">
      <w:start w:val="1"/>
      <w:numFmt w:val="lowerRoman"/>
      <w:lvlText w:val="%9."/>
      <w:lvlJc w:val="right"/>
      <w:pPr>
        <w:ind w:left="7898" w:hanging="180"/>
      </w:pPr>
    </w:lvl>
  </w:abstractNum>
  <w:abstractNum w:abstractNumId="9" w15:restartNumberingAfterBreak="0">
    <w:nsid w:val="7AD101E3"/>
    <w:multiLevelType w:val="hybridMultilevel"/>
    <w:tmpl w:val="324CD61C"/>
    <w:lvl w:ilvl="0" w:tplc="9A960E2C">
      <w:start w:val="1"/>
      <w:numFmt w:val="lowerLetter"/>
      <w:pStyle w:val="Bodynumbered2"/>
      <w:lvlText w:val="%1)"/>
      <w:lvlJc w:val="left"/>
      <w:pPr>
        <w:ind w:left="360" w:hanging="360"/>
      </w:pPr>
    </w:lvl>
    <w:lvl w:ilvl="1" w:tplc="0C090019">
      <w:start w:val="1"/>
      <w:numFmt w:val="lowerLetter"/>
      <w:lvlText w:val="%2."/>
      <w:lvlJc w:val="left"/>
      <w:pPr>
        <w:ind w:left="1440" w:hanging="360"/>
      </w:pPr>
    </w:lvl>
    <w:lvl w:ilvl="2" w:tplc="CFB25FB6">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448546415">
    <w:abstractNumId w:val="0"/>
  </w:num>
  <w:num w:numId="2" w16cid:durableId="948858421">
    <w:abstractNumId w:val="3"/>
  </w:num>
  <w:num w:numId="3" w16cid:durableId="1405030668">
    <w:abstractNumId w:val="4"/>
  </w:num>
  <w:num w:numId="4" w16cid:durableId="1872185490">
    <w:abstractNumId w:val="6"/>
  </w:num>
  <w:num w:numId="5" w16cid:durableId="1741714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2560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3088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7784575">
    <w:abstractNumId w:val="5"/>
  </w:num>
  <w:num w:numId="9" w16cid:durableId="1946957106">
    <w:abstractNumId w:val="7"/>
  </w:num>
  <w:num w:numId="10" w16cid:durableId="2010020524">
    <w:abstractNumId w:val="7"/>
    <w:lvlOverride w:ilvl="0">
      <w:startOverride w:val="1"/>
    </w:lvlOverride>
  </w:num>
  <w:num w:numId="11" w16cid:durableId="1814954437">
    <w:abstractNumId w:val="3"/>
    <w:lvlOverride w:ilvl="0">
      <w:startOverride w:val="1"/>
    </w:lvlOverride>
  </w:num>
  <w:num w:numId="12" w16cid:durableId="708454719">
    <w:abstractNumId w:val="3"/>
    <w:lvlOverride w:ilvl="0">
      <w:startOverride w:val="1"/>
    </w:lvlOverride>
  </w:num>
  <w:num w:numId="13" w16cid:durableId="1591768794">
    <w:abstractNumId w:val="3"/>
    <w:lvlOverride w:ilvl="0">
      <w:startOverride w:val="1"/>
    </w:lvlOverride>
  </w:num>
  <w:num w:numId="14" w16cid:durableId="1468746347">
    <w:abstractNumId w:val="3"/>
    <w:lvlOverride w:ilvl="0">
      <w:startOverride w:val="1"/>
    </w:lvlOverride>
  </w:num>
  <w:num w:numId="15" w16cid:durableId="1811635309">
    <w:abstractNumId w:val="3"/>
    <w:lvlOverride w:ilvl="0">
      <w:startOverride w:val="1"/>
    </w:lvlOverride>
  </w:num>
  <w:num w:numId="16" w16cid:durableId="1967195997">
    <w:abstractNumId w:val="3"/>
    <w:lvlOverride w:ilvl="0">
      <w:startOverride w:val="1"/>
    </w:lvlOverride>
  </w:num>
  <w:num w:numId="17" w16cid:durableId="393235566">
    <w:abstractNumId w:val="3"/>
    <w:lvlOverride w:ilvl="0">
      <w:startOverride w:val="1"/>
    </w:lvlOverride>
  </w:num>
  <w:num w:numId="18" w16cid:durableId="789543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3246274">
    <w:abstractNumId w:val="2"/>
  </w:num>
  <w:num w:numId="20" w16cid:durableId="791290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171603">
    <w:abstractNumId w:val="3"/>
    <w:lvlOverride w:ilvl="0">
      <w:startOverride w:val="1"/>
    </w:lvlOverride>
  </w:num>
  <w:num w:numId="22" w16cid:durableId="1600524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FB"/>
    <w:rsid w:val="00000C39"/>
    <w:rsid w:val="000061AF"/>
    <w:rsid w:val="00007B6D"/>
    <w:rsid w:val="00012317"/>
    <w:rsid w:val="00012C54"/>
    <w:rsid w:val="00013C0F"/>
    <w:rsid w:val="00015933"/>
    <w:rsid w:val="00015965"/>
    <w:rsid w:val="00015D90"/>
    <w:rsid w:val="00015FA0"/>
    <w:rsid w:val="0001620D"/>
    <w:rsid w:val="00030BC7"/>
    <w:rsid w:val="00030D4E"/>
    <w:rsid w:val="00032B0E"/>
    <w:rsid w:val="0003377A"/>
    <w:rsid w:val="00036724"/>
    <w:rsid w:val="00042C31"/>
    <w:rsid w:val="00053AD3"/>
    <w:rsid w:val="000600B2"/>
    <w:rsid w:val="00060F19"/>
    <w:rsid w:val="00061F5E"/>
    <w:rsid w:val="00062524"/>
    <w:rsid w:val="000628AE"/>
    <w:rsid w:val="0006373A"/>
    <w:rsid w:val="00064193"/>
    <w:rsid w:val="00064F0B"/>
    <w:rsid w:val="00067813"/>
    <w:rsid w:val="000753CC"/>
    <w:rsid w:val="00075807"/>
    <w:rsid w:val="00075F40"/>
    <w:rsid w:val="00080128"/>
    <w:rsid w:val="00082373"/>
    <w:rsid w:val="00083342"/>
    <w:rsid w:val="0009146C"/>
    <w:rsid w:val="00092494"/>
    <w:rsid w:val="00095F9F"/>
    <w:rsid w:val="00095FA4"/>
    <w:rsid w:val="00096306"/>
    <w:rsid w:val="000973DD"/>
    <w:rsid w:val="000A02D4"/>
    <w:rsid w:val="000A046A"/>
    <w:rsid w:val="000A0636"/>
    <w:rsid w:val="000A3B01"/>
    <w:rsid w:val="000A6061"/>
    <w:rsid w:val="000B141D"/>
    <w:rsid w:val="000B62CF"/>
    <w:rsid w:val="000B6B71"/>
    <w:rsid w:val="000B7874"/>
    <w:rsid w:val="000C06D4"/>
    <w:rsid w:val="000C0778"/>
    <w:rsid w:val="000C108D"/>
    <w:rsid w:val="000C3BC3"/>
    <w:rsid w:val="000C5086"/>
    <w:rsid w:val="000C790F"/>
    <w:rsid w:val="000D555E"/>
    <w:rsid w:val="000E142F"/>
    <w:rsid w:val="000E2DDE"/>
    <w:rsid w:val="000E3C74"/>
    <w:rsid w:val="000F2CC8"/>
    <w:rsid w:val="000F4CB1"/>
    <w:rsid w:val="000F6FD0"/>
    <w:rsid w:val="001011A2"/>
    <w:rsid w:val="00112FE2"/>
    <w:rsid w:val="00115AAA"/>
    <w:rsid w:val="001167A2"/>
    <w:rsid w:val="00117C21"/>
    <w:rsid w:val="00120B8B"/>
    <w:rsid w:val="001264B0"/>
    <w:rsid w:val="001264E2"/>
    <w:rsid w:val="00126A0C"/>
    <w:rsid w:val="00127261"/>
    <w:rsid w:val="00130CE1"/>
    <w:rsid w:val="00131082"/>
    <w:rsid w:val="00131440"/>
    <w:rsid w:val="0013167F"/>
    <w:rsid w:val="00134650"/>
    <w:rsid w:val="00134A27"/>
    <w:rsid w:val="0014732D"/>
    <w:rsid w:val="001473F3"/>
    <w:rsid w:val="001520D1"/>
    <w:rsid w:val="0015280B"/>
    <w:rsid w:val="001548E1"/>
    <w:rsid w:val="001601AF"/>
    <w:rsid w:val="00160601"/>
    <w:rsid w:val="00164E79"/>
    <w:rsid w:val="00166F4C"/>
    <w:rsid w:val="00167779"/>
    <w:rsid w:val="00170BDC"/>
    <w:rsid w:val="001725DA"/>
    <w:rsid w:val="00175421"/>
    <w:rsid w:val="001762E6"/>
    <w:rsid w:val="001769D6"/>
    <w:rsid w:val="00177004"/>
    <w:rsid w:val="001812EC"/>
    <w:rsid w:val="00183118"/>
    <w:rsid w:val="001832C4"/>
    <w:rsid w:val="00184B7B"/>
    <w:rsid w:val="001914FC"/>
    <w:rsid w:val="00191C7B"/>
    <w:rsid w:val="00196658"/>
    <w:rsid w:val="00196854"/>
    <w:rsid w:val="001A22F4"/>
    <w:rsid w:val="001A5C95"/>
    <w:rsid w:val="001A5F24"/>
    <w:rsid w:val="001A7BAB"/>
    <w:rsid w:val="001B4575"/>
    <w:rsid w:val="001B4943"/>
    <w:rsid w:val="001B5DE0"/>
    <w:rsid w:val="001C480A"/>
    <w:rsid w:val="001C70A2"/>
    <w:rsid w:val="001D49BC"/>
    <w:rsid w:val="001D500B"/>
    <w:rsid w:val="001D5419"/>
    <w:rsid w:val="001D6744"/>
    <w:rsid w:val="001E13B5"/>
    <w:rsid w:val="001E1959"/>
    <w:rsid w:val="001F0F57"/>
    <w:rsid w:val="001F1C0F"/>
    <w:rsid w:val="001F34EA"/>
    <w:rsid w:val="001F58AE"/>
    <w:rsid w:val="001F68AC"/>
    <w:rsid w:val="00200689"/>
    <w:rsid w:val="002007C6"/>
    <w:rsid w:val="002014E8"/>
    <w:rsid w:val="002027EF"/>
    <w:rsid w:val="00203346"/>
    <w:rsid w:val="0020433B"/>
    <w:rsid w:val="002056DD"/>
    <w:rsid w:val="00205EFA"/>
    <w:rsid w:val="00213A21"/>
    <w:rsid w:val="00216A4F"/>
    <w:rsid w:val="002237A2"/>
    <w:rsid w:val="00227C4D"/>
    <w:rsid w:val="00230732"/>
    <w:rsid w:val="0023324D"/>
    <w:rsid w:val="002347EC"/>
    <w:rsid w:val="00234D00"/>
    <w:rsid w:val="002400DF"/>
    <w:rsid w:val="00240C47"/>
    <w:rsid w:val="002410FA"/>
    <w:rsid w:val="00242030"/>
    <w:rsid w:val="00242348"/>
    <w:rsid w:val="002433DE"/>
    <w:rsid w:val="00244113"/>
    <w:rsid w:val="002441A4"/>
    <w:rsid w:val="00244478"/>
    <w:rsid w:val="00244878"/>
    <w:rsid w:val="002465DC"/>
    <w:rsid w:val="0024716F"/>
    <w:rsid w:val="0025079F"/>
    <w:rsid w:val="00252353"/>
    <w:rsid w:val="00253577"/>
    <w:rsid w:val="0026281D"/>
    <w:rsid w:val="002656D5"/>
    <w:rsid w:val="002664CB"/>
    <w:rsid w:val="002706D9"/>
    <w:rsid w:val="00270C37"/>
    <w:rsid w:val="002711E6"/>
    <w:rsid w:val="002731F9"/>
    <w:rsid w:val="00275257"/>
    <w:rsid w:val="002756BB"/>
    <w:rsid w:val="00276DF5"/>
    <w:rsid w:val="00281014"/>
    <w:rsid w:val="00281636"/>
    <w:rsid w:val="00287596"/>
    <w:rsid w:val="0029195C"/>
    <w:rsid w:val="002935FC"/>
    <w:rsid w:val="00294C3D"/>
    <w:rsid w:val="002960CB"/>
    <w:rsid w:val="002A4684"/>
    <w:rsid w:val="002A6BD0"/>
    <w:rsid w:val="002B0FD7"/>
    <w:rsid w:val="002B168D"/>
    <w:rsid w:val="002B358F"/>
    <w:rsid w:val="002C299F"/>
    <w:rsid w:val="002C4D6D"/>
    <w:rsid w:val="002D04E0"/>
    <w:rsid w:val="002D1740"/>
    <w:rsid w:val="002D3EB1"/>
    <w:rsid w:val="002D5B7F"/>
    <w:rsid w:val="002D691B"/>
    <w:rsid w:val="002E1947"/>
    <w:rsid w:val="002E5D50"/>
    <w:rsid w:val="002E6F48"/>
    <w:rsid w:val="002F2312"/>
    <w:rsid w:val="002F28F9"/>
    <w:rsid w:val="002F4E0A"/>
    <w:rsid w:val="002F6A52"/>
    <w:rsid w:val="00303D7C"/>
    <w:rsid w:val="00304444"/>
    <w:rsid w:val="0030557F"/>
    <w:rsid w:val="00305B75"/>
    <w:rsid w:val="00317DAF"/>
    <w:rsid w:val="0032187A"/>
    <w:rsid w:val="0032297A"/>
    <w:rsid w:val="00331653"/>
    <w:rsid w:val="003325AE"/>
    <w:rsid w:val="0033275B"/>
    <w:rsid w:val="00336274"/>
    <w:rsid w:val="00342129"/>
    <w:rsid w:val="00342B92"/>
    <w:rsid w:val="0034313D"/>
    <w:rsid w:val="00350467"/>
    <w:rsid w:val="003558AD"/>
    <w:rsid w:val="00360BFB"/>
    <w:rsid w:val="00360F7A"/>
    <w:rsid w:val="00364602"/>
    <w:rsid w:val="003647CC"/>
    <w:rsid w:val="00364D31"/>
    <w:rsid w:val="00366157"/>
    <w:rsid w:val="003679F9"/>
    <w:rsid w:val="00367F6A"/>
    <w:rsid w:val="0037054F"/>
    <w:rsid w:val="00373980"/>
    <w:rsid w:val="003746AA"/>
    <w:rsid w:val="00375914"/>
    <w:rsid w:val="003810C0"/>
    <w:rsid w:val="00382B1E"/>
    <w:rsid w:val="00383B70"/>
    <w:rsid w:val="00386040"/>
    <w:rsid w:val="0038768A"/>
    <w:rsid w:val="00397099"/>
    <w:rsid w:val="003A0AB1"/>
    <w:rsid w:val="003A20BB"/>
    <w:rsid w:val="003A46DE"/>
    <w:rsid w:val="003A5AB4"/>
    <w:rsid w:val="003B37C0"/>
    <w:rsid w:val="003B394A"/>
    <w:rsid w:val="003B576C"/>
    <w:rsid w:val="003B5A03"/>
    <w:rsid w:val="003B5BE8"/>
    <w:rsid w:val="003B63CD"/>
    <w:rsid w:val="003B6555"/>
    <w:rsid w:val="003B7B8D"/>
    <w:rsid w:val="003C1613"/>
    <w:rsid w:val="003C24E1"/>
    <w:rsid w:val="003C28D5"/>
    <w:rsid w:val="003C4C0A"/>
    <w:rsid w:val="003C65DF"/>
    <w:rsid w:val="003C73CA"/>
    <w:rsid w:val="003D1B7F"/>
    <w:rsid w:val="003D1FDF"/>
    <w:rsid w:val="003D2F3F"/>
    <w:rsid w:val="003D5860"/>
    <w:rsid w:val="003E19A9"/>
    <w:rsid w:val="003E1BD0"/>
    <w:rsid w:val="003E3AE8"/>
    <w:rsid w:val="003E3EA7"/>
    <w:rsid w:val="003F0A44"/>
    <w:rsid w:val="003F0D24"/>
    <w:rsid w:val="003F1983"/>
    <w:rsid w:val="003F7EA6"/>
    <w:rsid w:val="00400184"/>
    <w:rsid w:val="00406005"/>
    <w:rsid w:val="0040763A"/>
    <w:rsid w:val="00415664"/>
    <w:rsid w:val="00416C3A"/>
    <w:rsid w:val="004172A8"/>
    <w:rsid w:val="0042344F"/>
    <w:rsid w:val="00424DE6"/>
    <w:rsid w:val="00432BD2"/>
    <w:rsid w:val="00432E60"/>
    <w:rsid w:val="004344F5"/>
    <w:rsid w:val="00434CA6"/>
    <w:rsid w:val="004367E4"/>
    <w:rsid w:val="00437A65"/>
    <w:rsid w:val="00443F4D"/>
    <w:rsid w:val="00444BF1"/>
    <w:rsid w:val="00447F6D"/>
    <w:rsid w:val="00452101"/>
    <w:rsid w:val="00454E0C"/>
    <w:rsid w:val="00466E30"/>
    <w:rsid w:val="00467AC9"/>
    <w:rsid w:val="0047100C"/>
    <w:rsid w:val="00472703"/>
    <w:rsid w:val="004757C1"/>
    <w:rsid w:val="0048521D"/>
    <w:rsid w:val="0048718E"/>
    <w:rsid w:val="00490B9B"/>
    <w:rsid w:val="00492198"/>
    <w:rsid w:val="00492A21"/>
    <w:rsid w:val="0049310F"/>
    <w:rsid w:val="0049322D"/>
    <w:rsid w:val="00495D9B"/>
    <w:rsid w:val="00497FE9"/>
    <w:rsid w:val="004A1BF3"/>
    <w:rsid w:val="004A59FD"/>
    <w:rsid w:val="004A7B4D"/>
    <w:rsid w:val="004B2FAC"/>
    <w:rsid w:val="004B60E6"/>
    <w:rsid w:val="004C115E"/>
    <w:rsid w:val="004C1FA5"/>
    <w:rsid w:val="004C2434"/>
    <w:rsid w:val="004C2ED6"/>
    <w:rsid w:val="004C371A"/>
    <w:rsid w:val="004C3C28"/>
    <w:rsid w:val="004C468B"/>
    <w:rsid w:val="004C4A23"/>
    <w:rsid w:val="004C5F9E"/>
    <w:rsid w:val="004C785D"/>
    <w:rsid w:val="004D1889"/>
    <w:rsid w:val="004D437C"/>
    <w:rsid w:val="004D4DE1"/>
    <w:rsid w:val="004D5F5B"/>
    <w:rsid w:val="004E0B6A"/>
    <w:rsid w:val="004E1DE4"/>
    <w:rsid w:val="004E323D"/>
    <w:rsid w:val="004E599A"/>
    <w:rsid w:val="004F0F40"/>
    <w:rsid w:val="004F3334"/>
    <w:rsid w:val="004F48B8"/>
    <w:rsid w:val="004F570F"/>
    <w:rsid w:val="005004CF"/>
    <w:rsid w:val="00504521"/>
    <w:rsid w:val="00505E76"/>
    <w:rsid w:val="00512506"/>
    <w:rsid w:val="00514FEC"/>
    <w:rsid w:val="005177FD"/>
    <w:rsid w:val="00521410"/>
    <w:rsid w:val="005222F5"/>
    <w:rsid w:val="00522618"/>
    <w:rsid w:val="00522C98"/>
    <w:rsid w:val="00525CA9"/>
    <w:rsid w:val="00526F0A"/>
    <w:rsid w:val="005348DB"/>
    <w:rsid w:val="0053543E"/>
    <w:rsid w:val="00536037"/>
    <w:rsid w:val="00536888"/>
    <w:rsid w:val="00542F90"/>
    <w:rsid w:val="0054593B"/>
    <w:rsid w:val="005473CA"/>
    <w:rsid w:val="005477CD"/>
    <w:rsid w:val="005556FD"/>
    <w:rsid w:val="00556710"/>
    <w:rsid w:val="00556C82"/>
    <w:rsid w:val="00560A6D"/>
    <w:rsid w:val="00561F97"/>
    <w:rsid w:val="005650C6"/>
    <w:rsid w:val="005675F1"/>
    <w:rsid w:val="00571FD9"/>
    <w:rsid w:val="005723B9"/>
    <w:rsid w:val="00573657"/>
    <w:rsid w:val="00577EAF"/>
    <w:rsid w:val="00581962"/>
    <w:rsid w:val="00583EE4"/>
    <w:rsid w:val="00586D54"/>
    <w:rsid w:val="00587DE2"/>
    <w:rsid w:val="00590112"/>
    <w:rsid w:val="00591DA7"/>
    <w:rsid w:val="00592F1B"/>
    <w:rsid w:val="005933F7"/>
    <w:rsid w:val="00593649"/>
    <w:rsid w:val="005949F5"/>
    <w:rsid w:val="0059550F"/>
    <w:rsid w:val="00597C36"/>
    <w:rsid w:val="005A0A36"/>
    <w:rsid w:val="005A0AD7"/>
    <w:rsid w:val="005A5491"/>
    <w:rsid w:val="005B5E95"/>
    <w:rsid w:val="005B604D"/>
    <w:rsid w:val="005C1704"/>
    <w:rsid w:val="005C4819"/>
    <w:rsid w:val="005C7B9E"/>
    <w:rsid w:val="005D2CDC"/>
    <w:rsid w:val="005D596B"/>
    <w:rsid w:val="005E344E"/>
    <w:rsid w:val="005E790A"/>
    <w:rsid w:val="005F0E7F"/>
    <w:rsid w:val="005F245A"/>
    <w:rsid w:val="005F5B6C"/>
    <w:rsid w:val="005F74EE"/>
    <w:rsid w:val="00606D57"/>
    <w:rsid w:val="00611235"/>
    <w:rsid w:val="0061188A"/>
    <w:rsid w:val="00611906"/>
    <w:rsid w:val="006203D8"/>
    <w:rsid w:val="00621695"/>
    <w:rsid w:val="00626FC8"/>
    <w:rsid w:val="0063078E"/>
    <w:rsid w:val="006318D3"/>
    <w:rsid w:val="0063326D"/>
    <w:rsid w:val="00635679"/>
    <w:rsid w:val="006408D7"/>
    <w:rsid w:val="00640AF6"/>
    <w:rsid w:val="006437A1"/>
    <w:rsid w:val="006502F3"/>
    <w:rsid w:val="006542E3"/>
    <w:rsid w:val="0065716E"/>
    <w:rsid w:val="006623F7"/>
    <w:rsid w:val="0066256B"/>
    <w:rsid w:val="00663121"/>
    <w:rsid w:val="00663372"/>
    <w:rsid w:val="0066522A"/>
    <w:rsid w:val="00666157"/>
    <w:rsid w:val="00666AEA"/>
    <w:rsid w:val="006711D9"/>
    <w:rsid w:val="00671BF3"/>
    <w:rsid w:val="00673AC6"/>
    <w:rsid w:val="00675E67"/>
    <w:rsid w:val="00686A68"/>
    <w:rsid w:val="00691FE9"/>
    <w:rsid w:val="006940A6"/>
    <w:rsid w:val="0069453F"/>
    <w:rsid w:val="00694EEE"/>
    <w:rsid w:val="006967C9"/>
    <w:rsid w:val="006A437D"/>
    <w:rsid w:val="006A7751"/>
    <w:rsid w:val="006B02E9"/>
    <w:rsid w:val="006B046E"/>
    <w:rsid w:val="006B0500"/>
    <w:rsid w:val="006B18A1"/>
    <w:rsid w:val="006B1CAA"/>
    <w:rsid w:val="006B5731"/>
    <w:rsid w:val="006B710F"/>
    <w:rsid w:val="006B74CD"/>
    <w:rsid w:val="006C1654"/>
    <w:rsid w:val="006C1D53"/>
    <w:rsid w:val="006C2F7B"/>
    <w:rsid w:val="006C618A"/>
    <w:rsid w:val="006D3FA1"/>
    <w:rsid w:val="006D6ECE"/>
    <w:rsid w:val="006D7AF3"/>
    <w:rsid w:val="006D7CA2"/>
    <w:rsid w:val="006E2155"/>
    <w:rsid w:val="006E3C6A"/>
    <w:rsid w:val="006E6519"/>
    <w:rsid w:val="006F1D4E"/>
    <w:rsid w:val="006F2BE2"/>
    <w:rsid w:val="0070000F"/>
    <w:rsid w:val="00701A0F"/>
    <w:rsid w:val="00701E0D"/>
    <w:rsid w:val="00706E6A"/>
    <w:rsid w:val="00707070"/>
    <w:rsid w:val="007073B7"/>
    <w:rsid w:val="00710439"/>
    <w:rsid w:val="0071156C"/>
    <w:rsid w:val="0071215B"/>
    <w:rsid w:val="00714EAA"/>
    <w:rsid w:val="007151C7"/>
    <w:rsid w:val="0071584E"/>
    <w:rsid w:val="0072233B"/>
    <w:rsid w:val="00723104"/>
    <w:rsid w:val="0072605F"/>
    <w:rsid w:val="00726619"/>
    <w:rsid w:val="00726CA5"/>
    <w:rsid w:val="007279C4"/>
    <w:rsid w:val="0073070D"/>
    <w:rsid w:val="0073244F"/>
    <w:rsid w:val="00742B72"/>
    <w:rsid w:val="00743D97"/>
    <w:rsid w:val="00744EE4"/>
    <w:rsid w:val="00745D73"/>
    <w:rsid w:val="00750A2C"/>
    <w:rsid w:val="00751C28"/>
    <w:rsid w:val="00752ADA"/>
    <w:rsid w:val="00756072"/>
    <w:rsid w:val="00756692"/>
    <w:rsid w:val="00757811"/>
    <w:rsid w:val="007609D9"/>
    <w:rsid w:val="00760BE0"/>
    <w:rsid w:val="007627F9"/>
    <w:rsid w:val="00762C16"/>
    <w:rsid w:val="0076358E"/>
    <w:rsid w:val="00765F84"/>
    <w:rsid w:val="00775617"/>
    <w:rsid w:val="00776936"/>
    <w:rsid w:val="00776C30"/>
    <w:rsid w:val="00777659"/>
    <w:rsid w:val="00781C82"/>
    <w:rsid w:val="00783A0A"/>
    <w:rsid w:val="00783F8E"/>
    <w:rsid w:val="00785D7C"/>
    <w:rsid w:val="00791101"/>
    <w:rsid w:val="007922E6"/>
    <w:rsid w:val="00793E78"/>
    <w:rsid w:val="0079457D"/>
    <w:rsid w:val="007947B9"/>
    <w:rsid w:val="00795230"/>
    <w:rsid w:val="007957AC"/>
    <w:rsid w:val="007962E6"/>
    <w:rsid w:val="00797860"/>
    <w:rsid w:val="007A063D"/>
    <w:rsid w:val="007A7FA0"/>
    <w:rsid w:val="007B18DD"/>
    <w:rsid w:val="007B1D2E"/>
    <w:rsid w:val="007B4BF2"/>
    <w:rsid w:val="007C2881"/>
    <w:rsid w:val="007C44FC"/>
    <w:rsid w:val="007C5DD2"/>
    <w:rsid w:val="007D1FB9"/>
    <w:rsid w:val="007D299A"/>
    <w:rsid w:val="007D39FF"/>
    <w:rsid w:val="007D3F17"/>
    <w:rsid w:val="007D475E"/>
    <w:rsid w:val="007D5135"/>
    <w:rsid w:val="007D70A3"/>
    <w:rsid w:val="007E0CEC"/>
    <w:rsid w:val="007E0FC9"/>
    <w:rsid w:val="007F16CA"/>
    <w:rsid w:val="007F171C"/>
    <w:rsid w:val="007F7D0E"/>
    <w:rsid w:val="008031E0"/>
    <w:rsid w:val="0080518E"/>
    <w:rsid w:val="00806C8F"/>
    <w:rsid w:val="00807F56"/>
    <w:rsid w:val="0081042C"/>
    <w:rsid w:val="00810CC4"/>
    <w:rsid w:val="00820999"/>
    <w:rsid w:val="00820DC2"/>
    <w:rsid w:val="00821526"/>
    <w:rsid w:val="00821919"/>
    <w:rsid w:val="00826C5D"/>
    <w:rsid w:val="0082744E"/>
    <w:rsid w:val="00830D55"/>
    <w:rsid w:val="00840B06"/>
    <w:rsid w:val="0084727E"/>
    <w:rsid w:val="00851D01"/>
    <w:rsid w:val="00856254"/>
    <w:rsid w:val="00857F4C"/>
    <w:rsid w:val="0086102A"/>
    <w:rsid w:val="0086215B"/>
    <w:rsid w:val="0087066B"/>
    <w:rsid w:val="00873F6F"/>
    <w:rsid w:val="00873F7A"/>
    <w:rsid w:val="008760EA"/>
    <w:rsid w:val="00876181"/>
    <w:rsid w:val="008818F9"/>
    <w:rsid w:val="0088362F"/>
    <w:rsid w:val="008837BC"/>
    <w:rsid w:val="0088665B"/>
    <w:rsid w:val="00887E0A"/>
    <w:rsid w:val="008935E0"/>
    <w:rsid w:val="00893C4C"/>
    <w:rsid w:val="008970A4"/>
    <w:rsid w:val="00897FA9"/>
    <w:rsid w:val="008A06C6"/>
    <w:rsid w:val="008A3F88"/>
    <w:rsid w:val="008A4B81"/>
    <w:rsid w:val="008A56D9"/>
    <w:rsid w:val="008B6456"/>
    <w:rsid w:val="008B7815"/>
    <w:rsid w:val="008C35D3"/>
    <w:rsid w:val="008C54DF"/>
    <w:rsid w:val="008C5E87"/>
    <w:rsid w:val="008C7402"/>
    <w:rsid w:val="008D1E16"/>
    <w:rsid w:val="008D1FDF"/>
    <w:rsid w:val="008D3034"/>
    <w:rsid w:val="008E034C"/>
    <w:rsid w:val="008E2135"/>
    <w:rsid w:val="008E7545"/>
    <w:rsid w:val="008F02C6"/>
    <w:rsid w:val="008F15F1"/>
    <w:rsid w:val="008F2CA4"/>
    <w:rsid w:val="008F3A6B"/>
    <w:rsid w:val="008F3EAE"/>
    <w:rsid w:val="008F5DC0"/>
    <w:rsid w:val="008F7055"/>
    <w:rsid w:val="008F759A"/>
    <w:rsid w:val="009067C8"/>
    <w:rsid w:val="00906F97"/>
    <w:rsid w:val="00912BA5"/>
    <w:rsid w:val="00913D6A"/>
    <w:rsid w:val="009154BC"/>
    <w:rsid w:val="00916498"/>
    <w:rsid w:val="00917C96"/>
    <w:rsid w:val="009201EE"/>
    <w:rsid w:val="009207F9"/>
    <w:rsid w:val="00922B20"/>
    <w:rsid w:val="00923370"/>
    <w:rsid w:val="009236DA"/>
    <w:rsid w:val="00924036"/>
    <w:rsid w:val="00924B59"/>
    <w:rsid w:val="0093542C"/>
    <w:rsid w:val="009369E4"/>
    <w:rsid w:val="00936FA3"/>
    <w:rsid w:val="00940E5F"/>
    <w:rsid w:val="009458F7"/>
    <w:rsid w:val="009464B3"/>
    <w:rsid w:val="00952967"/>
    <w:rsid w:val="00953023"/>
    <w:rsid w:val="00954349"/>
    <w:rsid w:val="009556E7"/>
    <w:rsid w:val="0095580C"/>
    <w:rsid w:val="00960805"/>
    <w:rsid w:val="00960941"/>
    <w:rsid w:val="009716F7"/>
    <w:rsid w:val="00973965"/>
    <w:rsid w:val="00977F73"/>
    <w:rsid w:val="00980C2F"/>
    <w:rsid w:val="00984715"/>
    <w:rsid w:val="00986677"/>
    <w:rsid w:val="009868CA"/>
    <w:rsid w:val="00987C15"/>
    <w:rsid w:val="00995605"/>
    <w:rsid w:val="009956E1"/>
    <w:rsid w:val="009A3992"/>
    <w:rsid w:val="009A3B75"/>
    <w:rsid w:val="009A3C14"/>
    <w:rsid w:val="009A5C52"/>
    <w:rsid w:val="009A66A5"/>
    <w:rsid w:val="009A6FD4"/>
    <w:rsid w:val="009A76CE"/>
    <w:rsid w:val="009A7D04"/>
    <w:rsid w:val="009B493F"/>
    <w:rsid w:val="009C15B2"/>
    <w:rsid w:val="009C167E"/>
    <w:rsid w:val="009C40C2"/>
    <w:rsid w:val="009D195D"/>
    <w:rsid w:val="009D3BE3"/>
    <w:rsid w:val="009D42C4"/>
    <w:rsid w:val="009D4ACC"/>
    <w:rsid w:val="009D6289"/>
    <w:rsid w:val="009D69E4"/>
    <w:rsid w:val="009E07B3"/>
    <w:rsid w:val="009E6206"/>
    <w:rsid w:val="009E70FB"/>
    <w:rsid w:val="009F0DE0"/>
    <w:rsid w:val="009F1E45"/>
    <w:rsid w:val="009F2707"/>
    <w:rsid w:val="009F447B"/>
    <w:rsid w:val="009F7813"/>
    <w:rsid w:val="009F7845"/>
    <w:rsid w:val="00A02E90"/>
    <w:rsid w:val="00A049BE"/>
    <w:rsid w:val="00A1097B"/>
    <w:rsid w:val="00A163DE"/>
    <w:rsid w:val="00A201D7"/>
    <w:rsid w:val="00A222E7"/>
    <w:rsid w:val="00A25D0A"/>
    <w:rsid w:val="00A276D2"/>
    <w:rsid w:val="00A302AB"/>
    <w:rsid w:val="00A311B7"/>
    <w:rsid w:val="00A3553B"/>
    <w:rsid w:val="00A362C0"/>
    <w:rsid w:val="00A50E08"/>
    <w:rsid w:val="00A51090"/>
    <w:rsid w:val="00A51506"/>
    <w:rsid w:val="00A52CA2"/>
    <w:rsid w:val="00A53850"/>
    <w:rsid w:val="00A5491A"/>
    <w:rsid w:val="00A55076"/>
    <w:rsid w:val="00A55D56"/>
    <w:rsid w:val="00A5771B"/>
    <w:rsid w:val="00A60565"/>
    <w:rsid w:val="00A60573"/>
    <w:rsid w:val="00A63C08"/>
    <w:rsid w:val="00A643DD"/>
    <w:rsid w:val="00A64486"/>
    <w:rsid w:val="00A659BD"/>
    <w:rsid w:val="00A66020"/>
    <w:rsid w:val="00A67E81"/>
    <w:rsid w:val="00A70196"/>
    <w:rsid w:val="00A707D3"/>
    <w:rsid w:val="00A7160A"/>
    <w:rsid w:val="00A72512"/>
    <w:rsid w:val="00A725D7"/>
    <w:rsid w:val="00A72D11"/>
    <w:rsid w:val="00A770F9"/>
    <w:rsid w:val="00A82B48"/>
    <w:rsid w:val="00A904BA"/>
    <w:rsid w:val="00A90ADE"/>
    <w:rsid w:val="00A925CE"/>
    <w:rsid w:val="00A93DFD"/>
    <w:rsid w:val="00A9436B"/>
    <w:rsid w:val="00A948C0"/>
    <w:rsid w:val="00A96EDF"/>
    <w:rsid w:val="00AA0B79"/>
    <w:rsid w:val="00AA1B41"/>
    <w:rsid w:val="00AA22BA"/>
    <w:rsid w:val="00AA23A6"/>
    <w:rsid w:val="00AA441C"/>
    <w:rsid w:val="00AA4DDA"/>
    <w:rsid w:val="00AB6074"/>
    <w:rsid w:val="00AB6142"/>
    <w:rsid w:val="00AC07EF"/>
    <w:rsid w:val="00AC097A"/>
    <w:rsid w:val="00AC1904"/>
    <w:rsid w:val="00AC328A"/>
    <w:rsid w:val="00AC6395"/>
    <w:rsid w:val="00AC7EA4"/>
    <w:rsid w:val="00AD2951"/>
    <w:rsid w:val="00AD29A7"/>
    <w:rsid w:val="00AD458A"/>
    <w:rsid w:val="00AD6238"/>
    <w:rsid w:val="00AD6853"/>
    <w:rsid w:val="00AD6F9F"/>
    <w:rsid w:val="00AE36A1"/>
    <w:rsid w:val="00AE3AA3"/>
    <w:rsid w:val="00AF1CA5"/>
    <w:rsid w:val="00AF64C1"/>
    <w:rsid w:val="00AF7E7A"/>
    <w:rsid w:val="00B01AB6"/>
    <w:rsid w:val="00B03900"/>
    <w:rsid w:val="00B04E06"/>
    <w:rsid w:val="00B07353"/>
    <w:rsid w:val="00B13015"/>
    <w:rsid w:val="00B206C4"/>
    <w:rsid w:val="00B2334F"/>
    <w:rsid w:val="00B23A64"/>
    <w:rsid w:val="00B24D88"/>
    <w:rsid w:val="00B27F99"/>
    <w:rsid w:val="00B3285D"/>
    <w:rsid w:val="00B32BAB"/>
    <w:rsid w:val="00B34B70"/>
    <w:rsid w:val="00B41A82"/>
    <w:rsid w:val="00B41C95"/>
    <w:rsid w:val="00B41C99"/>
    <w:rsid w:val="00B4351E"/>
    <w:rsid w:val="00B43B28"/>
    <w:rsid w:val="00B470A7"/>
    <w:rsid w:val="00B476FC"/>
    <w:rsid w:val="00B47885"/>
    <w:rsid w:val="00B50F07"/>
    <w:rsid w:val="00B53EEB"/>
    <w:rsid w:val="00B55114"/>
    <w:rsid w:val="00B55891"/>
    <w:rsid w:val="00B60BE1"/>
    <w:rsid w:val="00B60D21"/>
    <w:rsid w:val="00B62E8A"/>
    <w:rsid w:val="00B63FEE"/>
    <w:rsid w:val="00B6593F"/>
    <w:rsid w:val="00B704B7"/>
    <w:rsid w:val="00B70D5B"/>
    <w:rsid w:val="00B72112"/>
    <w:rsid w:val="00B73865"/>
    <w:rsid w:val="00B73D8A"/>
    <w:rsid w:val="00B73ED2"/>
    <w:rsid w:val="00B752FB"/>
    <w:rsid w:val="00B76077"/>
    <w:rsid w:val="00B80F4B"/>
    <w:rsid w:val="00B81111"/>
    <w:rsid w:val="00B81769"/>
    <w:rsid w:val="00B81845"/>
    <w:rsid w:val="00B955EB"/>
    <w:rsid w:val="00BA2881"/>
    <w:rsid w:val="00BA34E3"/>
    <w:rsid w:val="00BA363B"/>
    <w:rsid w:val="00BA43FC"/>
    <w:rsid w:val="00BA4E7B"/>
    <w:rsid w:val="00BA65B1"/>
    <w:rsid w:val="00BB2495"/>
    <w:rsid w:val="00BB2E98"/>
    <w:rsid w:val="00BB3F07"/>
    <w:rsid w:val="00BD1F59"/>
    <w:rsid w:val="00BD3049"/>
    <w:rsid w:val="00BD5696"/>
    <w:rsid w:val="00BD63F8"/>
    <w:rsid w:val="00BD663F"/>
    <w:rsid w:val="00BD6C28"/>
    <w:rsid w:val="00BE0E93"/>
    <w:rsid w:val="00BE0F19"/>
    <w:rsid w:val="00BE116E"/>
    <w:rsid w:val="00BE1591"/>
    <w:rsid w:val="00BE5621"/>
    <w:rsid w:val="00BF0CAB"/>
    <w:rsid w:val="00BF0F97"/>
    <w:rsid w:val="00BF25D2"/>
    <w:rsid w:val="00BF348F"/>
    <w:rsid w:val="00BF3BC1"/>
    <w:rsid w:val="00BF4B24"/>
    <w:rsid w:val="00BF4EAF"/>
    <w:rsid w:val="00BF74C1"/>
    <w:rsid w:val="00BF764B"/>
    <w:rsid w:val="00BF79AA"/>
    <w:rsid w:val="00C01697"/>
    <w:rsid w:val="00C06659"/>
    <w:rsid w:val="00C11DB7"/>
    <w:rsid w:val="00C14241"/>
    <w:rsid w:val="00C20D2C"/>
    <w:rsid w:val="00C21A7F"/>
    <w:rsid w:val="00C21C7E"/>
    <w:rsid w:val="00C248DA"/>
    <w:rsid w:val="00C249C2"/>
    <w:rsid w:val="00C25EEA"/>
    <w:rsid w:val="00C31227"/>
    <w:rsid w:val="00C32183"/>
    <w:rsid w:val="00C35836"/>
    <w:rsid w:val="00C3624F"/>
    <w:rsid w:val="00C36B84"/>
    <w:rsid w:val="00C3724E"/>
    <w:rsid w:val="00C44FCC"/>
    <w:rsid w:val="00C5367F"/>
    <w:rsid w:val="00C54040"/>
    <w:rsid w:val="00C56A9F"/>
    <w:rsid w:val="00C57AED"/>
    <w:rsid w:val="00C614F7"/>
    <w:rsid w:val="00C617BF"/>
    <w:rsid w:val="00C61EAE"/>
    <w:rsid w:val="00C62F3B"/>
    <w:rsid w:val="00C7156C"/>
    <w:rsid w:val="00C71DE0"/>
    <w:rsid w:val="00C71F03"/>
    <w:rsid w:val="00C73AEB"/>
    <w:rsid w:val="00C80509"/>
    <w:rsid w:val="00C8103D"/>
    <w:rsid w:val="00C820A5"/>
    <w:rsid w:val="00C82574"/>
    <w:rsid w:val="00C8393C"/>
    <w:rsid w:val="00C92D41"/>
    <w:rsid w:val="00C9766F"/>
    <w:rsid w:val="00CA3E68"/>
    <w:rsid w:val="00CA4356"/>
    <w:rsid w:val="00CB3B6A"/>
    <w:rsid w:val="00CB58C7"/>
    <w:rsid w:val="00CB74CA"/>
    <w:rsid w:val="00CC16A7"/>
    <w:rsid w:val="00CC311E"/>
    <w:rsid w:val="00CC466B"/>
    <w:rsid w:val="00CC5A9A"/>
    <w:rsid w:val="00CD08A2"/>
    <w:rsid w:val="00CD12FD"/>
    <w:rsid w:val="00CD2872"/>
    <w:rsid w:val="00CD3845"/>
    <w:rsid w:val="00CE2F2C"/>
    <w:rsid w:val="00CE35F8"/>
    <w:rsid w:val="00CE5A85"/>
    <w:rsid w:val="00CE7824"/>
    <w:rsid w:val="00CF02EE"/>
    <w:rsid w:val="00CF12BA"/>
    <w:rsid w:val="00CF5E3A"/>
    <w:rsid w:val="00CF716F"/>
    <w:rsid w:val="00CF7F10"/>
    <w:rsid w:val="00D018FF"/>
    <w:rsid w:val="00D026A0"/>
    <w:rsid w:val="00D11FC8"/>
    <w:rsid w:val="00D13A68"/>
    <w:rsid w:val="00D13D1B"/>
    <w:rsid w:val="00D15337"/>
    <w:rsid w:val="00D178EC"/>
    <w:rsid w:val="00D273AD"/>
    <w:rsid w:val="00D326E7"/>
    <w:rsid w:val="00D35B68"/>
    <w:rsid w:val="00D35F34"/>
    <w:rsid w:val="00D35F62"/>
    <w:rsid w:val="00D3609E"/>
    <w:rsid w:val="00D36D1D"/>
    <w:rsid w:val="00D42C17"/>
    <w:rsid w:val="00D5249B"/>
    <w:rsid w:val="00D55995"/>
    <w:rsid w:val="00D56DA3"/>
    <w:rsid w:val="00D56FAD"/>
    <w:rsid w:val="00D61E3A"/>
    <w:rsid w:val="00D65085"/>
    <w:rsid w:val="00D650AE"/>
    <w:rsid w:val="00D65970"/>
    <w:rsid w:val="00D72CF8"/>
    <w:rsid w:val="00D7328B"/>
    <w:rsid w:val="00D7518B"/>
    <w:rsid w:val="00D75EEA"/>
    <w:rsid w:val="00D76F23"/>
    <w:rsid w:val="00D77E7A"/>
    <w:rsid w:val="00D808D2"/>
    <w:rsid w:val="00D80D14"/>
    <w:rsid w:val="00D81CAA"/>
    <w:rsid w:val="00D8570E"/>
    <w:rsid w:val="00D85DB7"/>
    <w:rsid w:val="00D9019B"/>
    <w:rsid w:val="00D91114"/>
    <w:rsid w:val="00D91259"/>
    <w:rsid w:val="00D912C8"/>
    <w:rsid w:val="00D91AD6"/>
    <w:rsid w:val="00D93101"/>
    <w:rsid w:val="00D95012"/>
    <w:rsid w:val="00D9502E"/>
    <w:rsid w:val="00D96250"/>
    <w:rsid w:val="00DB30E0"/>
    <w:rsid w:val="00DB4C7D"/>
    <w:rsid w:val="00DB556F"/>
    <w:rsid w:val="00DB65B4"/>
    <w:rsid w:val="00DC077F"/>
    <w:rsid w:val="00DC0A85"/>
    <w:rsid w:val="00DC0BE3"/>
    <w:rsid w:val="00DC206C"/>
    <w:rsid w:val="00DC3AC0"/>
    <w:rsid w:val="00DC452F"/>
    <w:rsid w:val="00DC6119"/>
    <w:rsid w:val="00DC6D54"/>
    <w:rsid w:val="00DC7967"/>
    <w:rsid w:val="00DD0F65"/>
    <w:rsid w:val="00DD5176"/>
    <w:rsid w:val="00DD53C1"/>
    <w:rsid w:val="00DE5B63"/>
    <w:rsid w:val="00DE6A0D"/>
    <w:rsid w:val="00DF16C7"/>
    <w:rsid w:val="00DF34E8"/>
    <w:rsid w:val="00DF5EC2"/>
    <w:rsid w:val="00DF6D79"/>
    <w:rsid w:val="00E02C0C"/>
    <w:rsid w:val="00E051D7"/>
    <w:rsid w:val="00E07FA2"/>
    <w:rsid w:val="00E1070A"/>
    <w:rsid w:val="00E1103C"/>
    <w:rsid w:val="00E11110"/>
    <w:rsid w:val="00E1126D"/>
    <w:rsid w:val="00E11312"/>
    <w:rsid w:val="00E11532"/>
    <w:rsid w:val="00E13079"/>
    <w:rsid w:val="00E146D7"/>
    <w:rsid w:val="00E208D1"/>
    <w:rsid w:val="00E20E27"/>
    <w:rsid w:val="00E221A0"/>
    <w:rsid w:val="00E23382"/>
    <w:rsid w:val="00E238CE"/>
    <w:rsid w:val="00E24B8C"/>
    <w:rsid w:val="00E3080C"/>
    <w:rsid w:val="00E30C66"/>
    <w:rsid w:val="00E3267C"/>
    <w:rsid w:val="00E33E41"/>
    <w:rsid w:val="00E34578"/>
    <w:rsid w:val="00E35ED9"/>
    <w:rsid w:val="00E362BC"/>
    <w:rsid w:val="00E40176"/>
    <w:rsid w:val="00E4122B"/>
    <w:rsid w:val="00E44FF1"/>
    <w:rsid w:val="00E47DF7"/>
    <w:rsid w:val="00E503EF"/>
    <w:rsid w:val="00E535DF"/>
    <w:rsid w:val="00E604B8"/>
    <w:rsid w:val="00E604E8"/>
    <w:rsid w:val="00E60EA2"/>
    <w:rsid w:val="00E62021"/>
    <w:rsid w:val="00E63008"/>
    <w:rsid w:val="00E63C81"/>
    <w:rsid w:val="00E64F52"/>
    <w:rsid w:val="00E70269"/>
    <w:rsid w:val="00E714D6"/>
    <w:rsid w:val="00E72491"/>
    <w:rsid w:val="00E779E6"/>
    <w:rsid w:val="00E77D61"/>
    <w:rsid w:val="00E77FF5"/>
    <w:rsid w:val="00E84906"/>
    <w:rsid w:val="00E8711D"/>
    <w:rsid w:val="00E87683"/>
    <w:rsid w:val="00E90604"/>
    <w:rsid w:val="00E91F37"/>
    <w:rsid w:val="00E945A1"/>
    <w:rsid w:val="00E97871"/>
    <w:rsid w:val="00EA28E9"/>
    <w:rsid w:val="00EA4E8A"/>
    <w:rsid w:val="00EA7A77"/>
    <w:rsid w:val="00EB251D"/>
    <w:rsid w:val="00EB3C4C"/>
    <w:rsid w:val="00EB7530"/>
    <w:rsid w:val="00EC2FE3"/>
    <w:rsid w:val="00EC3109"/>
    <w:rsid w:val="00EC4011"/>
    <w:rsid w:val="00EC6E77"/>
    <w:rsid w:val="00EC6F1E"/>
    <w:rsid w:val="00EC7F91"/>
    <w:rsid w:val="00ED48E8"/>
    <w:rsid w:val="00EE4774"/>
    <w:rsid w:val="00EE58F4"/>
    <w:rsid w:val="00EE79C6"/>
    <w:rsid w:val="00EE7E2B"/>
    <w:rsid w:val="00EF0567"/>
    <w:rsid w:val="00EF0674"/>
    <w:rsid w:val="00EF2C78"/>
    <w:rsid w:val="00EF4544"/>
    <w:rsid w:val="00F021AF"/>
    <w:rsid w:val="00F04800"/>
    <w:rsid w:val="00F13649"/>
    <w:rsid w:val="00F203A6"/>
    <w:rsid w:val="00F20A55"/>
    <w:rsid w:val="00F21A10"/>
    <w:rsid w:val="00F22873"/>
    <w:rsid w:val="00F23D9F"/>
    <w:rsid w:val="00F2728C"/>
    <w:rsid w:val="00F272D8"/>
    <w:rsid w:val="00F32E66"/>
    <w:rsid w:val="00F3365D"/>
    <w:rsid w:val="00F33983"/>
    <w:rsid w:val="00F42395"/>
    <w:rsid w:val="00F43356"/>
    <w:rsid w:val="00F43882"/>
    <w:rsid w:val="00F43D07"/>
    <w:rsid w:val="00F44EE8"/>
    <w:rsid w:val="00F45B93"/>
    <w:rsid w:val="00F45E95"/>
    <w:rsid w:val="00F51772"/>
    <w:rsid w:val="00F56BEA"/>
    <w:rsid w:val="00F56FBD"/>
    <w:rsid w:val="00F571C6"/>
    <w:rsid w:val="00F578AC"/>
    <w:rsid w:val="00F60BE6"/>
    <w:rsid w:val="00F6249F"/>
    <w:rsid w:val="00F648A3"/>
    <w:rsid w:val="00F64A00"/>
    <w:rsid w:val="00F64E83"/>
    <w:rsid w:val="00F72075"/>
    <w:rsid w:val="00F72132"/>
    <w:rsid w:val="00F733BB"/>
    <w:rsid w:val="00F73E9D"/>
    <w:rsid w:val="00F82BEB"/>
    <w:rsid w:val="00F86219"/>
    <w:rsid w:val="00F86768"/>
    <w:rsid w:val="00F91627"/>
    <w:rsid w:val="00F92031"/>
    <w:rsid w:val="00F95477"/>
    <w:rsid w:val="00F96503"/>
    <w:rsid w:val="00FA2968"/>
    <w:rsid w:val="00FA2DED"/>
    <w:rsid w:val="00FA34FA"/>
    <w:rsid w:val="00FA4CD4"/>
    <w:rsid w:val="00FA507E"/>
    <w:rsid w:val="00FA6DFA"/>
    <w:rsid w:val="00FA74E9"/>
    <w:rsid w:val="00FB2E5A"/>
    <w:rsid w:val="00FB3DBC"/>
    <w:rsid w:val="00FB4647"/>
    <w:rsid w:val="00FB5B44"/>
    <w:rsid w:val="00FB7B12"/>
    <w:rsid w:val="00FC3AE0"/>
    <w:rsid w:val="00FC4987"/>
    <w:rsid w:val="00FC532A"/>
    <w:rsid w:val="00FC62F9"/>
    <w:rsid w:val="00FC7879"/>
    <w:rsid w:val="00FD67AC"/>
    <w:rsid w:val="00FD6D79"/>
    <w:rsid w:val="00FD7800"/>
    <w:rsid w:val="00FE6D89"/>
    <w:rsid w:val="00FF0B69"/>
    <w:rsid w:val="00FF17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A65DC"/>
  <w15:docId w15:val="{8473A283-7676-485C-9451-406B6A09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60"/>
        <w:ind w:left="714" w:hanging="357"/>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8CA"/>
    <w:pPr>
      <w:ind w:hanging="5"/>
    </w:pPr>
    <w:rPr>
      <w:rFonts w:ascii="Arial" w:hAnsi="Arial" w:cs="Arial"/>
      <w:sz w:val="20"/>
      <w:szCs w:val="20"/>
    </w:rPr>
  </w:style>
  <w:style w:type="paragraph" w:styleId="Heading1">
    <w:name w:val="heading 1"/>
    <w:next w:val="Normal"/>
    <w:link w:val="Heading1Char"/>
    <w:uiPriority w:val="1"/>
    <w:qFormat/>
    <w:rsid w:val="001A5C95"/>
    <w:pPr>
      <w:keepNext/>
      <w:numPr>
        <w:numId w:val="8"/>
      </w:numPr>
      <w:spacing w:before="600" w:after="360"/>
      <w:ind w:left="426" w:hanging="426"/>
      <w:outlineLvl w:val="0"/>
    </w:pPr>
    <w:rPr>
      <w:rFonts w:ascii="Arial Bold" w:eastAsiaTheme="majorEastAsia" w:hAnsi="Arial Bold" w:cs="Arial"/>
      <w:b/>
      <w:bCs/>
      <w:color w:val="004259"/>
      <w:sz w:val="28"/>
      <w:szCs w:val="28"/>
    </w:rPr>
  </w:style>
  <w:style w:type="paragraph" w:styleId="Heading2">
    <w:name w:val="heading 2"/>
    <w:basedOn w:val="Bodytext"/>
    <w:next w:val="Normal"/>
    <w:link w:val="Heading2Char"/>
    <w:uiPriority w:val="9"/>
    <w:unhideWhenUsed/>
    <w:qFormat/>
    <w:rsid w:val="0084727E"/>
    <w:pPr>
      <w:outlineLvl w:val="1"/>
    </w:pPr>
    <w:rPr>
      <w:b/>
      <w:bCs/>
      <w:color w:val="004259"/>
      <w:sz w:val="22"/>
      <w:szCs w:val="22"/>
    </w:rPr>
  </w:style>
  <w:style w:type="paragraph" w:styleId="Heading3">
    <w:name w:val="heading 3"/>
    <w:basedOn w:val="Normal"/>
    <w:next w:val="Normal"/>
    <w:link w:val="Heading3Char"/>
    <w:uiPriority w:val="9"/>
    <w:unhideWhenUsed/>
    <w:qFormat/>
    <w:rsid w:val="009C40C2"/>
    <w:pPr>
      <w:keepNext/>
      <w:keepLines/>
      <w:spacing w:before="240"/>
      <w:ind w:left="715" w:hanging="6"/>
      <w:outlineLvl w:val="2"/>
    </w:pPr>
    <w:rPr>
      <w:rFonts w:eastAsiaTheme="majorEastAsia"/>
      <w:b/>
      <w:bCs/>
      <w:color w:val="0042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C95"/>
    <w:rPr>
      <w:rFonts w:ascii="Arial Bold" w:eastAsiaTheme="majorEastAsia" w:hAnsi="Arial Bold" w:cs="Arial"/>
      <w:b/>
      <w:bCs/>
      <w:color w:val="004259"/>
      <w:sz w:val="28"/>
      <w:szCs w:val="28"/>
    </w:rPr>
  </w:style>
  <w:style w:type="character" w:customStyle="1" w:styleId="Heading2Char">
    <w:name w:val="Heading 2 Char"/>
    <w:basedOn w:val="DefaultParagraphFont"/>
    <w:link w:val="Heading2"/>
    <w:uiPriority w:val="9"/>
    <w:rsid w:val="0084727E"/>
    <w:rPr>
      <w:rFonts w:ascii="Arial" w:hAnsi="Arial" w:cs="Arial"/>
      <w:b/>
      <w:bCs/>
      <w:color w:val="004259"/>
    </w:rPr>
  </w:style>
  <w:style w:type="paragraph" w:styleId="NoteHeading">
    <w:name w:val="Note Heading"/>
    <w:basedOn w:val="Normal"/>
    <w:next w:val="Normal"/>
    <w:link w:val="NoteHeadingChar"/>
    <w:uiPriority w:val="99"/>
    <w:unhideWhenUsed/>
    <w:rsid w:val="00CC466B"/>
    <w:pPr>
      <w:spacing w:before="120"/>
      <w:ind w:left="431" w:hanging="6"/>
    </w:pPr>
    <w:rPr>
      <w:b/>
      <w:bCs/>
      <w:i/>
      <w:iCs/>
      <w:sz w:val="18"/>
      <w:szCs w:val="18"/>
    </w:rPr>
  </w:style>
  <w:style w:type="character" w:customStyle="1" w:styleId="Heading3Char">
    <w:name w:val="Heading 3 Char"/>
    <w:basedOn w:val="DefaultParagraphFont"/>
    <w:link w:val="Heading3"/>
    <w:uiPriority w:val="9"/>
    <w:rsid w:val="009C40C2"/>
    <w:rPr>
      <w:rFonts w:ascii="Arial" w:eastAsiaTheme="majorEastAsia" w:hAnsi="Arial" w:cs="Arial"/>
      <w:b/>
      <w:bCs/>
      <w:color w:val="004259"/>
      <w:sz w:val="20"/>
      <w:szCs w:val="20"/>
    </w:rPr>
  </w:style>
  <w:style w:type="paragraph" w:customStyle="1" w:styleId="Style1">
    <w:name w:val="Style1"/>
    <w:basedOn w:val="Normal"/>
    <w:link w:val="Style1Char"/>
    <w:qFormat/>
    <w:rsid w:val="00B03900"/>
    <w:pPr>
      <w:numPr>
        <w:numId w:val="3"/>
      </w:numPr>
    </w:pPr>
  </w:style>
  <w:style w:type="paragraph" w:customStyle="1" w:styleId="Style2">
    <w:name w:val="Style2"/>
    <w:basedOn w:val="Normal"/>
    <w:link w:val="Style2Char"/>
    <w:qFormat/>
    <w:rsid w:val="001A5C95"/>
    <w:pPr>
      <w:numPr>
        <w:ilvl w:val="3"/>
        <w:numId w:val="1"/>
      </w:numPr>
      <w:ind w:left="2694"/>
    </w:pPr>
  </w:style>
  <w:style w:type="character" w:customStyle="1" w:styleId="Style1Char">
    <w:name w:val="Style1 Char"/>
    <w:basedOn w:val="DefaultParagraphFont"/>
    <w:link w:val="Style1"/>
    <w:rsid w:val="00B03900"/>
    <w:rPr>
      <w:rFonts w:ascii="Arial" w:hAnsi="Arial" w:cs="Arial"/>
      <w:sz w:val="20"/>
      <w:szCs w:val="20"/>
    </w:rPr>
  </w:style>
  <w:style w:type="character" w:customStyle="1" w:styleId="NoteHeadingChar">
    <w:name w:val="Note Heading Char"/>
    <w:basedOn w:val="DefaultParagraphFont"/>
    <w:link w:val="NoteHeading"/>
    <w:uiPriority w:val="99"/>
    <w:rsid w:val="00CC466B"/>
    <w:rPr>
      <w:rFonts w:ascii="Arial" w:hAnsi="Arial" w:cs="Arial"/>
      <w:b/>
      <w:bCs/>
      <w:i/>
      <w:iCs/>
      <w:sz w:val="18"/>
      <w:szCs w:val="18"/>
    </w:rPr>
  </w:style>
  <w:style w:type="character" w:customStyle="1" w:styleId="Style2Char">
    <w:name w:val="Style2 Char"/>
    <w:basedOn w:val="DefaultParagraphFont"/>
    <w:link w:val="Style2"/>
    <w:rsid w:val="001A5C95"/>
    <w:rPr>
      <w:rFonts w:ascii="Arial" w:hAnsi="Arial" w:cs="Arial"/>
      <w:sz w:val="20"/>
      <w:szCs w:val="20"/>
    </w:rPr>
  </w:style>
  <w:style w:type="paragraph" w:styleId="TOCHeading">
    <w:name w:val="TOC Heading"/>
    <w:basedOn w:val="Heading1"/>
    <w:next w:val="Normal"/>
    <w:uiPriority w:val="39"/>
    <w:unhideWhenUsed/>
    <w:qFormat/>
    <w:rsid w:val="006F1D4E"/>
    <w:pPr>
      <w:spacing w:line="259" w:lineRule="auto"/>
      <w:ind w:left="0" w:firstLine="0"/>
      <w:outlineLvl w:val="9"/>
    </w:pPr>
    <w:rPr>
      <w:rFonts w:asciiTheme="majorHAnsi"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84727E"/>
    <w:pPr>
      <w:tabs>
        <w:tab w:val="left" w:pos="400"/>
        <w:tab w:val="right" w:leader="dot" w:pos="9628"/>
      </w:tabs>
      <w:spacing w:after="100"/>
      <w:ind w:left="0"/>
    </w:pPr>
    <w:rPr>
      <w:noProof/>
    </w:rPr>
  </w:style>
  <w:style w:type="paragraph" w:styleId="TOC2">
    <w:name w:val="toc 2"/>
    <w:basedOn w:val="Normal"/>
    <w:next w:val="Normal"/>
    <w:autoRedefine/>
    <w:uiPriority w:val="39"/>
    <w:unhideWhenUsed/>
    <w:rsid w:val="006F1D4E"/>
    <w:pPr>
      <w:spacing w:after="100"/>
      <w:ind w:left="200"/>
    </w:pPr>
  </w:style>
  <w:style w:type="paragraph" w:styleId="TOC3">
    <w:name w:val="toc 3"/>
    <w:basedOn w:val="Normal"/>
    <w:next w:val="Normal"/>
    <w:autoRedefine/>
    <w:uiPriority w:val="39"/>
    <w:unhideWhenUsed/>
    <w:rsid w:val="006F1D4E"/>
    <w:pPr>
      <w:spacing w:after="100"/>
      <w:ind w:left="400"/>
    </w:pPr>
  </w:style>
  <w:style w:type="character" w:styleId="Hyperlink">
    <w:name w:val="Hyperlink"/>
    <w:basedOn w:val="DefaultParagraphFont"/>
    <w:uiPriority w:val="99"/>
    <w:unhideWhenUsed/>
    <w:rsid w:val="006F1D4E"/>
    <w:rPr>
      <w:color w:val="0563C1" w:themeColor="hyperlink"/>
      <w:u w:val="single"/>
    </w:rPr>
  </w:style>
  <w:style w:type="paragraph" w:customStyle="1" w:styleId="TableParagraph">
    <w:name w:val="Table Paragraph"/>
    <w:basedOn w:val="Normal"/>
    <w:uiPriority w:val="1"/>
    <w:qFormat/>
    <w:rsid w:val="00CC466B"/>
    <w:pPr>
      <w:widowControl w:val="0"/>
      <w:autoSpaceDE w:val="0"/>
      <w:autoSpaceDN w:val="0"/>
      <w:spacing w:before="40" w:after="40"/>
      <w:ind w:left="0" w:firstLine="0"/>
    </w:pPr>
    <w:rPr>
      <w:rFonts w:eastAsia="Times New Roman" w:cs="Times New Roman"/>
      <w:sz w:val="18"/>
      <w:szCs w:val="22"/>
    </w:rPr>
  </w:style>
  <w:style w:type="numbering" w:customStyle="1" w:styleId="Style7">
    <w:name w:val="Style7"/>
    <w:uiPriority w:val="99"/>
    <w:rsid w:val="005C7B9E"/>
    <w:pPr>
      <w:numPr>
        <w:numId w:val="4"/>
      </w:numPr>
    </w:pPr>
  </w:style>
  <w:style w:type="paragraph" w:customStyle="1" w:styleId="CoverTitle">
    <w:name w:val="Cover Title"/>
    <w:basedOn w:val="Normal"/>
    <w:next w:val="Normal"/>
    <w:rsid w:val="00170BDC"/>
    <w:pPr>
      <w:spacing w:before="0" w:after="160" w:line="259" w:lineRule="auto"/>
      <w:ind w:left="0" w:firstLine="0"/>
      <w:jc w:val="right"/>
    </w:pPr>
    <w:rPr>
      <w:rFonts w:eastAsia="SimSun"/>
      <w:b/>
      <w:color w:val="FFFFFF"/>
      <w:sz w:val="40"/>
      <w:szCs w:val="22"/>
      <w:lang w:eastAsia="ja-JP"/>
    </w:rPr>
  </w:style>
  <w:style w:type="table" w:styleId="TableGrid">
    <w:name w:val="Table Grid"/>
    <w:basedOn w:val="TableNormal"/>
    <w:uiPriority w:val="39"/>
    <w:rsid w:val="001D541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576C"/>
    <w:pPr>
      <w:tabs>
        <w:tab w:val="center" w:pos="4513"/>
        <w:tab w:val="right" w:pos="9026"/>
      </w:tabs>
      <w:spacing w:before="0"/>
    </w:pPr>
  </w:style>
  <w:style w:type="character" w:customStyle="1" w:styleId="HeaderChar">
    <w:name w:val="Header Char"/>
    <w:basedOn w:val="DefaultParagraphFont"/>
    <w:link w:val="Header"/>
    <w:uiPriority w:val="99"/>
    <w:rsid w:val="003B576C"/>
    <w:rPr>
      <w:rFonts w:ascii="Arial" w:hAnsi="Arial" w:cs="Arial"/>
      <w:sz w:val="20"/>
      <w:szCs w:val="20"/>
    </w:rPr>
  </w:style>
  <w:style w:type="paragraph" w:styleId="Footer">
    <w:name w:val="footer"/>
    <w:basedOn w:val="Normal"/>
    <w:link w:val="FooterChar"/>
    <w:uiPriority w:val="99"/>
    <w:unhideWhenUsed/>
    <w:rsid w:val="003B576C"/>
    <w:pPr>
      <w:tabs>
        <w:tab w:val="center" w:pos="4513"/>
        <w:tab w:val="right" w:pos="9026"/>
      </w:tabs>
      <w:spacing w:before="0"/>
    </w:pPr>
  </w:style>
  <w:style w:type="character" w:customStyle="1" w:styleId="FooterChar">
    <w:name w:val="Footer Char"/>
    <w:basedOn w:val="DefaultParagraphFont"/>
    <w:link w:val="Footer"/>
    <w:uiPriority w:val="99"/>
    <w:rsid w:val="003B576C"/>
    <w:rPr>
      <w:rFonts w:ascii="Arial" w:hAnsi="Arial" w:cs="Arial"/>
      <w:sz w:val="20"/>
      <w:szCs w:val="20"/>
    </w:rPr>
  </w:style>
  <w:style w:type="paragraph" w:customStyle="1" w:styleId="Notes">
    <w:name w:val="Notes"/>
    <w:basedOn w:val="Normal"/>
    <w:uiPriority w:val="1"/>
    <w:qFormat/>
    <w:rsid w:val="00CC466B"/>
    <w:pPr>
      <w:keepLines/>
      <w:numPr>
        <w:numId w:val="5"/>
      </w:numPr>
      <w:spacing w:before="120" w:after="120"/>
      <w:ind w:left="709" w:hanging="284"/>
    </w:pPr>
    <w:rPr>
      <w:rFonts w:eastAsia="Times New Roman"/>
      <w:i/>
      <w:iCs/>
      <w:sz w:val="18"/>
      <w:szCs w:val="18"/>
    </w:rPr>
  </w:style>
  <w:style w:type="paragraph" w:customStyle="1" w:styleId="Bodynumbered2">
    <w:name w:val="Body numbered 2"/>
    <w:basedOn w:val="Normal"/>
    <w:qFormat/>
    <w:rsid w:val="00D35F62"/>
    <w:pPr>
      <w:keepLines/>
      <w:numPr>
        <w:numId w:val="6"/>
      </w:numPr>
      <w:spacing w:before="120" w:after="120"/>
    </w:pPr>
    <w:rPr>
      <w:rFonts w:eastAsia="Arial"/>
      <w:lang w:val="en-US" w:eastAsia="ja-JP" w:bidi="en-US"/>
    </w:rPr>
  </w:style>
  <w:style w:type="paragraph" w:customStyle="1" w:styleId="Bodynumbered3">
    <w:name w:val="Body numbered 3"/>
    <w:basedOn w:val="Bodynumbered2"/>
    <w:qFormat/>
    <w:rsid w:val="00D35F62"/>
    <w:pPr>
      <w:numPr>
        <w:numId w:val="7"/>
      </w:numPr>
    </w:pPr>
  </w:style>
  <w:style w:type="paragraph" w:styleId="BalloonText">
    <w:name w:val="Balloon Text"/>
    <w:basedOn w:val="Normal"/>
    <w:link w:val="BalloonTextChar"/>
    <w:uiPriority w:val="99"/>
    <w:semiHidden/>
    <w:unhideWhenUsed/>
    <w:rsid w:val="00032B0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B0E"/>
    <w:rPr>
      <w:rFonts w:ascii="Tahoma" w:hAnsi="Tahoma" w:cs="Tahoma"/>
      <w:sz w:val="16"/>
      <w:szCs w:val="16"/>
    </w:rPr>
  </w:style>
  <w:style w:type="character" w:styleId="CommentReference">
    <w:name w:val="annotation reference"/>
    <w:basedOn w:val="DefaultParagraphFont"/>
    <w:uiPriority w:val="99"/>
    <w:semiHidden/>
    <w:unhideWhenUsed/>
    <w:rsid w:val="00DB65B4"/>
    <w:rPr>
      <w:sz w:val="16"/>
      <w:szCs w:val="16"/>
    </w:rPr>
  </w:style>
  <w:style w:type="paragraph" w:styleId="CommentText">
    <w:name w:val="annotation text"/>
    <w:basedOn w:val="Normal"/>
    <w:link w:val="CommentTextChar"/>
    <w:uiPriority w:val="99"/>
    <w:unhideWhenUsed/>
    <w:rsid w:val="00DB65B4"/>
  </w:style>
  <w:style w:type="character" w:customStyle="1" w:styleId="CommentTextChar">
    <w:name w:val="Comment Text Char"/>
    <w:basedOn w:val="DefaultParagraphFont"/>
    <w:link w:val="CommentText"/>
    <w:uiPriority w:val="99"/>
    <w:rsid w:val="00DB65B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B65B4"/>
    <w:rPr>
      <w:b/>
      <w:bCs/>
    </w:rPr>
  </w:style>
  <w:style w:type="character" w:customStyle="1" w:styleId="CommentSubjectChar">
    <w:name w:val="Comment Subject Char"/>
    <w:basedOn w:val="CommentTextChar"/>
    <w:link w:val="CommentSubject"/>
    <w:uiPriority w:val="99"/>
    <w:semiHidden/>
    <w:rsid w:val="00DB65B4"/>
    <w:rPr>
      <w:rFonts w:ascii="Arial" w:hAnsi="Arial" w:cs="Arial"/>
      <w:b/>
      <w:bCs/>
      <w:sz w:val="20"/>
      <w:szCs w:val="20"/>
    </w:rPr>
  </w:style>
  <w:style w:type="paragraph" w:styleId="Revision">
    <w:name w:val="Revision"/>
    <w:hidden/>
    <w:uiPriority w:val="99"/>
    <w:semiHidden/>
    <w:rsid w:val="008B7815"/>
    <w:pPr>
      <w:spacing w:before="0"/>
      <w:ind w:left="0" w:firstLine="0"/>
    </w:pPr>
    <w:rPr>
      <w:rFonts w:ascii="Arial" w:hAnsi="Arial" w:cs="Arial"/>
      <w:sz w:val="20"/>
      <w:szCs w:val="20"/>
    </w:rPr>
  </w:style>
  <w:style w:type="paragraph" w:customStyle="1" w:styleId="Style6">
    <w:name w:val="Style6"/>
    <w:basedOn w:val="Normal"/>
    <w:uiPriority w:val="1"/>
    <w:qFormat/>
    <w:rsid w:val="00ED48E8"/>
    <w:pPr>
      <w:spacing w:before="180"/>
      <w:ind w:left="567" w:hanging="567"/>
    </w:pPr>
    <w:rPr>
      <w:rFonts w:eastAsiaTheme="minorEastAsia" w:cs="Times New Roman"/>
      <w:lang w:val="en-US" w:eastAsia="ja-JP"/>
    </w:rPr>
  </w:style>
  <w:style w:type="paragraph" w:customStyle="1" w:styleId="Bodynumbered1">
    <w:name w:val="Body numbered 1"/>
    <w:basedOn w:val="Bodytext"/>
    <w:qFormat/>
    <w:rsid w:val="000C5086"/>
    <w:pPr>
      <w:numPr>
        <w:numId w:val="9"/>
      </w:numPr>
      <w:ind w:left="324" w:hanging="284"/>
    </w:pPr>
  </w:style>
  <w:style w:type="paragraph" w:customStyle="1" w:styleId="Bodytext">
    <w:name w:val="Body text"/>
    <w:basedOn w:val="Normal"/>
    <w:qFormat/>
    <w:rsid w:val="000C5086"/>
    <w:pPr>
      <w:spacing w:line="240" w:lineRule="atLeast"/>
      <w:ind w:left="0" w:firstLine="0"/>
    </w:pPr>
  </w:style>
  <w:style w:type="paragraph" w:customStyle="1" w:styleId="Heading1-nonumber">
    <w:name w:val="Heading 1 - no number"/>
    <w:basedOn w:val="Heading1"/>
    <w:qFormat/>
    <w:rsid w:val="001769D6"/>
    <w:pPr>
      <w:pageBreakBefore/>
      <w:numPr>
        <w:numId w:val="0"/>
      </w:numPr>
      <w:tabs>
        <w:tab w:val="left" w:pos="720"/>
        <w:tab w:val="left" w:pos="1440"/>
        <w:tab w:val="left" w:pos="2160"/>
        <w:tab w:val="left" w:pos="3647"/>
        <w:tab w:val="left" w:pos="6270"/>
      </w:tabs>
      <w:ind w:left="567" w:hanging="567"/>
    </w:pPr>
  </w:style>
  <w:style w:type="paragraph" w:customStyle="1" w:styleId="Bodyparanumbered1">
    <w:name w:val="Body para numbered 1"/>
    <w:basedOn w:val="Bodynumbered1"/>
    <w:qFormat/>
    <w:rsid w:val="001A5C95"/>
    <w:pPr>
      <w:numPr>
        <w:ilvl w:val="1"/>
        <w:numId w:val="8"/>
      </w:numPr>
      <w:ind w:left="426" w:hanging="426"/>
    </w:pPr>
  </w:style>
  <w:style w:type="paragraph" w:customStyle="1" w:styleId="Bodyparanumbered2">
    <w:name w:val="Body para numbered 2"/>
    <w:basedOn w:val="Normal"/>
    <w:qFormat/>
    <w:rsid w:val="001A5C95"/>
    <w:pPr>
      <w:numPr>
        <w:numId w:val="2"/>
      </w:numPr>
    </w:pPr>
  </w:style>
  <w:style w:type="paragraph" w:customStyle="1" w:styleId="Bodyparanumbered3">
    <w:name w:val="Body para numbered 3"/>
    <w:basedOn w:val="Bodynumbered3"/>
    <w:qFormat/>
    <w:rsid w:val="000C5086"/>
    <w:pPr>
      <w:ind w:left="1134" w:hanging="283"/>
    </w:pPr>
  </w:style>
  <w:style w:type="paragraph" w:styleId="Caption">
    <w:name w:val="caption"/>
    <w:basedOn w:val="Normal"/>
    <w:next w:val="Normal"/>
    <w:uiPriority w:val="35"/>
    <w:unhideWhenUsed/>
    <w:qFormat/>
    <w:rsid w:val="00CC466B"/>
    <w:pPr>
      <w:keepNext/>
      <w:spacing w:before="240" w:after="120"/>
      <w:ind w:left="1417" w:hanging="992"/>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626389">
      <w:bodyDiv w:val="1"/>
      <w:marLeft w:val="0"/>
      <w:marRight w:val="0"/>
      <w:marTop w:val="0"/>
      <w:marBottom w:val="0"/>
      <w:divBdr>
        <w:top w:val="none" w:sz="0" w:space="0" w:color="auto"/>
        <w:left w:val="none" w:sz="0" w:space="0" w:color="auto"/>
        <w:bottom w:val="none" w:sz="0" w:space="0" w:color="auto"/>
        <w:right w:val="none" w:sz="0" w:space="0" w:color="auto"/>
      </w:divBdr>
    </w:div>
    <w:div w:id="971981602">
      <w:bodyDiv w:val="1"/>
      <w:marLeft w:val="0"/>
      <w:marRight w:val="0"/>
      <w:marTop w:val="0"/>
      <w:marBottom w:val="0"/>
      <w:divBdr>
        <w:top w:val="none" w:sz="0" w:space="0" w:color="auto"/>
        <w:left w:val="none" w:sz="0" w:space="0" w:color="auto"/>
        <w:bottom w:val="none" w:sz="0" w:space="0" w:color="auto"/>
        <w:right w:val="none" w:sz="0" w:space="0" w:color="auto"/>
      </w:divBdr>
    </w:div>
    <w:div w:id="1405374829">
      <w:bodyDiv w:val="1"/>
      <w:marLeft w:val="0"/>
      <w:marRight w:val="0"/>
      <w:marTop w:val="0"/>
      <w:marBottom w:val="0"/>
      <w:divBdr>
        <w:top w:val="none" w:sz="0" w:space="0" w:color="auto"/>
        <w:left w:val="none" w:sz="0" w:space="0" w:color="auto"/>
        <w:bottom w:val="none" w:sz="0" w:space="0" w:color="auto"/>
        <w:right w:val="none" w:sz="0" w:space="0" w:color="auto"/>
      </w:divBdr>
    </w:div>
    <w:div w:id="1513841603">
      <w:bodyDiv w:val="1"/>
      <w:marLeft w:val="0"/>
      <w:marRight w:val="0"/>
      <w:marTop w:val="0"/>
      <w:marBottom w:val="0"/>
      <w:divBdr>
        <w:top w:val="none" w:sz="0" w:space="0" w:color="auto"/>
        <w:left w:val="none" w:sz="0" w:space="0" w:color="auto"/>
        <w:bottom w:val="none" w:sz="0" w:space="0" w:color="auto"/>
        <w:right w:val="none" w:sz="0" w:space="0" w:color="auto"/>
      </w:divBdr>
    </w:div>
    <w:div w:id="1621952520">
      <w:bodyDiv w:val="1"/>
      <w:marLeft w:val="0"/>
      <w:marRight w:val="0"/>
      <w:marTop w:val="0"/>
      <w:marBottom w:val="0"/>
      <w:divBdr>
        <w:top w:val="none" w:sz="0" w:space="0" w:color="auto"/>
        <w:left w:val="none" w:sz="0" w:space="0" w:color="auto"/>
        <w:bottom w:val="none" w:sz="0" w:space="0" w:color="auto"/>
        <w:right w:val="none" w:sz="0" w:space="0" w:color="auto"/>
      </w:divBdr>
    </w:div>
    <w:div w:id="211007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AA938-49CD-455B-BBB9-18A7A5AD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10</Pages>
  <Words>2660</Words>
  <Characters>15589</Characters>
  <Application>Microsoft Office Word</Application>
  <DocSecurity>0</DocSecurity>
  <Lines>288</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Edwards</dc:creator>
  <cp:lastModifiedBy>Elaena Gardner</cp:lastModifiedBy>
  <cp:revision>39</cp:revision>
  <cp:lastPrinted>2022-03-16T06:28:00Z</cp:lastPrinted>
  <dcterms:created xsi:type="dcterms:W3CDTF">2022-08-25T02:00:00Z</dcterms:created>
  <dcterms:modified xsi:type="dcterms:W3CDTF">2023-01-13T03:47:00Z</dcterms:modified>
</cp:coreProperties>
</file>