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23BA" w14:textId="77777777" w:rsidR="00DC02AA" w:rsidRPr="003E1278" w:rsidRDefault="00DC02AA" w:rsidP="00FB1221">
      <w:pPr>
        <w:spacing w:before="120"/>
        <w:ind w:left="142"/>
        <w:jc w:val="both"/>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D10074" w14:paraId="7BFAB719" w14:textId="77777777" w:rsidTr="00FB1221">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0AB284F1" w14:textId="3EBB5539" w:rsidR="00AF1D72" w:rsidRPr="00D10074" w:rsidRDefault="00AF1D72" w:rsidP="00FB1221">
            <w:pPr>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D10074">
              <w:rPr>
                <w:rFonts w:ascii="Arial" w:eastAsia="SimSun" w:hAnsi="Arial" w:cs="Arial"/>
                <w:color w:val="004259"/>
                <w:sz w:val="28"/>
                <w:szCs w:val="28"/>
              </w:rPr>
              <w:t>AUSTROADS TECHNICAL SPECIFICATION ATS</w:t>
            </w:r>
            <w:r w:rsidR="00E374BF" w:rsidRPr="00D10074">
              <w:rPr>
                <w:rFonts w:ascii="Arial" w:eastAsia="SimSun" w:hAnsi="Arial" w:cs="Arial"/>
                <w:color w:val="004259"/>
                <w:sz w:val="28"/>
                <w:szCs w:val="28"/>
              </w:rPr>
              <w:t xml:space="preserve"> </w:t>
            </w:r>
            <w:r w:rsidR="00132AA3" w:rsidRPr="00D10074">
              <w:rPr>
                <w:rFonts w:ascii="Arial" w:eastAsia="SimSun" w:hAnsi="Arial" w:cs="Arial"/>
                <w:color w:val="004259"/>
                <w:sz w:val="28"/>
                <w:szCs w:val="28"/>
              </w:rPr>
              <w:t>3050</w:t>
            </w:r>
          </w:p>
          <w:p w14:paraId="7DA2DA74" w14:textId="11D71ADE" w:rsidR="00AF1D72" w:rsidRPr="00D10074" w:rsidRDefault="008C35AE" w:rsidP="00FB1221">
            <w:pPr>
              <w:tabs>
                <w:tab w:val="center" w:pos="4513"/>
                <w:tab w:val="right" w:pos="9026"/>
              </w:tabs>
              <w:rPr>
                <w:rFonts w:ascii="Arial" w:eastAsia="SimSun" w:hAnsi="Arial" w:cs="Arial"/>
                <w:b w:val="0"/>
                <w:bCs/>
                <w:color w:val="6F7C87"/>
                <w:sz w:val="32"/>
                <w:szCs w:val="32"/>
              </w:rPr>
            </w:pPr>
            <w:r w:rsidRPr="00D10074">
              <w:rPr>
                <w:rFonts w:ascii="Arial" w:hAnsi="Arial" w:cs="Arial"/>
                <w:b w:val="0"/>
                <w:bCs/>
                <w:color w:val="004259"/>
                <w:sz w:val="32"/>
                <w:szCs w:val="32"/>
              </w:rPr>
              <w:t>Supply of Recycled Crushed Glass</w:t>
            </w:r>
            <w:r w:rsidR="008205FE" w:rsidRPr="00D10074">
              <w:rPr>
                <w:rFonts w:ascii="Arial" w:hAnsi="Arial" w:cs="Arial"/>
                <w:b w:val="0"/>
                <w:bCs/>
                <w:color w:val="004259"/>
                <w:sz w:val="32"/>
                <w:szCs w:val="32"/>
              </w:rPr>
              <w:t xml:space="preserve"> Sand</w:t>
            </w:r>
            <w:r w:rsidRPr="00D10074">
              <w:rPr>
                <w:rFonts w:ascii="Arial" w:hAnsi="Arial" w:cs="Arial"/>
                <w:b w:val="0"/>
                <w:bCs/>
                <w:color w:val="004259"/>
                <w:sz w:val="32"/>
                <w:szCs w:val="32"/>
              </w:rPr>
              <w:t xml:space="preserve"> </w:t>
            </w:r>
          </w:p>
        </w:tc>
        <w:tc>
          <w:tcPr>
            <w:tcW w:w="1366" w:type="dxa"/>
            <w:shd w:val="clear" w:color="auto" w:fill="auto"/>
            <w:vAlign w:val="bottom"/>
          </w:tcPr>
          <w:p w14:paraId="6BA38A3A" w14:textId="77777777" w:rsidR="00AF1D72" w:rsidRPr="00D10074" w:rsidRDefault="00AF1D72" w:rsidP="00AF1D72">
            <w:pPr>
              <w:tabs>
                <w:tab w:val="center" w:pos="4513"/>
                <w:tab w:val="right" w:pos="9026"/>
              </w:tabs>
              <w:jc w:val="right"/>
              <w:rPr>
                <w:rFonts w:ascii="Arial" w:eastAsia="SimSun" w:hAnsi="Arial" w:cs="Arial"/>
                <w:color w:val="B35E06"/>
                <w:sz w:val="16"/>
                <w:szCs w:val="16"/>
              </w:rPr>
            </w:pPr>
            <w:r w:rsidRPr="00D10074">
              <w:rPr>
                <w:rFonts w:ascii="Arial" w:eastAsia="SimSun" w:hAnsi="Arial" w:cs="Arial"/>
                <w:noProof/>
                <w:color w:val="B35E06"/>
                <w:sz w:val="16"/>
                <w:szCs w:val="16"/>
              </w:rPr>
              <w:drawing>
                <wp:inline distT="0" distB="0" distL="0" distR="0" wp14:anchorId="38E40057" wp14:editId="1DEDE791">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D10074" w14:paraId="13DC9DB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C4F26CD" w14:textId="77777777" w:rsidR="00AF1D72" w:rsidRPr="00D10074" w:rsidRDefault="00AF1D72" w:rsidP="006B49B7">
                <w:pPr>
                  <w:pStyle w:val="Heading1nonumber"/>
                </w:pPr>
                <w:r w:rsidRPr="00D10074">
                  <w:t>Contents</w:t>
                </w:r>
              </w:p>
              <w:p w14:paraId="2F407EE8" w14:textId="2F8C010B" w:rsidR="00FB7993" w:rsidRDefault="00B23DC4">
                <w:pPr>
                  <w:pStyle w:val="TOC1"/>
                  <w:rPr>
                    <w:rFonts w:asciiTheme="minorHAnsi" w:eastAsiaTheme="minorEastAsia" w:hAnsiTheme="minorHAnsi" w:cstheme="minorBidi"/>
                    <w:b w:val="0"/>
                    <w:noProof/>
                    <w:kern w:val="2"/>
                    <w:sz w:val="22"/>
                    <w:szCs w:val="22"/>
                    <w:lang w:eastAsia="en-AU"/>
                    <w14:ligatures w14:val="standardContextual"/>
                  </w:rPr>
                </w:pPr>
                <w:r w:rsidRPr="00D10074">
                  <w:rPr>
                    <w:rFonts w:cs="Arial"/>
                    <w:b w:val="0"/>
                    <w:bCs/>
                  </w:rPr>
                  <w:fldChar w:fldCharType="begin"/>
                </w:r>
                <w:r w:rsidRPr="00D10074">
                  <w:rPr>
                    <w:rFonts w:cs="Arial"/>
                    <w:b w:val="0"/>
                    <w:bCs/>
                  </w:rPr>
                  <w:instrText xml:space="preserve"> TOC \h \z \t "Heading 1,1,Heading 2,2,Annexure Heading,1" </w:instrText>
                </w:r>
                <w:r w:rsidRPr="00D10074">
                  <w:rPr>
                    <w:rFonts w:cs="Arial"/>
                    <w:b w:val="0"/>
                    <w:bCs/>
                  </w:rPr>
                  <w:fldChar w:fldCharType="separate"/>
                </w:r>
                <w:hyperlink w:anchor="_Toc153204295" w:history="1">
                  <w:r w:rsidR="00FB7993" w:rsidRPr="008F6D37">
                    <w:rPr>
                      <w:rStyle w:val="Hyperlink"/>
                      <w:rFonts w:eastAsia="SimSun"/>
                      <w:noProof/>
                      <w14:scene3d>
                        <w14:camera w14:prst="orthographicFront"/>
                        <w14:lightRig w14:rig="threePt" w14:dir="t">
                          <w14:rot w14:lat="0" w14:lon="0" w14:rev="0"/>
                        </w14:lightRig>
                      </w14:scene3d>
                    </w:rPr>
                    <w:t>1.</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Scope</w:t>
                  </w:r>
                  <w:r w:rsidR="00FB7993">
                    <w:rPr>
                      <w:noProof/>
                      <w:webHidden/>
                    </w:rPr>
                    <w:tab/>
                  </w:r>
                  <w:r w:rsidR="00FB7993">
                    <w:rPr>
                      <w:noProof/>
                      <w:webHidden/>
                    </w:rPr>
                    <w:fldChar w:fldCharType="begin"/>
                  </w:r>
                  <w:r w:rsidR="00FB7993">
                    <w:rPr>
                      <w:noProof/>
                      <w:webHidden/>
                    </w:rPr>
                    <w:instrText xml:space="preserve"> PAGEREF _Toc153204295 \h </w:instrText>
                  </w:r>
                  <w:r w:rsidR="00FB7993">
                    <w:rPr>
                      <w:noProof/>
                      <w:webHidden/>
                    </w:rPr>
                  </w:r>
                  <w:r w:rsidR="00FB7993">
                    <w:rPr>
                      <w:noProof/>
                      <w:webHidden/>
                    </w:rPr>
                    <w:fldChar w:fldCharType="separate"/>
                  </w:r>
                  <w:r w:rsidR="00A30D3A">
                    <w:rPr>
                      <w:noProof/>
                      <w:webHidden/>
                    </w:rPr>
                    <w:t>1</w:t>
                  </w:r>
                  <w:r w:rsidR="00FB7993">
                    <w:rPr>
                      <w:noProof/>
                      <w:webHidden/>
                    </w:rPr>
                    <w:fldChar w:fldCharType="end"/>
                  </w:r>
                </w:hyperlink>
              </w:p>
              <w:p w14:paraId="58514459" w14:textId="523C0498"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296" w:history="1">
                  <w:r w:rsidR="00FB7993" w:rsidRPr="008F6D37">
                    <w:rPr>
                      <w:rStyle w:val="Hyperlink"/>
                      <w:rFonts w:eastAsia="SimSun"/>
                      <w:noProof/>
                      <w14:scene3d>
                        <w14:camera w14:prst="orthographicFront"/>
                        <w14:lightRig w14:rig="threePt" w14:dir="t">
                          <w14:rot w14:lat="0" w14:lon="0" w14:rev="0"/>
                        </w14:lightRig>
                      </w14:scene3d>
                    </w:rPr>
                    <w:t>2.</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Referenced Documents</w:t>
                  </w:r>
                  <w:r w:rsidR="00FB7993">
                    <w:rPr>
                      <w:noProof/>
                      <w:webHidden/>
                    </w:rPr>
                    <w:tab/>
                  </w:r>
                  <w:r w:rsidR="00FB7993">
                    <w:rPr>
                      <w:noProof/>
                      <w:webHidden/>
                    </w:rPr>
                    <w:fldChar w:fldCharType="begin"/>
                  </w:r>
                  <w:r w:rsidR="00FB7993">
                    <w:rPr>
                      <w:noProof/>
                      <w:webHidden/>
                    </w:rPr>
                    <w:instrText xml:space="preserve"> PAGEREF _Toc153204296 \h </w:instrText>
                  </w:r>
                  <w:r w:rsidR="00FB7993">
                    <w:rPr>
                      <w:noProof/>
                      <w:webHidden/>
                    </w:rPr>
                  </w:r>
                  <w:r w:rsidR="00FB7993">
                    <w:rPr>
                      <w:noProof/>
                      <w:webHidden/>
                    </w:rPr>
                    <w:fldChar w:fldCharType="separate"/>
                  </w:r>
                  <w:r w:rsidR="00A30D3A">
                    <w:rPr>
                      <w:noProof/>
                      <w:webHidden/>
                    </w:rPr>
                    <w:t>2</w:t>
                  </w:r>
                  <w:r w:rsidR="00FB7993">
                    <w:rPr>
                      <w:noProof/>
                      <w:webHidden/>
                    </w:rPr>
                    <w:fldChar w:fldCharType="end"/>
                  </w:r>
                </w:hyperlink>
              </w:p>
              <w:p w14:paraId="40B801C5" w14:textId="1B47A5A7"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297" w:history="1">
                  <w:r w:rsidR="00FB7993" w:rsidRPr="008F6D37">
                    <w:rPr>
                      <w:rStyle w:val="Hyperlink"/>
                      <w:rFonts w:eastAsiaTheme="majorEastAsia"/>
                      <w:noProof/>
                      <w14:scene3d>
                        <w14:camera w14:prst="orthographicFront"/>
                        <w14:lightRig w14:rig="threePt" w14:dir="t">
                          <w14:rot w14:lat="0" w14:lon="0" w14:rev="0"/>
                        </w14:lightRig>
                      </w14:scene3d>
                    </w:rPr>
                    <w:t>3.</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Definitions</w:t>
                  </w:r>
                  <w:r w:rsidR="00FB7993">
                    <w:rPr>
                      <w:noProof/>
                      <w:webHidden/>
                    </w:rPr>
                    <w:tab/>
                  </w:r>
                  <w:r w:rsidR="00FB7993">
                    <w:rPr>
                      <w:noProof/>
                      <w:webHidden/>
                    </w:rPr>
                    <w:fldChar w:fldCharType="begin"/>
                  </w:r>
                  <w:r w:rsidR="00FB7993">
                    <w:rPr>
                      <w:noProof/>
                      <w:webHidden/>
                    </w:rPr>
                    <w:instrText xml:space="preserve"> PAGEREF _Toc153204297 \h </w:instrText>
                  </w:r>
                  <w:r w:rsidR="00FB7993">
                    <w:rPr>
                      <w:noProof/>
                      <w:webHidden/>
                    </w:rPr>
                  </w:r>
                  <w:r w:rsidR="00FB7993">
                    <w:rPr>
                      <w:noProof/>
                      <w:webHidden/>
                    </w:rPr>
                    <w:fldChar w:fldCharType="separate"/>
                  </w:r>
                  <w:r w:rsidR="00A30D3A">
                    <w:rPr>
                      <w:noProof/>
                      <w:webHidden/>
                    </w:rPr>
                    <w:t>3</w:t>
                  </w:r>
                  <w:r w:rsidR="00FB7993">
                    <w:rPr>
                      <w:noProof/>
                      <w:webHidden/>
                    </w:rPr>
                    <w:fldChar w:fldCharType="end"/>
                  </w:r>
                </w:hyperlink>
              </w:p>
              <w:p w14:paraId="6E28AA92" w14:textId="7DA80E46"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298" w:history="1">
                  <w:r w:rsidR="00FB7993" w:rsidRPr="008F6D37">
                    <w:rPr>
                      <w:rStyle w:val="Hyperlink"/>
                      <w:rFonts w:eastAsia="SimSun"/>
                      <w:noProof/>
                      <w14:scene3d>
                        <w14:camera w14:prst="orthographicFront"/>
                        <w14:lightRig w14:rig="threePt" w14:dir="t">
                          <w14:rot w14:lat="0" w14:lon="0" w14:rev="0"/>
                        </w14:lightRig>
                      </w14:scene3d>
                    </w:rPr>
                    <w:t>4.</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Quality System Requirements</w:t>
                  </w:r>
                  <w:r w:rsidR="00FB7993">
                    <w:rPr>
                      <w:noProof/>
                      <w:webHidden/>
                    </w:rPr>
                    <w:tab/>
                  </w:r>
                  <w:r w:rsidR="00FB7993">
                    <w:rPr>
                      <w:noProof/>
                      <w:webHidden/>
                    </w:rPr>
                    <w:fldChar w:fldCharType="begin"/>
                  </w:r>
                  <w:r w:rsidR="00FB7993">
                    <w:rPr>
                      <w:noProof/>
                      <w:webHidden/>
                    </w:rPr>
                    <w:instrText xml:space="preserve"> PAGEREF _Toc153204298 \h </w:instrText>
                  </w:r>
                  <w:r w:rsidR="00FB7993">
                    <w:rPr>
                      <w:noProof/>
                      <w:webHidden/>
                    </w:rPr>
                  </w:r>
                  <w:r w:rsidR="00FB7993">
                    <w:rPr>
                      <w:noProof/>
                      <w:webHidden/>
                    </w:rPr>
                    <w:fldChar w:fldCharType="separate"/>
                  </w:r>
                  <w:r w:rsidR="00A30D3A">
                    <w:rPr>
                      <w:noProof/>
                      <w:webHidden/>
                    </w:rPr>
                    <w:t>3</w:t>
                  </w:r>
                  <w:r w:rsidR="00FB7993">
                    <w:rPr>
                      <w:noProof/>
                      <w:webHidden/>
                    </w:rPr>
                    <w:fldChar w:fldCharType="end"/>
                  </w:r>
                </w:hyperlink>
              </w:p>
              <w:p w14:paraId="2924923C" w14:textId="199C0105"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299" w:history="1">
                  <w:r w:rsidR="00FB7993" w:rsidRPr="008F6D37">
                    <w:rPr>
                      <w:rStyle w:val="Hyperlink"/>
                      <w:rFonts w:eastAsia="SimSun"/>
                      <w:noProof/>
                      <w14:scene3d>
                        <w14:camera w14:prst="orthographicFront"/>
                        <w14:lightRig w14:rig="threePt" w14:dir="t">
                          <w14:rot w14:lat="0" w14:lon="0" w14:rev="0"/>
                        </w14:lightRig>
                      </w14:scene3d>
                    </w:rPr>
                    <w:t>5.</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Glass Source</w:t>
                  </w:r>
                  <w:r w:rsidR="00FB7993">
                    <w:rPr>
                      <w:noProof/>
                      <w:webHidden/>
                    </w:rPr>
                    <w:tab/>
                  </w:r>
                  <w:r w:rsidR="00FB7993">
                    <w:rPr>
                      <w:noProof/>
                      <w:webHidden/>
                    </w:rPr>
                    <w:fldChar w:fldCharType="begin"/>
                  </w:r>
                  <w:r w:rsidR="00FB7993">
                    <w:rPr>
                      <w:noProof/>
                      <w:webHidden/>
                    </w:rPr>
                    <w:instrText xml:space="preserve"> PAGEREF _Toc153204299 \h </w:instrText>
                  </w:r>
                  <w:r w:rsidR="00FB7993">
                    <w:rPr>
                      <w:noProof/>
                      <w:webHidden/>
                    </w:rPr>
                  </w:r>
                  <w:r w:rsidR="00FB7993">
                    <w:rPr>
                      <w:noProof/>
                      <w:webHidden/>
                    </w:rPr>
                    <w:fldChar w:fldCharType="separate"/>
                  </w:r>
                  <w:r w:rsidR="00A30D3A">
                    <w:rPr>
                      <w:noProof/>
                      <w:webHidden/>
                    </w:rPr>
                    <w:t>4</w:t>
                  </w:r>
                  <w:r w:rsidR="00FB7993">
                    <w:rPr>
                      <w:noProof/>
                      <w:webHidden/>
                    </w:rPr>
                    <w:fldChar w:fldCharType="end"/>
                  </w:r>
                </w:hyperlink>
              </w:p>
              <w:p w14:paraId="7B0AD08D" w14:textId="79EF893F"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300" w:history="1">
                  <w:r w:rsidR="00FB7993" w:rsidRPr="008F6D37">
                    <w:rPr>
                      <w:rStyle w:val="Hyperlink"/>
                      <w:rFonts w:eastAsia="SimSun"/>
                      <w:noProof/>
                      <w14:scene3d>
                        <w14:camera w14:prst="orthographicFront"/>
                        <w14:lightRig w14:rig="threePt" w14:dir="t">
                          <w14:rot w14:lat="0" w14:lon="0" w14:rev="0"/>
                        </w14:lightRig>
                      </w14:scene3d>
                    </w:rPr>
                    <w:t>6.</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Chemical and Other Material Requirements</w:t>
                  </w:r>
                  <w:r w:rsidR="00FB7993">
                    <w:rPr>
                      <w:noProof/>
                      <w:webHidden/>
                    </w:rPr>
                    <w:tab/>
                  </w:r>
                  <w:r w:rsidR="00FB7993">
                    <w:rPr>
                      <w:noProof/>
                      <w:webHidden/>
                    </w:rPr>
                    <w:fldChar w:fldCharType="begin"/>
                  </w:r>
                  <w:r w:rsidR="00FB7993">
                    <w:rPr>
                      <w:noProof/>
                      <w:webHidden/>
                    </w:rPr>
                    <w:instrText xml:space="preserve"> PAGEREF _Toc153204300 \h </w:instrText>
                  </w:r>
                  <w:r w:rsidR="00FB7993">
                    <w:rPr>
                      <w:noProof/>
                      <w:webHidden/>
                    </w:rPr>
                  </w:r>
                  <w:r w:rsidR="00FB7993">
                    <w:rPr>
                      <w:noProof/>
                      <w:webHidden/>
                    </w:rPr>
                    <w:fldChar w:fldCharType="separate"/>
                  </w:r>
                  <w:r w:rsidR="00A30D3A">
                    <w:rPr>
                      <w:noProof/>
                      <w:webHidden/>
                    </w:rPr>
                    <w:t>5</w:t>
                  </w:r>
                  <w:r w:rsidR="00FB7993">
                    <w:rPr>
                      <w:noProof/>
                      <w:webHidden/>
                    </w:rPr>
                    <w:fldChar w:fldCharType="end"/>
                  </w:r>
                </w:hyperlink>
              </w:p>
              <w:p w14:paraId="68EF995F" w14:textId="0FCDE937"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301" w:history="1">
                  <w:r w:rsidR="00FB7993" w:rsidRPr="008F6D37">
                    <w:rPr>
                      <w:rStyle w:val="Hyperlink"/>
                      <w:rFonts w:eastAsia="SimSun"/>
                      <w:noProof/>
                      <w14:scene3d>
                        <w14:camera w14:prst="orthographicFront"/>
                        <w14:lightRig w14:rig="threePt" w14:dir="t">
                          <w14:rot w14:lat="0" w14:lon="0" w14:rev="0"/>
                        </w14:lightRig>
                      </w14:scene3d>
                    </w:rPr>
                    <w:t>7.</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Properties for use as a Granular Material</w:t>
                  </w:r>
                  <w:r w:rsidR="00FB7993">
                    <w:rPr>
                      <w:noProof/>
                      <w:webHidden/>
                    </w:rPr>
                    <w:tab/>
                  </w:r>
                  <w:r w:rsidR="00FB7993">
                    <w:rPr>
                      <w:noProof/>
                      <w:webHidden/>
                    </w:rPr>
                    <w:fldChar w:fldCharType="begin"/>
                  </w:r>
                  <w:r w:rsidR="00FB7993">
                    <w:rPr>
                      <w:noProof/>
                      <w:webHidden/>
                    </w:rPr>
                    <w:instrText xml:space="preserve"> PAGEREF _Toc153204301 \h </w:instrText>
                  </w:r>
                  <w:r w:rsidR="00FB7993">
                    <w:rPr>
                      <w:noProof/>
                      <w:webHidden/>
                    </w:rPr>
                  </w:r>
                  <w:r w:rsidR="00FB7993">
                    <w:rPr>
                      <w:noProof/>
                      <w:webHidden/>
                    </w:rPr>
                    <w:fldChar w:fldCharType="separate"/>
                  </w:r>
                  <w:r w:rsidR="00A30D3A">
                    <w:rPr>
                      <w:noProof/>
                      <w:webHidden/>
                    </w:rPr>
                    <w:t>5</w:t>
                  </w:r>
                  <w:r w:rsidR="00FB7993">
                    <w:rPr>
                      <w:noProof/>
                      <w:webHidden/>
                    </w:rPr>
                    <w:fldChar w:fldCharType="end"/>
                  </w:r>
                </w:hyperlink>
              </w:p>
              <w:p w14:paraId="4ADBBDEF" w14:textId="554A347B"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302" w:history="1">
                  <w:r w:rsidR="00FB7993" w:rsidRPr="008F6D37">
                    <w:rPr>
                      <w:rStyle w:val="Hyperlink"/>
                      <w:rFonts w:eastAsia="SimSun"/>
                      <w:noProof/>
                      <w14:scene3d>
                        <w14:camera w14:prst="orthographicFront"/>
                        <w14:lightRig w14:rig="threePt" w14:dir="t">
                          <w14:rot w14:lat="0" w14:lon="0" w14:rev="0"/>
                        </w14:lightRig>
                      </w14:scene3d>
                    </w:rPr>
                    <w:t>8.</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Properties of RCG Used in Concrete</w:t>
                  </w:r>
                  <w:r w:rsidR="00FB7993">
                    <w:rPr>
                      <w:noProof/>
                      <w:webHidden/>
                    </w:rPr>
                    <w:tab/>
                  </w:r>
                  <w:r w:rsidR="00FB7993">
                    <w:rPr>
                      <w:noProof/>
                      <w:webHidden/>
                    </w:rPr>
                    <w:fldChar w:fldCharType="begin"/>
                  </w:r>
                  <w:r w:rsidR="00FB7993">
                    <w:rPr>
                      <w:noProof/>
                      <w:webHidden/>
                    </w:rPr>
                    <w:instrText xml:space="preserve"> PAGEREF _Toc153204302 \h </w:instrText>
                  </w:r>
                  <w:r w:rsidR="00FB7993">
                    <w:rPr>
                      <w:noProof/>
                      <w:webHidden/>
                    </w:rPr>
                  </w:r>
                  <w:r w:rsidR="00FB7993">
                    <w:rPr>
                      <w:noProof/>
                      <w:webHidden/>
                    </w:rPr>
                    <w:fldChar w:fldCharType="separate"/>
                  </w:r>
                  <w:r w:rsidR="00A30D3A">
                    <w:rPr>
                      <w:noProof/>
                      <w:webHidden/>
                    </w:rPr>
                    <w:t>6</w:t>
                  </w:r>
                  <w:r w:rsidR="00FB7993">
                    <w:rPr>
                      <w:noProof/>
                      <w:webHidden/>
                    </w:rPr>
                    <w:fldChar w:fldCharType="end"/>
                  </w:r>
                </w:hyperlink>
              </w:p>
              <w:p w14:paraId="6B124D4B" w14:textId="27C90BDA" w:rsidR="00FB7993" w:rsidRDefault="00E9254E">
                <w:pPr>
                  <w:pStyle w:val="TOC2"/>
                  <w:rPr>
                    <w:rFonts w:asciiTheme="minorHAnsi" w:eastAsiaTheme="minorEastAsia" w:hAnsiTheme="minorHAnsi" w:cstheme="minorBidi"/>
                    <w:bCs w:val="0"/>
                    <w:noProof/>
                    <w:kern w:val="2"/>
                    <w:sz w:val="22"/>
                    <w:lang w:eastAsia="en-AU"/>
                    <w14:ligatures w14:val="standardContextual"/>
                  </w:rPr>
                </w:pPr>
                <w:hyperlink w:anchor="_Toc153204303" w:history="1">
                  <w:r w:rsidR="00FB7993" w:rsidRPr="008F6D37">
                    <w:rPr>
                      <w:rStyle w:val="Hyperlink"/>
                      <w:rFonts w:eastAsia="SimSun"/>
                      <w:noProof/>
                    </w:rPr>
                    <w:t>General</w:t>
                  </w:r>
                  <w:r w:rsidR="00FB7993">
                    <w:rPr>
                      <w:noProof/>
                      <w:webHidden/>
                    </w:rPr>
                    <w:tab/>
                  </w:r>
                  <w:r w:rsidR="00FB7993">
                    <w:rPr>
                      <w:noProof/>
                      <w:webHidden/>
                    </w:rPr>
                    <w:fldChar w:fldCharType="begin"/>
                  </w:r>
                  <w:r w:rsidR="00FB7993">
                    <w:rPr>
                      <w:noProof/>
                      <w:webHidden/>
                    </w:rPr>
                    <w:instrText xml:space="preserve"> PAGEREF _Toc153204303 \h </w:instrText>
                  </w:r>
                  <w:r w:rsidR="00FB7993">
                    <w:rPr>
                      <w:noProof/>
                      <w:webHidden/>
                    </w:rPr>
                  </w:r>
                  <w:r w:rsidR="00FB7993">
                    <w:rPr>
                      <w:noProof/>
                      <w:webHidden/>
                    </w:rPr>
                    <w:fldChar w:fldCharType="separate"/>
                  </w:r>
                  <w:r w:rsidR="00A30D3A">
                    <w:rPr>
                      <w:noProof/>
                      <w:webHidden/>
                    </w:rPr>
                    <w:t>6</w:t>
                  </w:r>
                  <w:r w:rsidR="00FB7993">
                    <w:rPr>
                      <w:noProof/>
                      <w:webHidden/>
                    </w:rPr>
                    <w:fldChar w:fldCharType="end"/>
                  </w:r>
                </w:hyperlink>
              </w:p>
              <w:p w14:paraId="382C1D6C" w14:textId="17434D80" w:rsidR="00FB7993" w:rsidRDefault="00E9254E">
                <w:pPr>
                  <w:pStyle w:val="TOC2"/>
                  <w:rPr>
                    <w:rFonts w:asciiTheme="minorHAnsi" w:eastAsiaTheme="minorEastAsia" w:hAnsiTheme="minorHAnsi" w:cstheme="minorBidi"/>
                    <w:bCs w:val="0"/>
                    <w:noProof/>
                    <w:kern w:val="2"/>
                    <w:sz w:val="22"/>
                    <w:lang w:eastAsia="en-AU"/>
                    <w14:ligatures w14:val="standardContextual"/>
                  </w:rPr>
                </w:pPr>
                <w:hyperlink w:anchor="_Toc153204304" w:history="1">
                  <w:r w:rsidR="00FB7993" w:rsidRPr="008F6D37">
                    <w:rPr>
                      <w:rStyle w:val="Hyperlink"/>
                      <w:rFonts w:eastAsia="SimSun"/>
                      <w:noProof/>
                    </w:rPr>
                    <w:t>Alkali-Silica Reactivity</w:t>
                  </w:r>
                  <w:r w:rsidR="00FB7993">
                    <w:rPr>
                      <w:noProof/>
                      <w:webHidden/>
                    </w:rPr>
                    <w:tab/>
                  </w:r>
                  <w:r w:rsidR="00FB7993">
                    <w:rPr>
                      <w:noProof/>
                      <w:webHidden/>
                    </w:rPr>
                    <w:fldChar w:fldCharType="begin"/>
                  </w:r>
                  <w:r w:rsidR="00FB7993">
                    <w:rPr>
                      <w:noProof/>
                      <w:webHidden/>
                    </w:rPr>
                    <w:instrText xml:space="preserve"> PAGEREF _Toc153204304 \h </w:instrText>
                  </w:r>
                  <w:r w:rsidR="00FB7993">
                    <w:rPr>
                      <w:noProof/>
                      <w:webHidden/>
                    </w:rPr>
                  </w:r>
                  <w:r w:rsidR="00FB7993">
                    <w:rPr>
                      <w:noProof/>
                      <w:webHidden/>
                    </w:rPr>
                    <w:fldChar w:fldCharType="separate"/>
                  </w:r>
                  <w:r w:rsidR="00A30D3A">
                    <w:rPr>
                      <w:noProof/>
                      <w:webHidden/>
                    </w:rPr>
                    <w:t>8</w:t>
                  </w:r>
                  <w:r w:rsidR="00FB7993">
                    <w:rPr>
                      <w:noProof/>
                      <w:webHidden/>
                    </w:rPr>
                    <w:fldChar w:fldCharType="end"/>
                  </w:r>
                </w:hyperlink>
              </w:p>
              <w:p w14:paraId="0F7196B9" w14:textId="1BA90EC8" w:rsidR="00FB7993" w:rsidRDefault="00E9254E">
                <w:pPr>
                  <w:pStyle w:val="TOC1"/>
                  <w:rPr>
                    <w:rFonts w:asciiTheme="minorHAnsi" w:eastAsiaTheme="minorEastAsia" w:hAnsiTheme="minorHAnsi" w:cstheme="minorBidi"/>
                    <w:b w:val="0"/>
                    <w:noProof/>
                    <w:kern w:val="2"/>
                    <w:sz w:val="22"/>
                    <w:szCs w:val="22"/>
                    <w:lang w:eastAsia="en-AU"/>
                    <w14:ligatures w14:val="standardContextual"/>
                  </w:rPr>
                </w:pPr>
                <w:hyperlink w:anchor="_Toc153204305" w:history="1">
                  <w:r w:rsidR="00FB7993" w:rsidRPr="008F6D37">
                    <w:rPr>
                      <w:rStyle w:val="Hyperlink"/>
                      <w:rFonts w:eastAsia="SimSun"/>
                      <w:noProof/>
                      <w14:scene3d>
                        <w14:camera w14:prst="orthographicFront"/>
                        <w14:lightRig w14:rig="threePt" w14:dir="t">
                          <w14:rot w14:lat="0" w14:lon="0" w14:rev="0"/>
                        </w14:lightRig>
                      </w14:scene3d>
                    </w:rPr>
                    <w:t>9.</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Testing and Conformance</w:t>
                  </w:r>
                  <w:r w:rsidR="00FB7993">
                    <w:rPr>
                      <w:noProof/>
                      <w:webHidden/>
                    </w:rPr>
                    <w:tab/>
                  </w:r>
                  <w:r w:rsidR="00FB7993">
                    <w:rPr>
                      <w:noProof/>
                      <w:webHidden/>
                    </w:rPr>
                    <w:fldChar w:fldCharType="begin"/>
                  </w:r>
                  <w:r w:rsidR="00FB7993">
                    <w:rPr>
                      <w:noProof/>
                      <w:webHidden/>
                    </w:rPr>
                    <w:instrText xml:space="preserve"> PAGEREF _Toc153204305 \h </w:instrText>
                  </w:r>
                  <w:r w:rsidR="00FB7993">
                    <w:rPr>
                      <w:noProof/>
                      <w:webHidden/>
                    </w:rPr>
                  </w:r>
                  <w:r w:rsidR="00FB7993">
                    <w:rPr>
                      <w:noProof/>
                      <w:webHidden/>
                    </w:rPr>
                    <w:fldChar w:fldCharType="separate"/>
                  </w:r>
                  <w:r w:rsidR="00A30D3A">
                    <w:rPr>
                      <w:noProof/>
                      <w:webHidden/>
                    </w:rPr>
                    <w:t>8</w:t>
                  </w:r>
                  <w:r w:rsidR="00FB7993">
                    <w:rPr>
                      <w:noProof/>
                      <w:webHidden/>
                    </w:rPr>
                    <w:fldChar w:fldCharType="end"/>
                  </w:r>
                </w:hyperlink>
              </w:p>
              <w:p w14:paraId="13AFEC8F" w14:textId="4C14B705" w:rsidR="00FB7993" w:rsidRDefault="00E9254E">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53204306" w:history="1">
                  <w:r w:rsidR="00FB7993" w:rsidRPr="008F6D37">
                    <w:rPr>
                      <w:rStyle w:val="Hyperlink"/>
                      <w:rFonts w:eastAsia="SimSun"/>
                      <w:noProof/>
                    </w:rPr>
                    <w:t>Annexure A:</w:t>
                  </w:r>
                  <w:r w:rsidR="00FB7993">
                    <w:rPr>
                      <w:rFonts w:asciiTheme="minorHAnsi" w:eastAsiaTheme="minorEastAsia" w:hAnsiTheme="minorHAnsi" w:cstheme="minorBidi"/>
                      <w:b w:val="0"/>
                      <w:noProof/>
                      <w:kern w:val="2"/>
                      <w:sz w:val="22"/>
                      <w:szCs w:val="22"/>
                      <w:lang w:eastAsia="en-AU"/>
                      <w14:ligatures w14:val="standardContextual"/>
                    </w:rPr>
                    <w:tab/>
                  </w:r>
                  <w:r w:rsidR="00FB7993" w:rsidRPr="008F6D37">
                    <w:rPr>
                      <w:rStyle w:val="Hyperlink"/>
                      <w:rFonts w:eastAsia="SimSun"/>
                      <w:noProof/>
                    </w:rPr>
                    <w:t>Summary of Hold Points, Witness Points and Records</w:t>
                  </w:r>
                  <w:r w:rsidR="00FB7993">
                    <w:rPr>
                      <w:noProof/>
                      <w:webHidden/>
                    </w:rPr>
                    <w:tab/>
                  </w:r>
                  <w:r w:rsidR="00FB7993">
                    <w:rPr>
                      <w:noProof/>
                      <w:webHidden/>
                    </w:rPr>
                    <w:fldChar w:fldCharType="begin"/>
                  </w:r>
                  <w:r w:rsidR="00FB7993">
                    <w:rPr>
                      <w:noProof/>
                      <w:webHidden/>
                    </w:rPr>
                    <w:instrText xml:space="preserve"> PAGEREF _Toc153204306 \h </w:instrText>
                  </w:r>
                  <w:r w:rsidR="00FB7993">
                    <w:rPr>
                      <w:noProof/>
                      <w:webHidden/>
                    </w:rPr>
                  </w:r>
                  <w:r w:rsidR="00FB7993">
                    <w:rPr>
                      <w:noProof/>
                      <w:webHidden/>
                    </w:rPr>
                    <w:fldChar w:fldCharType="separate"/>
                  </w:r>
                  <w:r w:rsidR="00A30D3A">
                    <w:rPr>
                      <w:noProof/>
                      <w:webHidden/>
                    </w:rPr>
                    <w:t>9</w:t>
                  </w:r>
                  <w:r w:rsidR="00FB7993">
                    <w:rPr>
                      <w:noProof/>
                      <w:webHidden/>
                    </w:rPr>
                    <w:fldChar w:fldCharType="end"/>
                  </w:r>
                </w:hyperlink>
              </w:p>
              <w:p w14:paraId="63BE3AA4" w14:textId="5F12EA03" w:rsidR="00AF1D72" w:rsidRPr="00D10074" w:rsidRDefault="00B23DC4" w:rsidP="005C24F8">
                <w:pPr>
                  <w:pStyle w:val="TOC1"/>
                  <w:tabs>
                    <w:tab w:val="left" w:pos="1571"/>
                  </w:tabs>
                  <w:rPr>
                    <w:rFonts w:cs="Arial"/>
                    <w:b w:val="0"/>
                    <w:bCs/>
                  </w:rPr>
                </w:pPr>
                <w:r w:rsidRPr="00D10074">
                  <w:rPr>
                    <w:rFonts w:cs="Arial"/>
                    <w:b w:val="0"/>
                    <w:bCs/>
                  </w:rPr>
                  <w:fldChar w:fldCharType="end"/>
                </w:r>
              </w:p>
            </w:sdtContent>
          </w:sdt>
        </w:tc>
      </w:tr>
    </w:tbl>
    <w:p w14:paraId="119A494C" w14:textId="77777777" w:rsidR="00991F4D" w:rsidRPr="00D10074" w:rsidRDefault="00AF1D72" w:rsidP="00C83A4C">
      <w:pPr>
        <w:pStyle w:val="Heading1"/>
      </w:pPr>
      <w:bookmarkStart w:id="3" w:name="_Toc153204295"/>
      <w:r w:rsidRPr="00D10074">
        <w:t>Scope</w:t>
      </w:r>
      <w:bookmarkEnd w:id="1"/>
      <w:bookmarkEnd w:id="3"/>
    </w:p>
    <w:p w14:paraId="66FAB2B6" w14:textId="5410069D" w:rsidR="00E562B0" w:rsidRPr="00D10074" w:rsidRDefault="008C35AE" w:rsidP="0017138E">
      <w:pPr>
        <w:pStyle w:val="Bodynumbered1"/>
      </w:pPr>
      <w:bookmarkStart w:id="4" w:name="_Toc514678946"/>
      <w:bookmarkStart w:id="5" w:name="_Toc886733"/>
      <w:bookmarkStart w:id="6" w:name="_Toc886732"/>
      <w:r w:rsidRPr="00D10074">
        <w:t>Austroads Technical Specification ATS 3050 sets out the requirements for the manufacture and supply of recycled crushed glass (RCG)</w:t>
      </w:r>
      <w:r w:rsidR="0017138E" w:rsidRPr="00D10074">
        <w:t xml:space="preserve"> as a </w:t>
      </w:r>
      <w:r w:rsidR="00AA5FCF" w:rsidRPr="00D10074">
        <w:t>s</w:t>
      </w:r>
      <w:r w:rsidR="0017138E" w:rsidRPr="00D10074">
        <w:t xml:space="preserve">and </w:t>
      </w:r>
      <w:r w:rsidR="00AA5FCF" w:rsidRPr="00D10074">
        <w:t>a</w:t>
      </w:r>
      <w:r w:rsidR="0017138E" w:rsidRPr="00D10074">
        <w:t xml:space="preserve">ggregate </w:t>
      </w:r>
      <w:r w:rsidR="00AA5FCF" w:rsidRPr="00D10074">
        <w:t>r</w:t>
      </w:r>
      <w:r w:rsidR="0017138E" w:rsidRPr="00D10074">
        <w:t>eplacement</w:t>
      </w:r>
      <w:r w:rsidRPr="00D10074">
        <w:t xml:space="preserve"> in the following applications:</w:t>
      </w:r>
    </w:p>
    <w:p w14:paraId="4E54E645" w14:textId="13BB2039" w:rsidR="008C35AE" w:rsidRPr="00D10074" w:rsidRDefault="008C35AE" w:rsidP="00E374BF">
      <w:pPr>
        <w:pStyle w:val="Bodynumbered2"/>
      </w:pPr>
      <w:r w:rsidRPr="00D10074">
        <w:t>As a granular material, including:</w:t>
      </w:r>
    </w:p>
    <w:p w14:paraId="61DECF9A" w14:textId="77777777" w:rsidR="008C35AE" w:rsidRPr="00D10074" w:rsidRDefault="008C35AE" w:rsidP="00D30F4E">
      <w:pPr>
        <w:pStyle w:val="Bodynumbered3"/>
      </w:pPr>
      <w:r w:rsidRPr="00D10074">
        <w:t>bedding and haunching of pipes and conduits</w:t>
      </w:r>
    </w:p>
    <w:p w14:paraId="3BCF2E7F" w14:textId="77777777" w:rsidR="008C35AE" w:rsidRPr="00D10074" w:rsidRDefault="008C35AE" w:rsidP="00E374BF">
      <w:pPr>
        <w:pStyle w:val="Bodynumbered3"/>
      </w:pPr>
      <w:r w:rsidRPr="00D10074">
        <w:t xml:space="preserve">side fill and backfill of pipes and </w:t>
      </w:r>
      <w:proofErr w:type="gramStart"/>
      <w:r w:rsidRPr="00D10074">
        <w:t>conduits</w:t>
      </w:r>
      <w:proofErr w:type="gramEnd"/>
    </w:p>
    <w:p w14:paraId="16379907" w14:textId="77777777" w:rsidR="008C35AE" w:rsidRPr="00D10074" w:rsidRDefault="008C35AE" w:rsidP="00E374BF">
      <w:pPr>
        <w:pStyle w:val="Bodynumbered3"/>
      </w:pPr>
      <w:r w:rsidRPr="00D10074">
        <w:t>bedding and joint filling in block paving</w:t>
      </w:r>
    </w:p>
    <w:p w14:paraId="6DF661AE" w14:textId="77777777" w:rsidR="008C35AE" w:rsidRPr="00D10074" w:rsidRDefault="008C35AE" w:rsidP="00E374BF">
      <w:pPr>
        <w:pStyle w:val="Bodynumbered3"/>
      </w:pPr>
      <w:r w:rsidRPr="00D10074">
        <w:t>drainage medium applications</w:t>
      </w:r>
    </w:p>
    <w:p w14:paraId="200E3CA2" w14:textId="77777777" w:rsidR="008C35AE" w:rsidRPr="00D10074" w:rsidRDefault="008C35AE" w:rsidP="00E374BF">
      <w:pPr>
        <w:pStyle w:val="Bodynumbered3"/>
      </w:pPr>
      <w:r w:rsidRPr="00D10074">
        <w:t xml:space="preserve">embankment fill and earthworks </w:t>
      </w:r>
      <w:proofErr w:type="gramStart"/>
      <w:r w:rsidRPr="00D10074">
        <w:t>applications</w:t>
      </w:r>
      <w:proofErr w:type="gramEnd"/>
    </w:p>
    <w:p w14:paraId="5D38E665" w14:textId="77777777" w:rsidR="008C35AE" w:rsidRPr="00D10074" w:rsidRDefault="008C35AE" w:rsidP="00E374BF">
      <w:pPr>
        <w:pStyle w:val="Bodynumbered3"/>
      </w:pPr>
      <w:r w:rsidRPr="00D10074">
        <w:t>landscaping applications</w:t>
      </w:r>
    </w:p>
    <w:p w14:paraId="6AEB9ED5" w14:textId="77777777" w:rsidR="008C35AE" w:rsidRPr="00D10074" w:rsidRDefault="008C35AE" w:rsidP="00E374BF">
      <w:pPr>
        <w:pStyle w:val="Bodynumbered3"/>
      </w:pPr>
      <w:r w:rsidRPr="00D10074">
        <w:t>partial aggregate replacement (mechanical stabilisation) for granular base and subbase material</w:t>
      </w:r>
    </w:p>
    <w:p w14:paraId="3C097164" w14:textId="77777777" w:rsidR="008C35AE" w:rsidRPr="00D10074" w:rsidRDefault="008C35AE" w:rsidP="00E374BF">
      <w:pPr>
        <w:pStyle w:val="Bodynumbered2"/>
      </w:pPr>
      <w:r w:rsidRPr="00D10074">
        <w:t xml:space="preserve">As a partial aggregate replacement in </w:t>
      </w:r>
      <w:proofErr w:type="gramStart"/>
      <w:r w:rsidRPr="00D10074">
        <w:t>asphalt;</w:t>
      </w:r>
      <w:proofErr w:type="gramEnd"/>
    </w:p>
    <w:p w14:paraId="514FDA1A" w14:textId="3467E52C" w:rsidR="008C35AE" w:rsidRPr="00D10074" w:rsidRDefault="008C35AE" w:rsidP="00E374BF">
      <w:pPr>
        <w:pStyle w:val="Bodynumbered2"/>
      </w:pPr>
      <w:r w:rsidRPr="00D10074">
        <w:t>As a partial fine aggregate replacement in:</w:t>
      </w:r>
    </w:p>
    <w:p w14:paraId="7F6EE9F0" w14:textId="701ECB74" w:rsidR="008C35AE" w:rsidRPr="00D10074" w:rsidRDefault="00FB2E65" w:rsidP="00FB651B">
      <w:pPr>
        <w:pStyle w:val="Bodynumbered3"/>
        <w:numPr>
          <w:ilvl w:val="0"/>
          <w:numId w:val="43"/>
        </w:numPr>
      </w:pPr>
      <w:r w:rsidRPr="00D10074">
        <w:t xml:space="preserve">Normal Class Concrete used in </w:t>
      </w:r>
      <w:r w:rsidR="008C35AE" w:rsidRPr="00D10074">
        <w:t>general works; and</w:t>
      </w:r>
    </w:p>
    <w:p w14:paraId="5D119BDD" w14:textId="72EA42CC" w:rsidR="008C35AE" w:rsidRPr="00D10074" w:rsidRDefault="005F122E" w:rsidP="00E374BF">
      <w:pPr>
        <w:pStyle w:val="Bodynumbered3"/>
      </w:pPr>
      <w:r w:rsidRPr="00D10074">
        <w:t xml:space="preserve">Special Class </w:t>
      </w:r>
      <w:r w:rsidR="00745214" w:rsidRPr="00D10074">
        <w:t>C</w:t>
      </w:r>
      <w:r w:rsidR="008C35AE" w:rsidRPr="00D10074">
        <w:t>oncrete</w:t>
      </w:r>
      <w:r w:rsidR="00745214" w:rsidRPr="00D10074">
        <w:t xml:space="preserve"> </w:t>
      </w:r>
      <w:r w:rsidRPr="00D10074">
        <w:t xml:space="preserve">used in </w:t>
      </w:r>
      <w:r w:rsidR="00745214" w:rsidRPr="00D10074">
        <w:t>road</w:t>
      </w:r>
      <w:r w:rsidR="008C35AE" w:rsidRPr="00D10074">
        <w:t xml:space="preserve"> pavement</w:t>
      </w:r>
      <w:r w:rsidR="00AF446E" w:rsidRPr="00D10074">
        <w:t>s</w:t>
      </w:r>
      <w:r w:rsidRPr="00D10074">
        <w:t>.</w:t>
      </w:r>
    </w:p>
    <w:p w14:paraId="10EB670D" w14:textId="3DBB39E3" w:rsidR="00722F83" w:rsidRPr="00D10074" w:rsidRDefault="005337D9" w:rsidP="00147802">
      <w:pPr>
        <w:pStyle w:val="Bodynumbered1"/>
      </w:pPr>
      <w:r w:rsidRPr="00D10074">
        <w:t xml:space="preserve">RCG </w:t>
      </w:r>
      <w:r w:rsidR="00722F83" w:rsidRPr="00D10074">
        <w:t>use</w:t>
      </w:r>
      <w:r w:rsidRPr="00D10074">
        <w:t>d</w:t>
      </w:r>
      <w:r w:rsidR="00722F83" w:rsidRPr="00D10074">
        <w:t xml:space="preserve"> </w:t>
      </w:r>
      <w:r w:rsidR="005369B9" w:rsidRPr="00D10074">
        <w:t xml:space="preserve">in Special Class Concrete </w:t>
      </w:r>
      <w:r w:rsidR="00560858" w:rsidRPr="00D10074">
        <w:t>for bridgeworks</w:t>
      </w:r>
      <w:r w:rsidR="008F2BE8" w:rsidRPr="00D10074">
        <w:t xml:space="preserve"> and other structures</w:t>
      </w:r>
      <w:r w:rsidR="00516861" w:rsidRPr="00D10074">
        <w:t>,</w:t>
      </w:r>
      <w:r w:rsidR="008F2BE8" w:rsidRPr="00D10074">
        <w:t xml:space="preserve"> such as retaining wall</w:t>
      </w:r>
      <w:r w:rsidR="00AF446E" w:rsidRPr="00D10074">
        <w:t>s</w:t>
      </w:r>
      <w:r w:rsidR="00516861" w:rsidRPr="00D10074">
        <w:t>,</w:t>
      </w:r>
      <w:r w:rsidR="00560858" w:rsidRPr="00D10074">
        <w:t xml:space="preserve"> </w:t>
      </w:r>
      <w:r w:rsidR="00086747" w:rsidRPr="00D10074">
        <w:t>is excluded from the scope of this Specification.</w:t>
      </w:r>
    </w:p>
    <w:p w14:paraId="35EE7269" w14:textId="3349813C" w:rsidR="00D851D9" w:rsidRPr="00D10074" w:rsidRDefault="008C35AE" w:rsidP="00147802">
      <w:pPr>
        <w:pStyle w:val="Bodynumbered1"/>
      </w:pPr>
      <w:r w:rsidRPr="00D10074">
        <w:lastRenderedPageBreak/>
        <w:t>All RCG must comply with Clause 6.</w:t>
      </w:r>
      <w:r w:rsidR="00D10074">
        <w:t xml:space="preserve"> </w:t>
      </w:r>
      <w:r w:rsidR="008A5F43" w:rsidRPr="00D10074">
        <w:t>W</w:t>
      </w:r>
      <w:r w:rsidR="00F40C61" w:rsidRPr="00D10074">
        <w:t>he</w:t>
      </w:r>
      <w:r w:rsidR="0022180D" w:rsidRPr="00D10074">
        <w:t>re</w:t>
      </w:r>
      <w:r w:rsidR="00F40C61" w:rsidRPr="00D10074">
        <w:t xml:space="preserve"> RCG is used as a granular material or used in concrete</w:t>
      </w:r>
      <w:r w:rsidR="00CE3298" w:rsidRPr="00D10074">
        <w:t xml:space="preserve">, it </w:t>
      </w:r>
      <w:r w:rsidR="005A78BD" w:rsidRPr="00D10074">
        <w:t xml:space="preserve">must also comply with the properties </w:t>
      </w:r>
      <w:r w:rsidR="00AF219E" w:rsidRPr="00D10074">
        <w:t xml:space="preserve">specified in Clause </w:t>
      </w:r>
      <w:r w:rsidR="00AF219E" w:rsidRPr="00D10074">
        <w:fldChar w:fldCharType="begin"/>
      </w:r>
      <w:r w:rsidR="00AF219E" w:rsidRPr="00D10074">
        <w:instrText xml:space="preserve"> REF _Ref55470766 \r \h </w:instrText>
      </w:r>
      <w:r w:rsidR="000800F3" w:rsidRPr="00D10074">
        <w:instrText xml:space="preserve"> \* MERGEFORMAT </w:instrText>
      </w:r>
      <w:r w:rsidR="00AF219E" w:rsidRPr="00D10074">
        <w:fldChar w:fldCharType="separate"/>
      </w:r>
      <w:r w:rsidR="00A30D3A">
        <w:t>7</w:t>
      </w:r>
      <w:r w:rsidR="00AF219E" w:rsidRPr="00D10074">
        <w:fldChar w:fldCharType="end"/>
      </w:r>
      <w:r w:rsidR="00AF219E" w:rsidRPr="00D10074">
        <w:t xml:space="preserve"> </w:t>
      </w:r>
      <w:r w:rsidR="000B046D" w:rsidRPr="00D10074">
        <w:t>or</w:t>
      </w:r>
      <w:r w:rsidR="00AF219E" w:rsidRPr="00D10074">
        <w:t xml:space="preserve"> C</w:t>
      </w:r>
      <w:r w:rsidR="00043BBD" w:rsidRPr="00D10074">
        <w:t xml:space="preserve">lause </w:t>
      </w:r>
      <w:r w:rsidR="00043BBD" w:rsidRPr="00D10074">
        <w:fldChar w:fldCharType="begin"/>
      </w:r>
      <w:r w:rsidR="00043BBD" w:rsidRPr="00D10074">
        <w:instrText xml:space="preserve"> REF _Ref127538126 \r \h </w:instrText>
      </w:r>
      <w:r w:rsidR="000800F3" w:rsidRPr="00D10074">
        <w:instrText xml:space="preserve"> \* MERGEFORMAT </w:instrText>
      </w:r>
      <w:r w:rsidR="00043BBD" w:rsidRPr="00D10074">
        <w:fldChar w:fldCharType="separate"/>
      </w:r>
      <w:r w:rsidR="00A30D3A">
        <w:t>8</w:t>
      </w:r>
      <w:r w:rsidR="00043BBD" w:rsidRPr="00D10074">
        <w:fldChar w:fldCharType="end"/>
      </w:r>
      <w:r w:rsidR="00CE3298" w:rsidRPr="00D10074">
        <w:t xml:space="preserve"> respectively.</w:t>
      </w:r>
    </w:p>
    <w:p w14:paraId="391204A9" w14:textId="77777777" w:rsidR="004E2D48" w:rsidRPr="00D10074" w:rsidRDefault="004E2D48" w:rsidP="00C90F9A">
      <w:pPr>
        <w:pStyle w:val="Heading1"/>
        <w:keepNext w:val="0"/>
        <w:widowControl w:val="0"/>
      </w:pPr>
      <w:bookmarkStart w:id="7" w:name="_Toc153204296"/>
      <w:r w:rsidRPr="00D10074">
        <w:t>Referenced Documents</w:t>
      </w:r>
      <w:bookmarkEnd w:id="7"/>
    </w:p>
    <w:p w14:paraId="034988E3" w14:textId="77777777" w:rsidR="004E2D48" w:rsidRPr="00D10074" w:rsidRDefault="004E2D48" w:rsidP="00BE4D04">
      <w:pPr>
        <w:pStyle w:val="Bodynumbered1"/>
        <w:keepLines w:val="0"/>
        <w:widowControl w:val="0"/>
      </w:pPr>
      <w:r w:rsidRPr="00D10074">
        <w:t>The following documents are referenced in this Specification:</w:t>
      </w:r>
    </w:p>
    <w:tbl>
      <w:tblPr>
        <w:tblStyle w:val="TableGrid"/>
        <w:tblW w:w="9072" w:type="dxa"/>
        <w:tblInd w:w="552" w:type="dxa"/>
        <w:tblBorders>
          <w:top w:val="single" w:sz="8" w:space="0" w:color="004259"/>
          <w:left w:val="single" w:sz="12" w:space="0" w:color="FFFFFF" w:themeColor="background1"/>
          <w:bottom w:val="single" w:sz="8" w:space="0" w:color="004259"/>
          <w:right w:val="single" w:sz="12" w:space="0" w:color="FFFFFF" w:themeColor="background1"/>
          <w:insideH w:val="single" w:sz="8" w:space="0" w:color="004259"/>
          <w:insideV w:val="single" w:sz="12" w:space="0" w:color="244061" w:themeColor="accent1" w:themeShade="80"/>
        </w:tblBorders>
        <w:tblLook w:val="04A0" w:firstRow="1" w:lastRow="0" w:firstColumn="1" w:lastColumn="0" w:noHBand="0" w:noVBand="1"/>
      </w:tblPr>
      <w:tblGrid>
        <w:gridCol w:w="9072"/>
      </w:tblGrid>
      <w:tr w:rsidR="00E0799A" w:rsidRPr="00D10074" w14:paraId="2C11187E" w14:textId="77777777" w:rsidTr="0097292F">
        <w:tc>
          <w:tcPr>
            <w:tcW w:w="9072" w:type="dxa"/>
          </w:tcPr>
          <w:p w14:paraId="3AE007F8" w14:textId="77777777" w:rsidR="00E0799A" w:rsidRPr="00D10074" w:rsidRDefault="00E0799A" w:rsidP="0097292F">
            <w:pPr>
              <w:pStyle w:val="BodyTextIndent"/>
              <w:spacing w:before="80" w:after="100"/>
              <w:ind w:left="2977" w:hanging="2977"/>
              <w:rPr>
                <w:b/>
                <w:bCs w:val="0"/>
                <w:color w:val="004259"/>
              </w:rPr>
            </w:pPr>
            <w:r w:rsidRPr="0097292F">
              <w:rPr>
                <w:b/>
                <w:bCs w:val="0"/>
                <w:color w:val="004259"/>
              </w:rPr>
              <w:t>Austral</w:t>
            </w:r>
            <w:r w:rsidRPr="00D10074">
              <w:rPr>
                <w:b/>
                <w:bCs w:val="0"/>
                <w:color w:val="004259"/>
              </w:rPr>
              <w:t>ian / New Zealand Standards</w:t>
            </w:r>
          </w:p>
          <w:p w14:paraId="0881527B" w14:textId="77777777" w:rsidR="006C7FE8" w:rsidRPr="00D10074" w:rsidRDefault="006C7FE8" w:rsidP="0097292F">
            <w:pPr>
              <w:pStyle w:val="BodyTextIndent"/>
              <w:keepNext/>
              <w:spacing w:before="120"/>
              <w:ind w:left="1877" w:hanging="1843"/>
            </w:pPr>
            <w:r w:rsidRPr="00D10074">
              <w:t>AS 1012.20.1</w:t>
            </w:r>
            <w:r w:rsidRPr="00D10074">
              <w:tab/>
              <w:t>Methods of testing concrete: determination of chloride and sulphate in hardened concrete and aggregates (nitric acid extraction method)</w:t>
            </w:r>
          </w:p>
          <w:p w14:paraId="6445F0E1" w14:textId="77777777" w:rsidR="006C7FE8" w:rsidRPr="00D10074" w:rsidRDefault="006C7FE8" w:rsidP="0097292F">
            <w:pPr>
              <w:pStyle w:val="BodyTextIndent"/>
              <w:keepNext/>
              <w:spacing w:before="120"/>
              <w:ind w:left="1877" w:hanging="1843"/>
            </w:pPr>
            <w:r w:rsidRPr="00D10074">
              <w:t>AS 1141.3.1</w:t>
            </w:r>
            <w:r w:rsidRPr="00D10074">
              <w:tab/>
              <w:t>Methods for sampling and testing aggregates: aggregates</w:t>
            </w:r>
          </w:p>
          <w:p w14:paraId="6A36CA6B" w14:textId="77777777" w:rsidR="006C7FE8" w:rsidRPr="00D10074" w:rsidRDefault="006C7FE8" w:rsidP="0097292F">
            <w:pPr>
              <w:pStyle w:val="BodyTextIndent"/>
              <w:keepNext/>
              <w:spacing w:before="120"/>
              <w:ind w:left="1877" w:hanging="1843"/>
            </w:pPr>
            <w:r w:rsidRPr="00D10074">
              <w:t>AS 1141.4</w:t>
            </w:r>
            <w:r w:rsidRPr="00D10074">
              <w:tab/>
              <w:t xml:space="preserve">Methods for sampling and testing aggregates: bulk density of aggregate </w:t>
            </w:r>
          </w:p>
          <w:p w14:paraId="53004D2D" w14:textId="77777777" w:rsidR="006C7FE8" w:rsidRPr="00D10074" w:rsidRDefault="006C7FE8" w:rsidP="0097292F">
            <w:pPr>
              <w:pStyle w:val="BodyTextIndent"/>
              <w:keepNext/>
              <w:spacing w:before="120"/>
              <w:ind w:left="1877" w:hanging="1843"/>
            </w:pPr>
            <w:r w:rsidRPr="00D10074">
              <w:t>AS 1141.5</w:t>
            </w:r>
            <w:r w:rsidRPr="00D10074">
              <w:tab/>
              <w:t>Methods for sampling and testing aggregates: particle density and water absorption of fine aggregate</w:t>
            </w:r>
          </w:p>
          <w:p w14:paraId="4D9D9D2D" w14:textId="77777777" w:rsidR="006C7FE8" w:rsidRPr="00D10074" w:rsidRDefault="006C7FE8" w:rsidP="0097292F">
            <w:pPr>
              <w:pStyle w:val="BodyTextIndent"/>
              <w:keepNext/>
              <w:spacing w:before="120"/>
              <w:ind w:left="1877" w:hanging="1843"/>
            </w:pPr>
            <w:r w:rsidRPr="00D10074">
              <w:t>AS 1141.11.1</w:t>
            </w:r>
            <w:r w:rsidRPr="00D10074">
              <w:tab/>
              <w:t>Methods for sampling and testing aggregates: particle size distribution (sieving method)</w:t>
            </w:r>
          </w:p>
          <w:p w14:paraId="32A39B6B" w14:textId="77777777" w:rsidR="006C7FE8" w:rsidRPr="00D10074" w:rsidRDefault="006C7FE8" w:rsidP="0097292F">
            <w:pPr>
              <w:pStyle w:val="BodyTextIndent"/>
              <w:keepNext/>
              <w:spacing w:before="120"/>
              <w:ind w:left="1877" w:hanging="1843"/>
            </w:pPr>
            <w:r w:rsidRPr="00D10074">
              <w:t>AS 1141.12</w:t>
            </w:r>
            <w:r w:rsidRPr="00D10074">
              <w:tab/>
              <w:t>Methods for sampling and testing aggregates: material finer than 75 </w:t>
            </w:r>
            <w:proofErr w:type="spellStart"/>
            <w:r w:rsidRPr="00D10074">
              <w:t>μm</w:t>
            </w:r>
            <w:proofErr w:type="spellEnd"/>
            <w:r w:rsidRPr="00D10074">
              <w:t xml:space="preserve"> in aggregates (by washing)</w:t>
            </w:r>
          </w:p>
          <w:p w14:paraId="498E2A11" w14:textId="77777777" w:rsidR="006C7FE8" w:rsidRPr="00D10074" w:rsidRDefault="006C7FE8" w:rsidP="0097292F">
            <w:pPr>
              <w:pStyle w:val="BodyTextIndent"/>
              <w:keepNext/>
              <w:spacing w:before="120"/>
              <w:ind w:left="1877" w:hanging="1843"/>
            </w:pPr>
            <w:r w:rsidRPr="00D10074">
              <w:t>AS 1141.24</w:t>
            </w:r>
            <w:r w:rsidRPr="00D10074">
              <w:tab/>
              <w:t xml:space="preserve">Methods for sampling and testing aggregates: aggregate soundness: evaluation by exposure to sodium </w:t>
            </w:r>
            <w:proofErr w:type="spellStart"/>
            <w:r w:rsidRPr="00D10074">
              <w:t>sulfate</w:t>
            </w:r>
            <w:proofErr w:type="spellEnd"/>
            <w:r w:rsidRPr="00D10074">
              <w:t xml:space="preserve"> solution</w:t>
            </w:r>
          </w:p>
          <w:p w14:paraId="6DF0B1FA" w14:textId="77777777" w:rsidR="006C7FE8" w:rsidRPr="00D10074" w:rsidRDefault="006C7FE8" w:rsidP="0097292F">
            <w:pPr>
              <w:pStyle w:val="BodyTextIndent"/>
              <w:keepNext/>
              <w:spacing w:before="120"/>
              <w:ind w:left="1877" w:hanging="1843"/>
            </w:pPr>
            <w:r w:rsidRPr="00D10074">
              <w:t>AS 1141.34</w:t>
            </w:r>
            <w:r w:rsidRPr="00D10074">
              <w:tab/>
              <w:t>Methods for sampling and testing aggregates: organic impurities other than sugar</w:t>
            </w:r>
          </w:p>
          <w:p w14:paraId="45E8C1ED" w14:textId="77777777" w:rsidR="006C7FE8" w:rsidRPr="00D10074" w:rsidRDefault="006C7FE8" w:rsidP="0097292F">
            <w:pPr>
              <w:pStyle w:val="BodyTextIndent"/>
              <w:keepNext/>
              <w:spacing w:before="120"/>
              <w:ind w:left="1877" w:hanging="1843"/>
            </w:pPr>
            <w:r w:rsidRPr="00D10074">
              <w:t>AS 1141.35</w:t>
            </w:r>
            <w:r w:rsidRPr="00D10074">
              <w:tab/>
              <w:t>Methods for sampling and testing aggregates: detection of sugar contamination in concrete aggregates</w:t>
            </w:r>
          </w:p>
          <w:p w14:paraId="0D646F8D" w14:textId="77777777" w:rsidR="006C7FE8" w:rsidRPr="00D10074" w:rsidRDefault="006C7FE8" w:rsidP="0097292F">
            <w:pPr>
              <w:pStyle w:val="BodyTextIndent"/>
              <w:keepNext/>
              <w:spacing w:before="120"/>
              <w:ind w:left="1877" w:hanging="1843"/>
            </w:pPr>
            <w:r w:rsidRPr="00D10074">
              <w:t>AS 1141.60.1</w:t>
            </w:r>
            <w:r w:rsidRPr="00D10074">
              <w:tab/>
              <w:t>Methods for sampling and testing aggregates potential alkali-silica reactivity: accelerated mortar bar method</w:t>
            </w:r>
          </w:p>
          <w:p w14:paraId="61182E84" w14:textId="77777777" w:rsidR="006C7FE8" w:rsidRPr="00D10074" w:rsidRDefault="006C7FE8" w:rsidP="0097292F">
            <w:pPr>
              <w:pStyle w:val="BodyTextIndent"/>
              <w:keepNext/>
              <w:spacing w:before="120"/>
              <w:ind w:left="1877" w:hanging="1843"/>
            </w:pPr>
            <w:r w:rsidRPr="00D10074">
              <w:t>AS 1141.60.2</w:t>
            </w:r>
            <w:r w:rsidRPr="00D10074">
              <w:tab/>
              <w:t>Methods for sampling and testing aggregates potential alkali-silica reactivity: concrete prism method</w:t>
            </w:r>
          </w:p>
          <w:p w14:paraId="77BD63ED" w14:textId="77777777" w:rsidR="006C7FE8" w:rsidRPr="00D10074" w:rsidRDefault="006C7FE8" w:rsidP="0097292F">
            <w:pPr>
              <w:pStyle w:val="BodyTextIndent"/>
              <w:keepNext/>
              <w:spacing w:before="120"/>
              <w:ind w:left="1877" w:hanging="1843"/>
            </w:pPr>
            <w:r w:rsidRPr="00D10074">
              <w:t>AS 1141.66</w:t>
            </w:r>
            <w:r w:rsidRPr="00D10074">
              <w:tab/>
              <w:t>Methods for sampling and testing aggregates: methylene blue adsorption value of fine aggregate and mineral fillers</w:t>
            </w:r>
          </w:p>
          <w:p w14:paraId="37AF8378" w14:textId="77777777" w:rsidR="006C7FE8" w:rsidRPr="00D10074" w:rsidRDefault="006C7FE8" w:rsidP="0097292F">
            <w:pPr>
              <w:pStyle w:val="BodyTextIndent"/>
              <w:keepNext/>
              <w:spacing w:before="120"/>
              <w:ind w:left="1877" w:hanging="1843"/>
            </w:pPr>
            <w:r w:rsidRPr="00D10074">
              <w:t>AS 1289.4.1.1</w:t>
            </w:r>
            <w:r w:rsidRPr="00D10074">
              <w:tab/>
              <w:t>Methods of testing soils for engineering purposes: soil chemical tests – determination of the organic matter content of a soil: normal method</w:t>
            </w:r>
          </w:p>
          <w:p w14:paraId="63535C8C" w14:textId="77777777" w:rsidR="006C7FE8" w:rsidRPr="00D10074" w:rsidRDefault="006C7FE8" w:rsidP="0097292F">
            <w:pPr>
              <w:pStyle w:val="BodyTextIndent"/>
              <w:keepNext/>
              <w:spacing w:before="120"/>
              <w:ind w:left="1877" w:hanging="1843"/>
            </w:pPr>
            <w:r w:rsidRPr="00D10074">
              <w:t>AS 1379</w:t>
            </w:r>
            <w:r w:rsidRPr="00D10074">
              <w:tab/>
              <w:t>Specification and supply of concrete</w:t>
            </w:r>
          </w:p>
          <w:p w14:paraId="10124B6B" w14:textId="77777777" w:rsidR="006C7FE8" w:rsidRPr="00D10074" w:rsidRDefault="006C7FE8" w:rsidP="0097292F">
            <w:pPr>
              <w:pStyle w:val="BodyTextIndent"/>
              <w:keepNext/>
              <w:spacing w:before="120"/>
              <w:ind w:left="1877" w:hanging="1843"/>
            </w:pPr>
            <w:r w:rsidRPr="00D10074">
              <w:t>AS 2758.1</w:t>
            </w:r>
            <w:r w:rsidRPr="00D10074">
              <w:tab/>
              <w:t xml:space="preserve">Aggregates and rock for engineering purposes: concrete aggregates </w:t>
            </w:r>
          </w:p>
          <w:p w14:paraId="28E3F235" w14:textId="77777777" w:rsidR="006C7FE8" w:rsidRPr="00D10074" w:rsidRDefault="006C7FE8" w:rsidP="0097292F">
            <w:pPr>
              <w:pStyle w:val="BodyTextIndent"/>
              <w:keepNext/>
              <w:spacing w:before="120"/>
              <w:ind w:left="1877" w:hanging="1843"/>
            </w:pPr>
            <w:r w:rsidRPr="00D10074">
              <w:t>AS/NZS ISO 9001</w:t>
            </w:r>
            <w:r w:rsidRPr="00D10074">
              <w:tab/>
              <w:t>Quality management systems: requirements</w:t>
            </w:r>
          </w:p>
          <w:p w14:paraId="13C5F33D" w14:textId="6657F451" w:rsidR="00E0799A" w:rsidRPr="00D10074" w:rsidRDefault="006C7FE8" w:rsidP="0097292F">
            <w:pPr>
              <w:pStyle w:val="BodyTextIndent"/>
              <w:keepNext/>
              <w:spacing w:before="120"/>
              <w:ind w:left="1877" w:hanging="1843"/>
            </w:pPr>
            <w:r w:rsidRPr="00D10074">
              <w:t>SA HB 79</w:t>
            </w:r>
            <w:r w:rsidRPr="00D10074">
              <w:tab/>
              <w:t>Alkali aggregate reaction: guidelines on minimising the risk of damage to concrete structures in Australia</w:t>
            </w:r>
          </w:p>
        </w:tc>
      </w:tr>
      <w:tr w:rsidR="00E0799A" w:rsidRPr="00D10074" w14:paraId="4BFCEA84" w14:textId="77777777" w:rsidTr="0097292F">
        <w:tc>
          <w:tcPr>
            <w:tcW w:w="9072" w:type="dxa"/>
          </w:tcPr>
          <w:p w14:paraId="26E56F7E" w14:textId="77777777" w:rsidR="00E0799A" w:rsidRPr="00D10074" w:rsidRDefault="00E0799A" w:rsidP="0097292F">
            <w:pPr>
              <w:pStyle w:val="BodyTextIndent"/>
              <w:spacing w:before="80" w:after="100"/>
              <w:ind w:left="2977" w:hanging="2943"/>
              <w:rPr>
                <w:b/>
                <w:bCs w:val="0"/>
                <w:color w:val="004259"/>
              </w:rPr>
            </w:pPr>
            <w:r w:rsidRPr="00D10074">
              <w:rPr>
                <w:b/>
                <w:bCs w:val="0"/>
                <w:color w:val="004259"/>
              </w:rPr>
              <w:t>Austroads</w:t>
            </w:r>
          </w:p>
          <w:p w14:paraId="68597C28" w14:textId="2EA237B4" w:rsidR="00D86FC6" w:rsidRPr="00D10074" w:rsidRDefault="006C7FE8" w:rsidP="0097292F">
            <w:pPr>
              <w:pStyle w:val="BodyTextIndent"/>
              <w:keepNext/>
              <w:spacing w:before="120"/>
              <w:ind w:left="1877" w:hanging="1843"/>
            </w:pPr>
            <w:r w:rsidRPr="00D10074">
              <w:t>AP-C87-15</w:t>
            </w:r>
            <w:r w:rsidRPr="00D10074">
              <w:tab/>
              <w:t>Austroads glossary of terms</w:t>
            </w:r>
          </w:p>
        </w:tc>
      </w:tr>
      <w:tr w:rsidR="003101BA" w:rsidRPr="00D10074" w14:paraId="41541788" w14:textId="77777777" w:rsidTr="0097292F">
        <w:tc>
          <w:tcPr>
            <w:tcW w:w="9072" w:type="dxa"/>
          </w:tcPr>
          <w:p w14:paraId="1A370759" w14:textId="77777777" w:rsidR="003101BA" w:rsidRPr="00D10074" w:rsidRDefault="006E602A" w:rsidP="0097292F">
            <w:pPr>
              <w:pStyle w:val="BodyTextIndent"/>
              <w:spacing w:before="80" w:after="100"/>
              <w:ind w:left="2977" w:hanging="2943"/>
              <w:rPr>
                <w:b/>
                <w:bCs w:val="0"/>
                <w:color w:val="004259"/>
              </w:rPr>
            </w:pPr>
            <w:r w:rsidRPr="00D10074">
              <w:rPr>
                <w:b/>
                <w:bCs w:val="0"/>
                <w:color w:val="004259"/>
              </w:rPr>
              <w:t>NSW Environmental Protection Authority</w:t>
            </w:r>
          </w:p>
          <w:p w14:paraId="3E183272" w14:textId="4D0A2229" w:rsidR="006E602A" w:rsidRPr="00D10074" w:rsidRDefault="00F9209C" w:rsidP="0097292F">
            <w:pPr>
              <w:pStyle w:val="BodyTextIndent"/>
              <w:keepNext/>
              <w:spacing w:before="120"/>
              <w:ind w:left="1877" w:hanging="1843"/>
              <w:rPr>
                <w:b/>
                <w:bCs w:val="0"/>
                <w:color w:val="004259"/>
              </w:rPr>
            </w:pPr>
            <w:bookmarkStart w:id="8" w:name="_Hlk148617957"/>
            <w:r w:rsidRPr="00D10074">
              <w:t xml:space="preserve">EPA </w:t>
            </w:r>
            <w:r w:rsidR="00AE34C9" w:rsidRPr="00D10074">
              <w:t>RRO</w:t>
            </w:r>
            <w:bookmarkEnd w:id="8"/>
            <w:r w:rsidR="006E602A" w:rsidRPr="00D10074">
              <w:tab/>
              <w:t>Resource Recovery Order under Part 9, Clause 93 of the Protection of the Environment Operations (Waste) Regulation 2014</w:t>
            </w:r>
            <w:r w:rsidR="00C06BE2" w:rsidRPr="00D10074">
              <w:t xml:space="preserve"> - </w:t>
            </w:r>
            <w:r w:rsidR="006E602A" w:rsidRPr="00D10074">
              <w:t>The recovered glass sand order 2014</w:t>
            </w:r>
          </w:p>
        </w:tc>
      </w:tr>
      <w:tr w:rsidR="00E0799A" w:rsidRPr="00D10074" w14:paraId="2749F582" w14:textId="77777777" w:rsidTr="0097292F">
        <w:tc>
          <w:tcPr>
            <w:tcW w:w="9072" w:type="dxa"/>
          </w:tcPr>
          <w:p w14:paraId="11AD9DF9" w14:textId="77777777" w:rsidR="00E0799A" w:rsidRPr="00D10074" w:rsidRDefault="00E0799A" w:rsidP="0097292F">
            <w:pPr>
              <w:pStyle w:val="BodyTextIndent"/>
              <w:spacing w:before="80" w:after="100"/>
              <w:ind w:left="2977" w:hanging="2943"/>
              <w:rPr>
                <w:b/>
                <w:bCs w:val="0"/>
                <w:color w:val="004259"/>
              </w:rPr>
            </w:pPr>
            <w:r w:rsidRPr="00D10074">
              <w:rPr>
                <w:b/>
                <w:bCs w:val="0"/>
                <w:color w:val="004259"/>
              </w:rPr>
              <w:t>ASTM International</w:t>
            </w:r>
          </w:p>
          <w:p w14:paraId="193527F1" w14:textId="627EE464" w:rsidR="00E0799A" w:rsidRPr="00D10074" w:rsidRDefault="00790BF6" w:rsidP="0097292F">
            <w:pPr>
              <w:pStyle w:val="BodyTextIndent"/>
              <w:keepNext/>
              <w:spacing w:before="120"/>
              <w:ind w:left="1877" w:hanging="1843"/>
              <w:rPr>
                <w:b/>
                <w:bCs w:val="0"/>
                <w:color w:val="004259"/>
              </w:rPr>
            </w:pPr>
            <w:r w:rsidRPr="00D10074">
              <w:t>ASTM C295</w:t>
            </w:r>
            <w:r w:rsidRPr="00D10074">
              <w:tab/>
              <w:t>Standard guide for petrographic examination of aggregates for concretes</w:t>
            </w:r>
            <w:r w:rsidR="00AC5D4D" w:rsidRPr="00D10074">
              <w:t xml:space="preserve"> </w:t>
            </w:r>
          </w:p>
        </w:tc>
      </w:tr>
    </w:tbl>
    <w:p w14:paraId="3AA6E29C" w14:textId="77777777" w:rsidR="009F08ED" w:rsidRPr="00D10074" w:rsidRDefault="009F08ED" w:rsidP="003E31BA">
      <w:pPr>
        <w:pStyle w:val="Heading1"/>
        <w:rPr>
          <w:rFonts w:eastAsiaTheme="majorEastAsia"/>
        </w:rPr>
      </w:pPr>
      <w:bookmarkStart w:id="9" w:name="_Toc153204297"/>
      <w:r w:rsidRPr="00D10074">
        <w:lastRenderedPageBreak/>
        <w:t>Definitions</w:t>
      </w:r>
      <w:bookmarkEnd w:id="9"/>
    </w:p>
    <w:p w14:paraId="4CE9F45F" w14:textId="65C65E30" w:rsidR="008C35AE" w:rsidRPr="00D10074" w:rsidRDefault="008C35AE" w:rsidP="008C35AE">
      <w:pPr>
        <w:pStyle w:val="Bodynumbered1"/>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D10074">
        <w:t>In addition to the definitions in AP-C87-15</w:t>
      </w:r>
      <w:r w:rsidR="00946365" w:rsidRPr="00D10074">
        <w:t xml:space="preserve"> and AS 1379</w:t>
      </w:r>
      <w:r w:rsidRPr="00D10074">
        <w:t>, the following definitions apply to this Specification:</w:t>
      </w:r>
    </w:p>
    <w:p w14:paraId="4650ABD1"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Backfill material</w:t>
      </w:r>
      <w:r w:rsidRPr="00D10074">
        <w:rPr>
          <w:rFonts w:ascii="Arial" w:hAnsi="Arial" w:cs="Arial"/>
          <w:sz w:val="20"/>
          <w:szCs w:val="20"/>
        </w:rPr>
        <w:tab/>
      </w:r>
      <w:proofErr w:type="spellStart"/>
      <w:r w:rsidRPr="00D10074">
        <w:rPr>
          <w:rFonts w:ascii="Arial" w:hAnsi="Arial" w:cs="Arial"/>
          <w:sz w:val="20"/>
          <w:szCs w:val="20"/>
        </w:rPr>
        <w:t>Material</w:t>
      </w:r>
      <w:proofErr w:type="spellEnd"/>
      <w:r w:rsidRPr="00D10074">
        <w:rPr>
          <w:rFonts w:ascii="Arial" w:hAnsi="Arial" w:cs="Arial"/>
          <w:sz w:val="20"/>
          <w:szCs w:val="20"/>
        </w:rPr>
        <w:t xml:space="preserve"> placed in confined excavations for culverts, structures, conduits, pits, or in some instances, to fill excavations of unsuitable material. Backfill includes bedding material and materials placed in the foundation bedding, haunch, side and overlay zones during culvert backfill.</w:t>
      </w:r>
    </w:p>
    <w:p w14:paraId="1FDC3975"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Bedding material</w:t>
      </w:r>
      <w:r w:rsidRPr="00D10074">
        <w:rPr>
          <w:rFonts w:ascii="Arial" w:hAnsi="Arial" w:cs="Arial"/>
          <w:sz w:val="20"/>
          <w:szCs w:val="20"/>
        </w:rPr>
        <w:tab/>
      </w:r>
      <w:proofErr w:type="spellStart"/>
      <w:r w:rsidRPr="00D10074">
        <w:rPr>
          <w:rFonts w:ascii="Arial" w:hAnsi="Arial" w:cs="Arial"/>
          <w:sz w:val="20"/>
          <w:szCs w:val="20"/>
        </w:rPr>
        <w:t>Material</w:t>
      </w:r>
      <w:proofErr w:type="spellEnd"/>
      <w:r w:rsidRPr="00D10074">
        <w:rPr>
          <w:rFonts w:ascii="Arial" w:hAnsi="Arial" w:cs="Arial"/>
          <w:sz w:val="20"/>
          <w:szCs w:val="20"/>
        </w:rPr>
        <w:t xml:space="preserve"> suitable for use in the foundation bedding zone of culverts, pipes, conduits, pits, and similar structures, and in the haunching of pipes and conduits.</w:t>
      </w:r>
    </w:p>
    <w:p w14:paraId="5E9510BF"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Concrete applications</w:t>
      </w:r>
      <w:r w:rsidRPr="00D10074">
        <w:rPr>
          <w:rFonts w:ascii="Arial" w:hAnsi="Arial" w:cs="Arial"/>
          <w:sz w:val="20"/>
          <w:szCs w:val="20"/>
        </w:rPr>
        <w:tab/>
        <w:t>Includes low-risk applications such as footings and plinths (sign support for general works structures, lighting columns, traffic signals, etc.), kerbs and channel, paving for bicycle paths/shared paths, footpaths, medians, driveways, and aesthetic structures such as park benches, small planter boxes and garden reliefs.</w:t>
      </w:r>
    </w:p>
    <w:p w14:paraId="17B06806"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Concrete pavement</w:t>
      </w:r>
      <w:r w:rsidRPr="00D10074">
        <w:rPr>
          <w:rFonts w:ascii="Arial" w:hAnsi="Arial" w:cs="Arial"/>
          <w:sz w:val="20"/>
          <w:szCs w:val="20"/>
        </w:rPr>
        <w:tab/>
        <w:t>A pavement structure made from concrete materials which may contain reinforcement. This is inclusive of the concrete base layer and lean mix concrete subbase.</w:t>
      </w:r>
    </w:p>
    <w:p w14:paraId="65937296"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Drainage medium</w:t>
      </w:r>
      <w:r w:rsidRPr="00D10074">
        <w:rPr>
          <w:rFonts w:ascii="Arial" w:hAnsi="Arial" w:cs="Arial"/>
          <w:sz w:val="20"/>
          <w:szCs w:val="20"/>
        </w:rPr>
        <w:tab/>
        <w:t>A free draining backfill material used in subsoil drainage applications material including, but not limited to subsoil drains, sheet filter drains and vertical/wick drains.</w:t>
      </w:r>
    </w:p>
    <w:p w14:paraId="649FDE79"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 xml:space="preserve">Embankment core zone </w:t>
      </w:r>
      <w:r w:rsidRPr="00D10074">
        <w:rPr>
          <w:rFonts w:ascii="Arial" w:hAnsi="Arial" w:cs="Arial"/>
          <w:sz w:val="20"/>
          <w:szCs w:val="20"/>
        </w:rPr>
        <w:tab/>
      </w:r>
      <w:proofErr w:type="gramStart"/>
      <w:r w:rsidRPr="00D10074">
        <w:rPr>
          <w:rFonts w:ascii="Arial" w:hAnsi="Arial" w:cs="Arial"/>
          <w:sz w:val="20"/>
          <w:szCs w:val="20"/>
        </w:rPr>
        <w:t>The</w:t>
      </w:r>
      <w:proofErr w:type="gramEnd"/>
      <w:r w:rsidRPr="00D10074">
        <w:rPr>
          <w:rFonts w:ascii="Arial" w:hAnsi="Arial" w:cs="Arial"/>
          <w:sz w:val="20"/>
          <w:szCs w:val="20"/>
        </w:rPr>
        <w:t xml:space="preserve"> central zone of an embankment adjacent to the embankment (outer zone) and overlying embankment (upper zone) and pavement structure.</w:t>
      </w:r>
    </w:p>
    <w:p w14:paraId="6426BD11"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Embankment fill material</w:t>
      </w:r>
      <w:r w:rsidRPr="00D10074">
        <w:rPr>
          <w:rFonts w:ascii="Arial" w:hAnsi="Arial" w:cs="Arial"/>
          <w:sz w:val="20"/>
          <w:szCs w:val="20"/>
        </w:rPr>
        <w:tab/>
      </w:r>
      <w:proofErr w:type="spellStart"/>
      <w:r w:rsidRPr="00D10074">
        <w:rPr>
          <w:rFonts w:ascii="Arial" w:hAnsi="Arial" w:cs="Arial"/>
          <w:sz w:val="20"/>
          <w:szCs w:val="20"/>
        </w:rPr>
        <w:t>Material</w:t>
      </w:r>
      <w:proofErr w:type="spellEnd"/>
      <w:r w:rsidRPr="00D10074">
        <w:rPr>
          <w:rFonts w:ascii="Arial" w:hAnsi="Arial" w:cs="Arial"/>
          <w:sz w:val="20"/>
          <w:szCs w:val="20"/>
        </w:rPr>
        <w:t xml:space="preserve"> placed in an embankment to subgrade </w:t>
      </w:r>
      <w:proofErr w:type="gramStart"/>
      <w:r w:rsidRPr="00D10074">
        <w:rPr>
          <w:rFonts w:ascii="Arial" w:hAnsi="Arial" w:cs="Arial"/>
          <w:sz w:val="20"/>
          <w:szCs w:val="20"/>
        </w:rPr>
        <w:t>level, and</w:t>
      </w:r>
      <w:proofErr w:type="gramEnd"/>
      <w:r w:rsidRPr="00D10074">
        <w:rPr>
          <w:rFonts w:ascii="Arial" w:hAnsi="Arial" w:cs="Arial"/>
          <w:sz w:val="20"/>
          <w:szCs w:val="20"/>
        </w:rPr>
        <w:t xml:space="preserve"> used to backfill subgrade treatments or to replace unsuitable material. Includes both earth fill and rock fill.</w:t>
      </w:r>
    </w:p>
    <w:p w14:paraId="3D3031B5" w14:textId="66B55BE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 xml:space="preserve">Fine </w:t>
      </w:r>
      <w:r w:rsidR="005B2F6C" w:rsidRPr="00D10074">
        <w:rPr>
          <w:rFonts w:ascii="Arial" w:hAnsi="Arial" w:cs="Arial"/>
          <w:sz w:val="20"/>
          <w:szCs w:val="20"/>
        </w:rPr>
        <w:t>a</w:t>
      </w:r>
      <w:r w:rsidRPr="00D10074">
        <w:rPr>
          <w:rFonts w:ascii="Arial" w:hAnsi="Arial" w:cs="Arial"/>
          <w:sz w:val="20"/>
          <w:szCs w:val="20"/>
        </w:rPr>
        <w:t>ggregates</w:t>
      </w:r>
      <w:r w:rsidRPr="00D10074">
        <w:rPr>
          <w:rFonts w:ascii="Arial" w:hAnsi="Arial" w:cs="Arial"/>
          <w:sz w:val="20"/>
          <w:szCs w:val="20"/>
        </w:rPr>
        <w:tab/>
        <w:t>A general term for aggregate that substantially passes the 4.75</w:t>
      </w:r>
      <w:r w:rsidR="005B2F6C" w:rsidRPr="00D10074">
        <w:rPr>
          <w:rFonts w:ascii="Arial" w:hAnsi="Arial" w:cs="Arial"/>
          <w:sz w:val="20"/>
          <w:szCs w:val="20"/>
        </w:rPr>
        <w:t> </w:t>
      </w:r>
      <w:r w:rsidRPr="00D10074">
        <w:rPr>
          <w:rFonts w:ascii="Arial" w:hAnsi="Arial" w:cs="Arial"/>
          <w:sz w:val="20"/>
          <w:szCs w:val="20"/>
        </w:rPr>
        <w:t>mm sieve. Mostly composed of sand.</w:t>
      </w:r>
    </w:p>
    <w:p w14:paraId="7CEFC23E"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Haunch material</w:t>
      </w:r>
      <w:r w:rsidRPr="00D10074">
        <w:rPr>
          <w:rFonts w:ascii="Arial" w:hAnsi="Arial" w:cs="Arial"/>
          <w:sz w:val="20"/>
          <w:szCs w:val="20"/>
        </w:rPr>
        <w:tab/>
      </w:r>
      <w:proofErr w:type="gramStart"/>
      <w:r w:rsidRPr="00D10074">
        <w:rPr>
          <w:rFonts w:ascii="Arial" w:hAnsi="Arial" w:cs="Arial"/>
          <w:sz w:val="20"/>
          <w:szCs w:val="20"/>
        </w:rPr>
        <w:t>The</w:t>
      </w:r>
      <w:proofErr w:type="gramEnd"/>
      <w:r w:rsidRPr="00D10074">
        <w:rPr>
          <w:rFonts w:ascii="Arial" w:hAnsi="Arial" w:cs="Arial"/>
          <w:sz w:val="20"/>
          <w:szCs w:val="20"/>
        </w:rPr>
        <w:t xml:space="preserve"> material immediately above the foundation bedding zone for the installation of pipe culverts.</w:t>
      </w:r>
    </w:p>
    <w:p w14:paraId="14FBCE65" w14:textId="28800804"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Legislative Requirements</w:t>
      </w:r>
      <w:r w:rsidRPr="00D10074">
        <w:rPr>
          <w:rFonts w:ascii="Arial" w:hAnsi="Arial" w:cs="Arial"/>
          <w:sz w:val="20"/>
          <w:szCs w:val="20"/>
        </w:rPr>
        <w:tab/>
        <w:t>The regulations, policies and codes of practice issued pursuant to any legislation for the protection or management of the environment which are applicable to the manufacture of RCG.</w:t>
      </w:r>
    </w:p>
    <w:p w14:paraId="1B29B490" w14:textId="77777777" w:rsidR="008C35AE"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 xml:space="preserve">Side </w:t>
      </w:r>
      <w:proofErr w:type="gramStart"/>
      <w:r w:rsidRPr="00D10074">
        <w:rPr>
          <w:rFonts w:ascii="Arial" w:hAnsi="Arial" w:cs="Arial"/>
          <w:sz w:val="20"/>
          <w:szCs w:val="20"/>
        </w:rPr>
        <w:t>fill</w:t>
      </w:r>
      <w:proofErr w:type="gramEnd"/>
      <w:r w:rsidRPr="00D10074">
        <w:rPr>
          <w:rFonts w:ascii="Arial" w:hAnsi="Arial" w:cs="Arial"/>
          <w:sz w:val="20"/>
          <w:szCs w:val="20"/>
        </w:rPr>
        <w:tab/>
        <w:t>The material placed adjacent to the centre of pipe culverts.</w:t>
      </w:r>
    </w:p>
    <w:p w14:paraId="2F504321" w14:textId="56938D80" w:rsidR="003E31BA" w:rsidRPr="00D10074" w:rsidRDefault="008C35AE" w:rsidP="005C730A">
      <w:pPr>
        <w:tabs>
          <w:tab w:val="left" w:pos="3402"/>
        </w:tabs>
        <w:spacing w:before="200"/>
        <w:ind w:left="3402" w:hanging="2835"/>
        <w:rPr>
          <w:rFonts w:ascii="Arial" w:hAnsi="Arial" w:cs="Arial"/>
          <w:sz w:val="20"/>
          <w:szCs w:val="20"/>
        </w:rPr>
      </w:pPr>
      <w:r w:rsidRPr="00D10074">
        <w:rPr>
          <w:rFonts w:ascii="Arial" w:hAnsi="Arial" w:cs="Arial"/>
          <w:sz w:val="20"/>
          <w:szCs w:val="20"/>
        </w:rPr>
        <w:t>Total fine aggregates</w:t>
      </w:r>
      <w:r w:rsidRPr="00D10074">
        <w:rPr>
          <w:rFonts w:ascii="Arial" w:hAnsi="Arial" w:cs="Arial"/>
          <w:sz w:val="20"/>
          <w:szCs w:val="20"/>
        </w:rPr>
        <w:tab/>
      </w:r>
      <w:proofErr w:type="gramStart"/>
      <w:r w:rsidRPr="00D10074">
        <w:rPr>
          <w:rFonts w:ascii="Arial" w:hAnsi="Arial" w:cs="Arial"/>
          <w:sz w:val="20"/>
          <w:szCs w:val="20"/>
        </w:rPr>
        <w:t>The</w:t>
      </w:r>
      <w:proofErr w:type="gramEnd"/>
      <w:r w:rsidRPr="00D10074">
        <w:rPr>
          <w:rFonts w:ascii="Arial" w:hAnsi="Arial" w:cs="Arial"/>
          <w:sz w:val="20"/>
          <w:szCs w:val="20"/>
        </w:rPr>
        <w:t xml:space="preserve"> sum of the fine aggregates from all sources within the concrete fine aggregate mix</w:t>
      </w:r>
      <w:r w:rsidR="005B2F6C" w:rsidRPr="00D10074">
        <w:rPr>
          <w:rFonts w:ascii="Arial" w:hAnsi="Arial" w:cs="Arial"/>
          <w:sz w:val="20"/>
          <w:szCs w:val="20"/>
        </w:rPr>
        <w:t>.</w:t>
      </w:r>
    </w:p>
    <w:p w14:paraId="5D8422D8" w14:textId="77777777" w:rsidR="00D32834" w:rsidRPr="00D10074" w:rsidRDefault="003F7623" w:rsidP="00751F63">
      <w:pPr>
        <w:pStyle w:val="Heading1"/>
      </w:pPr>
      <w:bookmarkStart w:id="14" w:name="_Toc514678947"/>
      <w:bookmarkStart w:id="15" w:name="_Toc886734"/>
      <w:bookmarkStart w:id="16" w:name="_Ref92360486"/>
      <w:bookmarkStart w:id="17" w:name="_Toc153204298"/>
      <w:bookmarkEnd w:id="4"/>
      <w:bookmarkEnd w:id="5"/>
      <w:bookmarkEnd w:id="6"/>
      <w:r w:rsidRPr="00D10074">
        <w:t>Quality System Requirements</w:t>
      </w:r>
      <w:bookmarkEnd w:id="14"/>
      <w:bookmarkEnd w:id="15"/>
      <w:bookmarkEnd w:id="16"/>
      <w:bookmarkEnd w:id="17"/>
    </w:p>
    <w:p w14:paraId="3B2215BF" w14:textId="3E2B712D" w:rsidR="00C17520" w:rsidRPr="00D10074" w:rsidRDefault="00C17520" w:rsidP="00C17520">
      <w:pPr>
        <w:pStyle w:val="Bodynumbered1"/>
      </w:pPr>
      <w:bookmarkStart w:id="18" w:name="_Ref92360548"/>
      <w:r w:rsidRPr="00D10074">
        <w:t>RCG must be manufactured under a Quality Management System which conforms to AS/NZS ISO 9001.</w:t>
      </w:r>
      <w:bookmarkEnd w:id="18"/>
    </w:p>
    <w:p w14:paraId="25A91B20" w14:textId="77777777" w:rsidR="00C17520" w:rsidRPr="00D10074" w:rsidRDefault="00C17520" w:rsidP="00C17520">
      <w:pPr>
        <w:pStyle w:val="Bodynumbered1"/>
      </w:pPr>
      <w:r w:rsidRPr="00D10074">
        <w:t>The manufacturer of the RCG must have a current license or exemption for the recovery of resources from waste issued by the relevant state or territory environmental authority.</w:t>
      </w:r>
    </w:p>
    <w:p w14:paraId="3139AA23" w14:textId="1444E1D8" w:rsidR="003E31BA" w:rsidRPr="00D10074" w:rsidRDefault="00C17520" w:rsidP="00A93296">
      <w:pPr>
        <w:pStyle w:val="Bodynumbered1"/>
      </w:pPr>
      <w:r w:rsidRPr="00D10074">
        <w:lastRenderedPageBreak/>
        <w:t xml:space="preserve">The Contractor must prepare and implement a </w:t>
      </w:r>
      <w:r w:rsidR="006075DD" w:rsidRPr="00D10074">
        <w:t xml:space="preserve">Quality Plan </w:t>
      </w:r>
      <w:r w:rsidRPr="00D10074">
        <w:t>that includes the documentation in Table</w:t>
      </w:r>
      <w:r w:rsidR="006075DD" w:rsidRPr="00D10074">
        <w:t> </w:t>
      </w:r>
      <w:r w:rsidRPr="00D10074">
        <w:t>4.</w:t>
      </w:r>
      <w:r w:rsidR="009D4FB9" w:rsidRPr="00D10074">
        <w:t>3</w:t>
      </w:r>
      <w:r w:rsidRPr="00D10074">
        <w:t>.</w:t>
      </w:r>
      <w:r w:rsidR="003415FD">
        <w:t xml:space="preserve"> However, i</w:t>
      </w:r>
      <w:r w:rsidR="00840382" w:rsidRPr="00D10074">
        <w:t xml:space="preserve">f the </w:t>
      </w:r>
      <w:r w:rsidR="00850666" w:rsidRPr="00D10074">
        <w:t xml:space="preserve">Quality Plan has previously been provided to the </w:t>
      </w:r>
      <w:proofErr w:type="gramStart"/>
      <w:r w:rsidR="00850666" w:rsidRPr="00D10074">
        <w:t>Principal</w:t>
      </w:r>
      <w:proofErr w:type="gramEnd"/>
      <w:r w:rsidR="00850666" w:rsidRPr="00D10074">
        <w:t xml:space="preserve"> or the </w:t>
      </w:r>
      <w:r w:rsidR="00CC58A6" w:rsidRPr="00D10074">
        <w:t>manufacturer has been approved / registered by the Principal</w:t>
      </w:r>
      <w:r w:rsidR="00A03E89" w:rsidRPr="00D10074">
        <w:t>, it is not necessary to resubmit the Quality Plan</w:t>
      </w:r>
      <w:r w:rsidR="00A37766" w:rsidRPr="00D10074">
        <w:t xml:space="preserve">, unless there has been a change to the manufacturing process or </w:t>
      </w:r>
      <w:r w:rsidR="0019230C" w:rsidRPr="00D10074">
        <w:t>the source of the unprocessed materials.</w:t>
      </w:r>
      <w:r w:rsidR="00CC58A6" w:rsidRPr="00D10074">
        <w:t xml:space="preserve"> </w:t>
      </w:r>
    </w:p>
    <w:p w14:paraId="7058E4D5" w14:textId="305AF458" w:rsidR="00C17520" w:rsidRPr="00D10074" w:rsidRDefault="00C17520" w:rsidP="00B3316B">
      <w:pPr>
        <w:pStyle w:val="Caption"/>
      </w:pPr>
      <w:r w:rsidRPr="00D10074">
        <w:t xml:space="preserve">Table </w:t>
      </w:r>
      <w:r w:rsidR="00B3316B" w:rsidRPr="00D10074">
        <w:t>4</w:t>
      </w:r>
      <w:r w:rsidRPr="00D10074">
        <w:t>.</w:t>
      </w:r>
      <w:r w:rsidR="009D4FB9" w:rsidRPr="00D10074">
        <w:t>3</w:t>
      </w:r>
      <w:r w:rsidR="00B3316B" w:rsidRPr="00D10074">
        <w:t>:</w:t>
      </w:r>
      <w:r w:rsidR="00B3316B" w:rsidRPr="00D10074">
        <w:tab/>
        <w:t xml:space="preserve">Quality </w:t>
      </w:r>
      <w:r w:rsidR="003E5B66" w:rsidRPr="00D10074">
        <w:t>p</w:t>
      </w:r>
      <w:r w:rsidR="00B3316B" w:rsidRPr="00D10074">
        <w:t>lan</w:t>
      </w:r>
    </w:p>
    <w:tbl>
      <w:tblPr>
        <w:tblW w:w="8937"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992"/>
        <w:gridCol w:w="7945"/>
      </w:tblGrid>
      <w:tr w:rsidR="00B3316B" w:rsidRPr="00D10074" w14:paraId="168FEDFB" w14:textId="77777777" w:rsidTr="00B3316B">
        <w:trPr>
          <w:tblHeader/>
        </w:trPr>
        <w:tc>
          <w:tcPr>
            <w:tcW w:w="992" w:type="dxa"/>
            <w:shd w:val="clear" w:color="auto" w:fill="A6A6A6" w:themeFill="background1" w:themeFillShade="A6"/>
          </w:tcPr>
          <w:p w14:paraId="0A7EBD6D" w14:textId="77777777" w:rsidR="00B3316B" w:rsidRPr="00D10074" w:rsidRDefault="00B3316B" w:rsidP="00B3316B">
            <w:pPr>
              <w:pStyle w:val="TableHeading"/>
              <w:rPr>
                <w:color w:val="auto"/>
                <w:sz w:val="18"/>
                <w:szCs w:val="18"/>
              </w:rPr>
            </w:pPr>
            <w:r w:rsidRPr="00D10074">
              <w:rPr>
                <w:color w:val="auto"/>
                <w:sz w:val="18"/>
                <w:szCs w:val="18"/>
              </w:rPr>
              <w:t>Clause</w:t>
            </w:r>
          </w:p>
        </w:tc>
        <w:tc>
          <w:tcPr>
            <w:tcW w:w="7945" w:type="dxa"/>
            <w:shd w:val="clear" w:color="auto" w:fill="A6A6A6" w:themeFill="background1" w:themeFillShade="A6"/>
          </w:tcPr>
          <w:p w14:paraId="3B35B5E5" w14:textId="2C5CADE2" w:rsidR="00B3316B" w:rsidRPr="00D10074" w:rsidRDefault="00B3316B" w:rsidP="00B3316B">
            <w:pPr>
              <w:pStyle w:val="TableHeading"/>
              <w:rPr>
                <w:color w:val="auto"/>
                <w:sz w:val="18"/>
                <w:szCs w:val="18"/>
              </w:rPr>
            </w:pPr>
            <w:r w:rsidRPr="00D10074">
              <w:rPr>
                <w:color w:val="auto"/>
                <w:sz w:val="18"/>
                <w:szCs w:val="18"/>
              </w:rPr>
              <w:t xml:space="preserve">Description of </w:t>
            </w:r>
            <w:r w:rsidR="003E5B66" w:rsidRPr="00D10074">
              <w:rPr>
                <w:color w:val="auto"/>
                <w:sz w:val="18"/>
                <w:szCs w:val="18"/>
              </w:rPr>
              <w:t>d</w:t>
            </w:r>
            <w:r w:rsidRPr="00D10074">
              <w:rPr>
                <w:color w:val="auto"/>
                <w:sz w:val="18"/>
                <w:szCs w:val="18"/>
              </w:rPr>
              <w:t>ocument</w:t>
            </w:r>
          </w:p>
        </w:tc>
      </w:tr>
      <w:tr w:rsidR="00B3316B" w:rsidRPr="00D10074" w14:paraId="77BB3D06" w14:textId="77777777" w:rsidTr="00B3316B">
        <w:tc>
          <w:tcPr>
            <w:tcW w:w="992" w:type="dxa"/>
            <w:shd w:val="clear" w:color="auto" w:fill="D9D9D9" w:themeFill="background1" w:themeFillShade="D9"/>
          </w:tcPr>
          <w:p w14:paraId="2AA97D38" w14:textId="1B9D1D3E" w:rsidR="00B3316B" w:rsidRPr="00D10074" w:rsidRDefault="00B3316B" w:rsidP="00B3316B">
            <w:pPr>
              <w:pStyle w:val="TableBodyText"/>
              <w:rPr>
                <w:sz w:val="18"/>
                <w:szCs w:val="18"/>
                <w:lang w:val="en-US"/>
              </w:rPr>
            </w:pPr>
            <w:r w:rsidRPr="00D10074">
              <w:rPr>
                <w:sz w:val="18"/>
                <w:szCs w:val="18"/>
                <w:lang w:val="en-US"/>
              </w:rPr>
              <w:fldChar w:fldCharType="begin"/>
            </w:r>
            <w:r w:rsidRPr="00D10074">
              <w:rPr>
                <w:sz w:val="18"/>
                <w:szCs w:val="18"/>
                <w:lang w:val="en-US"/>
              </w:rPr>
              <w:instrText xml:space="preserve"> REF _Ref83397763 \r \h  \* MERGEFORMAT </w:instrText>
            </w:r>
            <w:r w:rsidRPr="00D10074">
              <w:rPr>
                <w:sz w:val="18"/>
                <w:szCs w:val="18"/>
                <w:lang w:val="en-US"/>
              </w:rPr>
            </w:r>
            <w:r w:rsidRPr="00D10074">
              <w:rPr>
                <w:sz w:val="18"/>
                <w:szCs w:val="18"/>
                <w:lang w:val="en-US"/>
              </w:rPr>
              <w:fldChar w:fldCharType="separate"/>
            </w:r>
            <w:r w:rsidR="00A30D3A">
              <w:rPr>
                <w:sz w:val="18"/>
                <w:szCs w:val="18"/>
                <w:lang w:val="en-US"/>
              </w:rPr>
              <w:t>5.1</w:t>
            </w:r>
            <w:r w:rsidRPr="00D10074">
              <w:rPr>
                <w:sz w:val="18"/>
                <w:szCs w:val="18"/>
                <w:lang w:val="en-US"/>
              </w:rPr>
              <w:fldChar w:fldCharType="end"/>
            </w:r>
          </w:p>
        </w:tc>
        <w:tc>
          <w:tcPr>
            <w:tcW w:w="7945" w:type="dxa"/>
            <w:shd w:val="clear" w:color="auto" w:fill="D9D9D9" w:themeFill="background1" w:themeFillShade="D9"/>
          </w:tcPr>
          <w:p w14:paraId="43358850" w14:textId="77777777" w:rsidR="00B3316B" w:rsidRPr="00D10074" w:rsidRDefault="00B3316B" w:rsidP="00B3316B">
            <w:pPr>
              <w:pStyle w:val="TableBodyText"/>
              <w:rPr>
                <w:sz w:val="18"/>
                <w:szCs w:val="18"/>
                <w:lang w:val="en-US"/>
              </w:rPr>
            </w:pPr>
            <w:r w:rsidRPr="00D10074">
              <w:rPr>
                <w:sz w:val="18"/>
                <w:szCs w:val="18"/>
                <w:lang w:val="en-US"/>
              </w:rPr>
              <w:t>Details of the source of glass and manufacturing process</w:t>
            </w:r>
          </w:p>
        </w:tc>
      </w:tr>
      <w:tr w:rsidR="00B3316B" w:rsidRPr="00D10074" w14:paraId="4FEDF8EA" w14:textId="77777777" w:rsidTr="00B3316B">
        <w:tc>
          <w:tcPr>
            <w:tcW w:w="992" w:type="dxa"/>
            <w:shd w:val="clear" w:color="auto" w:fill="D9D9D9" w:themeFill="background1" w:themeFillShade="D9"/>
          </w:tcPr>
          <w:p w14:paraId="652118D2" w14:textId="064933C1" w:rsidR="00B3316B" w:rsidRPr="00D10074" w:rsidRDefault="00B3316B" w:rsidP="00B3316B">
            <w:pPr>
              <w:pStyle w:val="TableBodyText"/>
              <w:rPr>
                <w:sz w:val="18"/>
                <w:szCs w:val="18"/>
                <w:lang w:val="en-US"/>
              </w:rPr>
            </w:pPr>
            <w:r w:rsidRPr="00D10074">
              <w:rPr>
                <w:sz w:val="18"/>
                <w:szCs w:val="18"/>
                <w:lang w:val="en-US"/>
              </w:rPr>
              <w:fldChar w:fldCharType="begin"/>
            </w:r>
            <w:r w:rsidRPr="00D10074">
              <w:rPr>
                <w:sz w:val="18"/>
                <w:szCs w:val="18"/>
                <w:lang w:val="en-US"/>
              </w:rPr>
              <w:instrText xml:space="preserve"> REF _Ref83397954 \r \h  \* MERGEFORMAT </w:instrText>
            </w:r>
            <w:r w:rsidRPr="00D10074">
              <w:rPr>
                <w:sz w:val="18"/>
                <w:szCs w:val="18"/>
                <w:lang w:val="en-US"/>
              </w:rPr>
            </w:r>
            <w:r w:rsidRPr="00D10074">
              <w:rPr>
                <w:sz w:val="18"/>
                <w:szCs w:val="18"/>
                <w:lang w:val="en-US"/>
              </w:rPr>
              <w:fldChar w:fldCharType="separate"/>
            </w:r>
            <w:r w:rsidR="00A30D3A">
              <w:rPr>
                <w:sz w:val="18"/>
                <w:szCs w:val="18"/>
                <w:lang w:val="en-US"/>
              </w:rPr>
              <w:t>6.1</w:t>
            </w:r>
            <w:r w:rsidRPr="00D10074">
              <w:rPr>
                <w:sz w:val="18"/>
                <w:szCs w:val="18"/>
                <w:lang w:val="en-US"/>
              </w:rPr>
              <w:fldChar w:fldCharType="end"/>
            </w:r>
          </w:p>
        </w:tc>
        <w:tc>
          <w:tcPr>
            <w:tcW w:w="7945" w:type="dxa"/>
            <w:shd w:val="clear" w:color="auto" w:fill="D9D9D9" w:themeFill="background1" w:themeFillShade="D9"/>
          </w:tcPr>
          <w:p w14:paraId="41C2240E" w14:textId="261A6989" w:rsidR="00B3316B" w:rsidRPr="00D10074" w:rsidRDefault="00B3316B" w:rsidP="00B3316B">
            <w:pPr>
              <w:pStyle w:val="TableBodyText"/>
              <w:rPr>
                <w:sz w:val="18"/>
                <w:szCs w:val="18"/>
                <w:lang w:val="en-US"/>
              </w:rPr>
            </w:pPr>
            <w:r w:rsidRPr="00D10074">
              <w:rPr>
                <w:sz w:val="18"/>
                <w:szCs w:val="18"/>
                <w:lang w:val="en-US"/>
              </w:rPr>
              <w:t>Applicable Legislative Requirements</w:t>
            </w:r>
          </w:p>
        </w:tc>
      </w:tr>
      <w:tr w:rsidR="00B3316B" w:rsidRPr="00D10074" w14:paraId="43D4F076" w14:textId="77777777" w:rsidTr="00B3316B">
        <w:tc>
          <w:tcPr>
            <w:tcW w:w="992" w:type="dxa"/>
            <w:shd w:val="clear" w:color="auto" w:fill="D9D9D9" w:themeFill="background1" w:themeFillShade="D9"/>
          </w:tcPr>
          <w:p w14:paraId="7772FBF3" w14:textId="2D0448C1" w:rsidR="00B3316B" w:rsidRPr="00D10074" w:rsidRDefault="00B3316B" w:rsidP="00B3316B">
            <w:pPr>
              <w:pStyle w:val="TableBodyText"/>
              <w:rPr>
                <w:sz w:val="18"/>
                <w:szCs w:val="18"/>
                <w:lang w:val="en-US"/>
              </w:rPr>
            </w:pPr>
            <w:r w:rsidRPr="00D10074">
              <w:rPr>
                <w:sz w:val="18"/>
                <w:szCs w:val="18"/>
                <w:lang w:val="en-US"/>
              </w:rPr>
              <w:fldChar w:fldCharType="begin"/>
            </w:r>
            <w:r w:rsidRPr="00D10074">
              <w:rPr>
                <w:sz w:val="18"/>
                <w:szCs w:val="18"/>
                <w:lang w:val="en-US"/>
              </w:rPr>
              <w:instrText xml:space="preserve"> REF _Ref83397807 \r \h  \* MERGEFORMAT </w:instrText>
            </w:r>
            <w:r w:rsidRPr="00D10074">
              <w:rPr>
                <w:sz w:val="18"/>
                <w:szCs w:val="18"/>
                <w:lang w:val="en-US"/>
              </w:rPr>
            </w:r>
            <w:r w:rsidRPr="00D10074">
              <w:rPr>
                <w:sz w:val="18"/>
                <w:szCs w:val="18"/>
                <w:lang w:val="en-US"/>
              </w:rPr>
              <w:fldChar w:fldCharType="separate"/>
            </w:r>
            <w:r w:rsidR="00A30D3A">
              <w:rPr>
                <w:sz w:val="18"/>
                <w:szCs w:val="18"/>
                <w:lang w:val="en-US"/>
              </w:rPr>
              <w:t>8.1</w:t>
            </w:r>
            <w:r w:rsidRPr="00D10074">
              <w:rPr>
                <w:sz w:val="18"/>
                <w:szCs w:val="18"/>
                <w:lang w:val="en-US"/>
              </w:rPr>
              <w:fldChar w:fldCharType="end"/>
            </w:r>
          </w:p>
        </w:tc>
        <w:tc>
          <w:tcPr>
            <w:tcW w:w="7945" w:type="dxa"/>
            <w:shd w:val="clear" w:color="auto" w:fill="D9D9D9" w:themeFill="background1" w:themeFillShade="D9"/>
          </w:tcPr>
          <w:p w14:paraId="11389C68" w14:textId="77777777" w:rsidR="00B3316B" w:rsidRPr="00D10074" w:rsidRDefault="00B3316B" w:rsidP="00B3316B">
            <w:pPr>
              <w:pStyle w:val="TableBodyText"/>
              <w:rPr>
                <w:sz w:val="18"/>
                <w:szCs w:val="18"/>
                <w:lang w:val="en-US"/>
              </w:rPr>
            </w:pPr>
            <w:r w:rsidRPr="00D10074">
              <w:rPr>
                <w:sz w:val="18"/>
                <w:szCs w:val="18"/>
                <w:lang w:val="en-US"/>
              </w:rPr>
              <w:t>Target material properties</w:t>
            </w:r>
          </w:p>
        </w:tc>
      </w:tr>
      <w:tr w:rsidR="00B3316B" w:rsidRPr="00D10074" w14:paraId="734388E9" w14:textId="77777777" w:rsidTr="00B3316B">
        <w:tc>
          <w:tcPr>
            <w:tcW w:w="992" w:type="dxa"/>
            <w:shd w:val="clear" w:color="auto" w:fill="D9D9D9" w:themeFill="background1" w:themeFillShade="D9"/>
          </w:tcPr>
          <w:p w14:paraId="5B19BEED" w14:textId="63071F01" w:rsidR="00B3316B" w:rsidRPr="00D10074" w:rsidRDefault="00B3316B" w:rsidP="00B3316B">
            <w:pPr>
              <w:pStyle w:val="TableBodyText"/>
              <w:rPr>
                <w:sz w:val="18"/>
                <w:szCs w:val="18"/>
                <w:lang w:val="en-US"/>
              </w:rPr>
            </w:pPr>
            <w:r w:rsidRPr="00D10074">
              <w:rPr>
                <w:sz w:val="18"/>
                <w:szCs w:val="18"/>
                <w:lang w:val="en-US"/>
              </w:rPr>
              <w:fldChar w:fldCharType="begin"/>
            </w:r>
            <w:r w:rsidRPr="00D10074">
              <w:rPr>
                <w:sz w:val="18"/>
                <w:szCs w:val="18"/>
                <w:lang w:val="en-US"/>
              </w:rPr>
              <w:instrText xml:space="preserve"> REF _Ref83398091 \r \h  \* MERGEFORMAT </w:instrText>
            </w:r>
            <w:r w:rsidRPr="00D10074">
              <w:rPr>
                <w:sz w:val="18"/>
                <w:szCs w:val="18"/>
                <w:lang w:val="en-US"/>
              </w:rPr>
            </w:r>
            <w:r w:rsidRPr="00D10074">
              <w:rPr>
                <w:sz w:val="18"/>
                <w:szCs w:val="18"/>
                <w:lang w:val="en-US"/>
              </w:rPr>
              <w:fldChar w:fldCharType="separate"/>
            </w:r>
            <w:r w:rsidR="00A30D3A">
              <w:rPr>
                <w:sz w:val="18"/>
                <w:szCs w:val="18"/>
                <w:lang w:val="en-US"/>
              </w:rPr>
              <w:t>9</w:t>
            </w:r>
            <w:r w:rsidRPr="00D10074">
              <w:rPr>
                <w:sz w:val="18"/>
                <w:szCs w:val="18"/>
                <w:lang w:val="en-US"/>
              </w:rPr>
              <w:fldChar w:fldCharType="end"/>
            </w:r>
          </w:p>
        </w:tc>
        <w:tc>
          <w:tcPr>
            <w:tcW w:w="7945" w:type="dxa"/>
            <w:shd w:val="clear" w:color="auto" w:fill="D9D9D9" w:themeFill="background1" w:themeFillShade="D9"/>
          </w:tcPr>
          <w:p w14:paraId="05BE5EB2" w14:textId="4785E120" w:rsidR="00B3316B" w:rsidRPr="00D10074" w:rsidRDefault="00B3316B" w:rsidP="00B3316B">
            <w:pPr>
              <w:pStyle w:val="TableBodyText"/>
              <w:rPr>
                <w:sz w:val="18"/>
                <w:szCs w:val="18"/>
                <w:lang w:val="en-US"/>
              </w:rPr>
            </w:pPr>
            <w:r w:rsidRPr="00D10074">
              <w:rPr>
                <w:sz w:val="18"/>
                <w:szCs w:val="18"/>
                <w:lang w:val="en-US"/>
              </w:rPr>
              <w:t>Procedures for stockpile management, management of Lots and testing</w:t>
            </w:r>
          </w:p>
        </w:tc>
      </w:tr>
    </w:tbl>
    <w:p w14:paraId="27B893FD" w14:textId="77777777" w:rsidR="00250A0B" w:rsidRPr="00D10074" w:rsidRDefault="00250A0B" w:rsidP="00E374BF">
      <w:pPr>
        <w:pStyle w:val="Bodynumbered2"/>
        <w:numPr>
          <w:ilvl w:val="0"/>
          <w:numId w:val="0"/>
        </w:numPr>
      </w:pPr>
    </w:p>
    <w:tbl>
      <w:tblPr>
        <w:tblStyle w:val="TMTable"/>
        <w:tblW w:w="8931" w:type="dxa"/>
        <w:tblInd w:w="557" w:type="dxa"/>
        <w:tblLook w:val="04A0" w:firstRow="1" w:lastRow="0" w:firstColumn="1" w:lastColumn="0" w:noHBand="0" w:noVBand="1"/>
      </w:tblPr>
      <w:tblGrid>
        <w:gridCol w:w="1985"/>
        <w:gridCol w:w="6946"/>
      </w:tblGrid>
      <w:tr w:rsidR="003E31BA" w:rsidRPr="00D10074" w14:paraId="0F5E118A" w14:textId="77777777" w:rsidTr="0059043A">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2A836FA0" w14:textId="77777777" w:rsidR="003E31BA" w:rsidRPr="00D10074" w:rsidRDefault="003E31BA" w:rsidP="00A65212">
            <w:pPr>
              <w:pStyle w:val="TableHeading"/>
              <w:rPr>
                <w:b/>
                <w:bCs/>
              </w:rPr>
            </w:pPr>
            <w:bookmarkStart w:id="19" w:name="_Hlk9589851"/>
            <w:r w:rsidRPr="00D10074">
              <w:rPr>
                <w:b/>
                <w:bCs/>
              </w:rPr>
              <w:t>HOLD POINT 1</w:t>
            </w:r>
          </w:p>
        </w:tc>
      </w:tr>
      <w:tr w:rsidR="003E31BA" w:rsidRPr="00D10074" w14:paraId="33C85C6F" w14:textId="77777777" w:rsidTr="0059043A">
        <w:tc>
          <w:tcPr>
            <w:tcW w:w="1985" w:type="dxa"/>
            <w:hideMark/>
          </w:tcPr>
          <w:p w14:paraId="26D38864" w14:textId="77777777" w:rsidR="003E31BA" w:rsidRPr="00D10074" w:rsidRDefault="003E31BA" w:rsidP="00FB025A">
            <w:pPr>
              <w:pStyle w:val="TableBodyText"/>
            </w:pPr>
            <w:r w:rsidRPr="00D10074">
              <w:t>Process Held</w:t>
            </w:r>
          </w:p>
        </w:tc>
        <w:tc>
          <w:tcPr>
            <w:tcW w:w="6946" w:type="dxa"/>
            <w:hideMark/>
          </w:tcPr>
          <w:p w14:paraId="1C243315" w14:textId="6C979032" w:rsidR="003E31BA" w:rsidRPr="00D10074" w:rsidRDefault="00973AFF" w:rsidP="00FB025A">
            <w:pPr>
              <w:pStyle w:val="TableBodyText"/>
            </w:pPr>
            <w:r w:rsidRPr="00D10074">
              <w:t>Quality system conformance.</w:t>
            </w:r>
          </w:p>
        </w:tc>
      </w:tr>
      <w:tr w:rsidR="003E31BA" w:rsidRPr="00D10074" w14:paraId="3CD1DA31" w14:textId="77777777" w:rsidTr="0059043A">
        <w:tc>
          <w:tcPr>
            <w:tcW w:w="1985" w:type="dxa"/>
            <w:hideMark/>
          </w:tcPr>
          <w:p w14:paraId="288EE3D2" w14:textId="77777777" w:rsidR="003E31BA" w:rsidRPr="00D10074" w:rsidRDefault="003E31BA" w:rsidP="00FB025A">
            <w:pPr>
              <w:pStyle w:val="TableBodyText"/>
            </w:pPr>
            <w:r w:rsidRPr="00D10074">
              <w:t>Submission Details</w:t>
            </w:r>
          </w:p>
        </w:tc>
        <w:tc>
          <w:tcPr>
            <w:tcW w:w="6946" w:type="dxa"/>
            <w:hideMark/>
          </w:tcPr>
          <w:p w14:paraId="0CC6AC6F" w14:textId="03F10968" w:rsidR="003E31BA" w:rsidRPr="00D10074" w:rsidRDefault="009D5C43" w:rsidP="00FB025A">
            <w:pPr>
              <w:pStyle w:val="TableBodyText"/>
            </w:pPr>
            <w:r w:rsidRPr="00D10074">
              <w:t>Where applicable, t</w:t>
            </w:r>
            <w:r w:rsidR="00267202" w:rsidRPr="00D10074">
              <w:t xml:space="preserve">he documentation listed in Clause </w:t>
            </w:r>
            <w:r w:rsidR="003F3B0D" w:rsidRPr="00D10074">
              <w:fldChar w:fldCharType="begin"/>
            </w:r>
            <w:r w:rsidR="003F3B0D" w:rsidRPr="00D10074">
              <w:instrText xml:space="preserve"> REF _Ref92360486 \r \h </w:instrText>
            </w:r>
            <w:r w:rsidR="00273803" w:rsidRPr="00D10074">
              <w:instrText xml:space="preserve"> \* MERGEFORMAT </w:instrText>
            </w:r>
            <w:r w:rsidR="003F3B0D" w:rsidRPr="00D10074">
              <w:fldChar w:fldCharType="separate"/>
            </w:r>
            <w:r w:rsidR="00A30D3A">
              <w:t>4</w:t>
            </w:r>
            <w:r w:rsidR="003F3B0D" w:rsidRPr="00D10074">
              <w:fldChar w:fldCharType="end"/>
            </w:r>
            <w:r w:rsidR="00267202" w:rsidRPr="00D10074">
              <w:t xml:space="preserve"> must be submitted </w:t>
            </w:r>
            <w:bookmarkStart w:id="20" w:name="_Hlk3530642"/>
            <w:r w:rsidR="00267202" w:rsidRPr="00D10074">
              <w:t xml:space="preserve">to the </w:t>
            </w:r>
            <w:proofErr w:type="gramStart"/>
            <w:r w:rsidR="00267202" w:rsidRPr="00D10074">
              <w:t>Principal</w:t>
            </w:r>
            <w:proofErr w:type="gramEnd"/>
            <w:r w:rsidR="00267202" w:rsidRPr="00D10074">
              <w:t xml:space="preserve"> at least 10 working days prior to the </w:t>
            </w:r>
            <w:bookmarkEnd w:id="20"/>
            <w:r w:rsidR="00267202" w:rsidRPr="00D10074">
              <w:t>commencement of the supply of the RCG to the Site.</w:t>
            </w:r>
          </w:p>
        </w:tc>
        <w:bookmarkEnd w:id="19"/>
      </w:tr>
    </w:tbl>
    <w:p w14:paraId="59AC68A9" w14:textId="531C1E53" w:rsidR="003F4501" w:rsidRPr="00D10074" w:rsidRDefault="00267202" w:rsidP="003E31BA">
      <w:pPr>
        <w:pStyle w:val="Heading1"/>
      </w:pPr>
      <w:bookmarkStart w:id="21" w:name="_Ref147408672"/>
      <w:bookmarkStart w:id="22" w:name="_Toc153204299"/>
      <w:bookmarkStart w:id="23" w:name="_Toc1138829"/>
      <w:bookmarkStart w:id="24" w:name="_Toc9850016"/>
      <w:bookmarkStart w:id="25" w:name="_Hlk9434043"/>
      <w:r w:rsidRPr="00D10074">
        <w:t>Glass Source</w:t>
      </w:r>
      <w:bookmarkEnd w:id="21"/>
      <w:bookmarkEnd w:id="22"/>
    </w:p>
    <w:p w14:paraId="4D29E3E5" w14:textId="22C7A6EE" w:rsidR="00353D1F" w:rsidRPr="00D10074" w:rsidRDefault="00353D1F" w:rsidP="00353D1F">
      <w:pPr>
        <w:pStyle w:val="Bodynumbered1"/>
      </w:pPr>
      <w:bookmarkStart w:id="26" w:name="_Ref83397763"/>
      <w:r w:rsidRPr="00D10074">
        <w:t xml:space="preserve">The </w:t>
      </w:r>
      <w:r w:rsidR="003131DA" w:rsidRPr="00D10074">
        <w:t xml:space="preserve">Quality Plan </w:t>
      </w:r>
      <w:r w:rsidRPr="00D10074">
        <w:t>must include details of:</w:t>
      </w:r>
    </w:p>
    <w:p w14:paraId="5B189F7B" w14:textId="7A878FBD" w:rsidR="00353D1F" w:rsidRPr="00D10074" w:rsidRDefault="00353D1F" w:rsidP="00D30F4E">
      <w:pPr>
        <w:pStyle w:val="Bodynumbered2"/>
        <w:numPr>
          <w:ilvl w:val="0"/>
          <w:numId w:val="44"/>
        </w:numPr>
      </w:pPr>
      <w:r w:rsidRPr="00D10074">
        <w:t xml:space="preserve">the source of </w:t>
      </w:r>
      <w:proofErr w:type="gramStart"/>
      <w:r w:rsidRPr="00D10074">
        <w:t>glass;</w:t>
      </w:r>
      <w:proofErr w:type="gramEnd"/>
      <w:r w:rsidRPr="00D10074">
        <w:t xml:space="preserve"> </w:t>
      </w:r>
    </w:p>
    <w:p w14:paraId="5AAB22F9" w14:textId="3DA2414B" w:rsidR="00353D1F" w:rsidRPr="00D10074" w:rsidRDefault="00353D1F" w:rsidP="005C730A">
      <w:pPr>
        <w:pStyle w:val="Bodynumbered2"/>
      </w:pPr>
      <w:r w:rsidRPr="00D10074">
        <w:t>the production plant and processes; and</w:t>
      </w:r>
    </w:p>
    <w:p w14:paraId="72699CDF" w14:textId="2F037C22" w:rsidR="00353D1F" w:rsidRPr="00D10074" w:rsidRDefault="00353D1F" w:rsidP="00E374BF">
      <w:pPr>
        <w:pStyle w:val="Bodynumbered2"/>
      </w:pPr>
      <w:r w:rsidRPr="00D10074">
        <w:t>methods to ensure that the</w:t>
      </w:r>
      <w:r w:rsidR="00BB6F79" w:rsidRPr="00D10074">
        <w:t xml:space="preserve"> level </w:t>
      </w:r>
      <w:r w:rsidRPr="00D10074">
        <w:t>of contamination</w:t>
      </w:r>
      <w:r w:rsidR="00BB6F79" w:rsidRPr="00D10074">
        <w:t xml:space="preserve"> complies with this Specificat</w:t>
      </w:r>
      <w:r w:rsidR="000904BD" w:rsidRPr="00D10074">
        <w:t>ion</w:t>
      </w:r>
      <w:bookmarkEnd w:id="26"/>
      <w:r w:rsidR="002F1D4A" w:rsidRPr="00D10074">
        <w:t>.</w:t>
      </w:r>
    </w:p>
    <w:p w14:paraId="58B3FEDC" w14:textId="77777777" w:rsidR="00353D1F" w:rsidRPr="00D10074" w:rsidRDefault="00353D1F" w:rsidP="00353D1F">
      <w:pPr>
        <w:pStyle w:val="Bodynumbered1"/>
      </w:pPr>
      <w:r w:rsidRPr="00D10074">
        <w:t>RCG must be produced from food and beverage container glass, or window glass. The source material must be essentially free of glass from the following sources:</w:t>
      </w:r>
    </w:p>
    <w:p w14:paraId="0C4534D6" w14:textId="77777777" w:rsidR="00353D1F" w:rsidRPr="00D10074" w:rsidRDefault="00353D1F" w:rsidP="00E374BF">
      <w:pPr>
        <w:pStyle w:val="Bodynumbered2"/>
        <w:numPr>
          <w:ilvl w:val="0"/>
          <w:numId w:val="23"/>
        </w:numPr>
      </w:pPr>
      <w:r w:rsidRPr="00D10074">
        <w:t xml:space="preserve">cathode ray </w:t>
      </w:r>
      <w:proofErr w:type="gramStart"/>
      <w:r w:rsidRPr="00D10074">
        <w:t>tubes;</w:t>
      </w:r>
      <w:proofErr w:type="gramEnd"/>
    </w:p>
    <w:p w14:paraId="5608B355" w14:textId="77777777" w:rsidR="00353D1F" w:rsidRPr="00D10074" w:rsidRDefault="00353D1F" w:rsidP="00E374BF">
      <w:pPr>
        <w:pStyle w:val="Bodynumbered2"/>
        <w:numPr>
          <w:ilvl w:val="0"/>
          <w:numId w:val="23"/>
        </w:numPr>
      </w:pPr>
      <w:r w:rsidRPr="00D10074">
        <w:t xml:space="preserve">fluorescent and incandescent </w:t>
      </w:r>
      <w:proofErr w:type="gramStart"/>
      <w:r w:rsidRPr="00D10074">
        <w:t>lights;</w:t>
      </w:r>
      <w:proofErr w:type="gramEnd"/>
    </w:p>
    <w:p w14:paraId="26D4A98F" w14:textId="77777777" w:rsidR="00353D1F" w:rsidRPr="00D10074" w:rsidRDefault="00353D1F" w:rsidP="00E374BF">
      <w:pPr>
        <w:pStyle w:val="Bodynumbered2"/>
        <w:numPr>
          <w:ilvl w:val="0"/>
          <w:numId w:val="23"/>
        </w:numPr>
      </w:pPr>
      <w:r w:rsidRPr="00D10074">
        <w:t xml:space="preserve">glass recovered from electrical </w:t>
      </w:r>
      <w:proofErr w:type="gramStart"/>
      <w:r w:rsidRPr="00D10074">
        <w:t>equipment;</w:t>
      </w:r>
      <w:proofErr w:type="gramEnd"/>
    </w:p>
    <w:p w14:paraId="47799915" w14:textId="77777777" w:rsidR="00353D1F" w:rsidRPr="00D10074" w:rsidRDefault="00353D1F" w:rsidP="00E374BF">
      <w:pPr>
        <w:pStyle w:val="Bodynumbered2"/>
        <w:numPr>
          <w:ilvl w:val="0"/>
          <w:numId w:val="23"/>
        </w:numPr>
      </w:pPr>
      <w:r w:rsidRPr="00D10074">
        <w:t xml:space="preserve">glass recovered from a laboratory </w:t>
      </w:r>
      <w:proofErr w:type="gramStart"/>
      <w:r w:rsidRPr="00D10074">
        <w:t>source;</w:t>
      </w:r>
      <w:proofErr w:type="gramEnd"/>
    </w:p>
    <w:p w14:paraId="1EF29512" w14:textId="77777777" w:rsidR="00353D1F" w:rsidRPr="00D10074" w:rsidRDefault="00353D1F" w:rsidP="00E374BF">
      <w:pPr>
        <w:pStyle w:val="Bodynumbered2"/>
        <w:numPr>
          <w:ilvl w:val="0"/>
          <w:numId w:val="23"/>
        </w:numPr>
      </w:pPr>
      <w:r w:rsidRPr="00D10074">
        <w:t>porcelain products or cook tops; and</w:t>
      </w:r>
    </w:p>
    <w:p w14:paraId="5B4D903B" w14:textId="77777777" w:rsidR="00353D1F" w:rsidRPr="00D10074" w:rsidRDefault="00353D1F" w:rsidP="00E374BF">
      <w:pPr>
        <w:pStyle w:val="Bodynumbered2"/>
        <w:numPr>
          <w:ilvl w:val="0"/>
          <w:numId w:val="23"/>
        </w:numPr>
      </w:pPr>
      <w:r w:rsidRPr="00D10074">
        <w:t>glass from hazardous waste containers.</w:t>
      </w:r>
    </w:p>
    <w:p w14:paraId="524E15E3" w14:textId="59BD2A9C" w:rsidR="00620535" w:rsidRPr="00D10074" w:rsidRDefault="00101D52" w:rsidP="00101D52">
      <w:pPr>
        <w:pStyle w:val="Bodynumbered1"/>
      </w:pPr>
      <w:r w:rsidRPr="00D10074">
        <w:t>RCG must be free from any putrid odour.</w:t>
      </w:r>
    </w:p>
    <w:p w14:paraId="49189217" w14:textId="77777777" w:rsidR="00620535" w:rsidRPr="00D10074" w:rsidRDefault="00620535">
      <w:pPr>
        <w:rPr>
          <w:rFonts w:ascii="Arial" w:eastAsiaTheme="minorEastAsia" w:hAnsi="Arial"/>
          <w:sz w:val="20"/>
          <w:szCs w:val="20"/>
          <w:lang w:eastAsia="ja-JP"/>
        </w:rPr>
      </w:pPr>
      <w:r w:rsidRPr="00D10074">
        <w:br w:type="page"/>
      </w:r>
    </w:p>
    <w:p w14:paraId="71884B63" w14:textId="3A1E6281" w:rsidR="003E31BA" w:rsidRPr="00D10074" w:rsidRDefault="00B50FA0" w:rsidP="003E31BA">
      <w:pPr>
        <w:pStyle w:val="Heading1"/>
      </w:pPr>
      <w:bookmarkStart w:id="27" w:name="_Toc86833453"/>
      <w:bookmarkStart w:id="28" w:name="_Toc153204300"/>
      <w:bookmarkStart w:id="29" w:name="_Ref15469889"/>
      <w:bookmarkStart w:id="30" w:name="_Hlk9598492"/>
      <w:r w:rsidRPr="00D10074">
        <w:lastRenderedPageBreak/>
        <w:t>Chemical and Other Material Requirements</w:t>
      </w:r>
      <w:bookmarkEnd w:id="27"/>
      <w:bookmarkEnd w:id="28"/>
    </w:p>
    <w:p w14:paraId="77FF8FE6" w14:textId="3528323E" w:rsidR="001A517A" w:rsidRPr="00D10074" w:rsidRDefault="001A517A" w:rsidP="001A517A">
      <w:pPr>
        <w:pStyle w:val="Bodynumbered1"/>
      </w:pPr>
      <w:bookmarkStart w:id="31" w:name="_Ref83397954"/>
      <w:r w:rsidRPr="00D10074">
        <w:t xml:space="preserve">The </w:t>
      </w:r>
      <w:r w:rsidR="00531C8A" w:rsidRPr="00D10074">
        <w:t xml:space="preserve">Quality Plan </w:t>
      </w:r>
      <w:r w:rsidRPr="00D10074">
        <w:t>must include:</w:t>
      </w:r>
      <w:bookmarkEnd w:id="31"/>
    </w:p>
    <w:p w14:paraId="22406AC2" w14:textId="77777777" w:rsidR="001A517A" w:rsidRPr="00D10074" w:rsidRDefault="001A517A" w:rsidP="00E374BF">
      <w:pPr>
        <w:pStyle w:val="Bodynumbered2"/>
        <w:numPr>
          <w:ilvl w:val="0"/>
          <w:numId w:val="24"/>
        </w:numPr>
      </w:pPr>
      <w:r w:rsidRPr="00D10074">
        <w:t>details of the applicable Legislative Requirements; and</w:t>
      </w:r>
    </w:p>
    <w:p w14:paraId="1C4C663A" w14:textId="77777777" w:rsidR="001A517A" w:rsidRPr="00D10074" w:rsidRDefault="001A517A" w:rsidP="00E374BF">
      <w:pPr>
        <w:pStyle w:val="Bodynumbered2"/>
        <w:numPr>
          <w:ilvl w:val="0"/>
          <w:numId w:val="24"/>
        </w:numPr>
      </w:pPr>
      <w:r w:rsidRPr="00D10074">
        <w:t>procedures for ensuring that the manufacture of RCG is carried out in accordance with the Legislative Requirements.</w:t>
      </w:r>
    </w:p>
    <w:p w14:paraId="39FA7911" w14:textId="70C8611F" w:rsidR="001A517A" w:rsidRPr="00D10074" w:rsidRDefault="001A517A" w:rsidP="00231867">
      <w:pPr>
        <w:pStyle w:val="Bodynumbered1"/>
      </w:pPr>
      <w:bookmarkStart w:id="32" w:name="_Ref83393974"/>
      <w:bookmarkStart w:id="33" w:name="_Ref147832878"/>
      <w:r w:rsidRPr="00D10074">
        <w:t xml:space="preserve">The Contractor must ensure that the </w:t>
      </w:r>
      <w:r w:rsidR="00231867" w:rsidRPr="00D10074">
        <w:t xml:space="preserve">chemical concentrations and other characteristics of the </w:t>
      </w:r>
      <w:r w:rsidRPr="00D10074">
        <w:t>RCG</w:t>
      </w:r>
      <w:r w:rsidR="00705977" w:rsidRPr="00D10074">
        <w:t xml:space="preserve"> comply with any applicable requirements specified in the Legislative Requirements</w:t>
      </w:r>
      <w:bookmarkEnd w:id="32"/>
      <w:bookmarkEnd w:id="33"/>
      <w:r w:rsidR="008D6F81" w:rsidRPr="00D10074">
        <w:t>.</w:t>
      </w:r>
    </w:p>
    <w:p w14:paraId="13CF9466" w14:textId="4304B3BC" w:rsidR="00C2746C" w:rsidRPr="00D10074" w:rsidRDefault="00EE023B" w:rsidP="00CF6805">
      <w:pPr>
        <w:pStyle w:val="Bodynumbered1"/>
      </w:pPr>
      <w:r w:rsidRPr="00D10074">
        <w:t xml:space="preserve">If </w:t>
      </w:r>
      <w:r w:rsidR="00324618" w:rsidRPr="00D10074">
        <w:t xml:space="preserve">maximum permissible </w:t>
      </w:r>
      <w:r w:rsidR="004A6039" w:rsidRPr="00D10074">
        <w:t xml:space="preserve">levels of </w:t>
      </w:r>
      <w:r w:rsidR="00324618" w:rsidRPr="00D10074">
        <w:t xml:space="preserve">contaminants are not </w:t>
      </w:r>
      <w:r w:rsidR="00563273" w:rsidRPr="00D10074">
        <w:t>specified</w:t>
      </w:r>
      <w:r w:rsidR="00324618" w:rsidRPr="00D10074">
        <w:t xml:space="preserve"> in the applicable Legislative </w:t>
      </w:r>
      <w:r w:rsidR="00563273" w:rsidRPr="00D10074">
        <w:t>R</w:t>
      </w:r>
      <w:r w:rsidR="00324618" w:rsidRPr="00D10074">
        <w:t xml:space="preserve">equirements, </w:t>
      </w:r>
      <w:r w:rsidR="006528BC" w:rsidRPr="00D10074">
        <w:t xml:space="preserve">the maximum levels in </w:t>
      </w:r>
      <w:bookmarkStart w:id="34" w:name="_Hlk147832921"/>
      <w:r w:rsidR="006528BC" w:rsidRPr="00D10074">
        <w:t xml:space="preserve">Table 1 of the </w:t>
      </w:r>
      <w:bookmarkEnd w:id="34"/>
      <w:r w:rsidR="006528BC" w:rsidRPr="00D10074">
        <w:t xml:space="preserve">EPA RRO apply and </w:t>
      </w:r>
      <w:r w:rsidR="002731C6" w:rsidRPr="00D10074">
        <w:t xml:space="preserve">the </w:t>
      </w:r>
      <w:r w:rsidR="00563273" w:rsidRPr="00D10074">
        <w:t>s</w:t>
      </w:r>
      <w:r w:rsidR="00D1608A" w:rsidRPr="00D10074">
        <w:t>ampling and t</w:t>
      </w:r>
      <w:r w:rsidR="00CF6805" w:rsidRPr="00D10074">
        <w:t>esting for contaminants must comply with</w:t>
      </w:r>
      <w:r w:rsidR="00D1608A" w:rsidRPr="00D10074">
        <w:t xml:space="preserve"> Clause</w:t>
      </w:r>
      <w:r w:rsidR="00680A68" w:rsidRPr="00D10074">
        <w:t>s</w:t>
      </w:r>
      <w:r w:rsidR="00D1608A" w:rsidRPr="00D10074">
        <w:t xml:space="preserve"> 4.1 to </w:t>
      </w:r>
      <w:r w:rsidR="00883612" w:rsidRPr="00D10074">
        <w:t>4.8 (inclusive) of the EPA</w:t>
      </w:r>
      <w:r w:rsidR="001C3674" w:rsidRPr="00D10074">
        <w:t> </w:t>
      </w:r>
      <w:r w:rsidR="00883612" w:rsidRPr="00D10074">
        <w:t>RRO.</w:t>
      </w:r>
    </w:p>
    <w:p w14:paraId="5A0FA216" w14:textId="69EA4DB7" w:rsidR="007B4C3C" w:rsidRPr="00D10074" w:rsidRDefault="001B0B59" w:rsidP="00900F1D">
      <w:pPr>
        <w:pStyle w:val="Bodynumbered1"/>
      </w:pPr>
      <w:bookmarkStart w:id="35" w:name="_Ref148618883"/>
      <w:r w:rsidRPr="00D10074">
        <w:t xml:space="preserve">For </w:t>
      </w:r>
      <w:r w:rsidR="00900F1D" w:rsidRPr="00D10074">
        <w:t>Attributes 12 -14 in Table 1 of the EPA RRO, t</w:t>
      </w:r>
      <w:r w:rsidR="00C2746C" w:rsidRPr="00D10074">
        <w:t xml:space="preserve">he Principal </w:t>
      </w:r>
      <w:r w:rsidRPr="00D10074">
        <w:t>may approve a</w:t>
      </w:r>
      <w:r w:rsidR="00AF709B" w:rsidRPr="00D10074">
        <w:t xml:space="preserve">n alternative </w:t>
      </w:r>
      <w:r w:rsidR="00B3086E" w:rsidRPr="00D10074">
        <w:t xml:space="preserve">test method. Details of any proposed alternative test method </w:t>
      </w:r>
      <w:r w:rsidR="00D57ED8" w:rsidRPr="00D10074">
        <w:t>must be included in the Quality Plan.</w:t>
      </w:r>
      <w:r w:rsidRPr="00D10074">
        <w:t xml:space="preserve"> </w:t>
      </w:r>
      <w:r w:rsidR="008213B3" w:rsidRPr="00D10074">
        <w:t>This Clause</w:t>
      </w:r>
      <w:bookmarkEnd w:id="35"/>
      <w:r w:rsidR="008213B3" w:rsidRPr="00D10074">
        <w:t xml:space="preserve"> </w:t>
      </w:r>
      <w:r w:rsidR="008213B3" w:rsidRPr="00D10074">
        <w:fldChar w:fldCharType="begin"/>
      </w:r>
      <w:r w:rsidR="008213B3" w:rsidRPr="00D10074">
        <w:instrText xml:space="preserve"> REF _Ref148618883 \r \h </w:instrText>
      </w:r>
      <w:r w:rsidR="001C3674" w:rsidRPr="00D10074">
        <w:instrText xml:space="preserve"> \* MERGEFORMAT </w:instrText>
      </w:r>
      <w:r w:rsidR="008213B3" w:rsidRPr="00D10074">
        <w:fldChar w:fldCharType="separate"/>
      </w:r>
      <w:r w:rsidR="00A30D3A">
        <w:t>6.4</w:t>
      </w:r>
      <w:r w:rsidR="008213B3" w:rsidRPr="00D10074">
        <w:fldChar w:fldCharType="end"/>
      </w:r>
      <w:r w:rsidR="008213B3" w:rsidRPr="00D10074">
        <w:t xml:space="preserve"> does not apply in New South Wales.</w:t>
      </w:r>
      <w:r w:rsidR="00CF6805" w:rsidRPr="00D10074">
        <w:t xml:space="preserve"> </w:t>
      </w:r>
    </w:p>
    <w:p w14:paraId="2C5CCD54" w14:textId="05189AB2" w:rsidR="00AE43B9" w:rsidRPr="00D10074" w:rsidRDefault="008748E4" w:rsidP="003E31BA">
      <w:pPr>
        <w:pStyle w:val="Heading1"/>
      </w:pPr>
      <w:bookmarkStart w:id="36" w:name="_Ref55470766"/>
      <w:bookmarkStart w:id="37" w:name="_Toc86833454"/>
      <w:bookmarkStart w:id="38" w:name="_Toc153204301"/>
      <w:r w:rsidRPr="00D10074">
        <w:t xml:space="preserve">Properties for use </w:t>
      </w:r>
      <w:bookmarkStart w:id="39" w:name="_Hlk127538940"/>
      <w:r w:rsidRPr="00D10074">
        <w:t>as a Granular Material</w:t>
      </w:r>
      <w:bookmarkEnd w:id="36"/>
      <w:bookmarkEnd w:id="37"/>
      <w:bookmarkEnd w:id="38"/>
      <w:bookmarkEnd w:id="39"/>
    </w:p>
    <w:p w14:paraId="546CE692" w14:textId="0DFE8FA6" w:rsidR="002C381F" w:rsidRPr="00D10074" w:rsidRDefault="002C381F" w:rsidP="00F3534A">
      <w:pPr>
        <w:pStyle w:val="Bodynumbered1"/>
      </w:pPr>
      <w:r w:rsidRPr="00D10074">
        <w:t xml:space="preserve">This Clause </w:t>
      </w:r>
      <w:r w:rsidR="00F3534A" w:rsidRPr="00D10074">
        <w:fldChar w:fldCharType="begin"/>
      </w:r>
      <w:r w:rsidR="00F3534A" w:rsidRPr="00D10074">
        <w:instrText xml:space="preserve"> REF _Ref55470766 \r \h </w:instrText>
      </w:r>
      <w:r w:rsidR="000800F3" w:rsidRPr="00D10074">
        <w:instrText xml:space="preserve"> \* MERGEFORMAT </w:instrText>
      </w:r>
      <w:r w:rsidR="00F3534A" w:rsidRPr="00D10074">
        <w:fldChar w:fldCharType="separate"/>
      </w:r>
      <w:r w:rsidR="00A30D3A">
        <w:t>7</w:t>
      </w:r>
      <w:r w:rsidR="00F3534A" w:rsidRPr="00D10074">
        <w:fldChar w:fldCharType="end"/>
      </w:r>
      <w:r w:rsidRPr="00D10074">
        <w:t xml:space="preserve"> only applies </w:t>
      </w:r>
      <w:r w:rsidR="00225248" w:rsidRPr="00D10074">
        <w:t>whe</w:t>
      </w:r>
      <w:r w:rsidR="00901458" w:rsidRPr="00D10074">
        <w:t>re</w:t>
      </w:r>
      <w:r w:rsidR="00225248" w:rsidRPr="00D10074">
        <w:t xml:space="preserve"> </w:t>
      </w:r>
      <w:r w:rsidRPr="00D10074">
        <w:t xml:space="preserve">RCG </w:t>
      </w:r>
      <w:r w:rsidR="00225248" w:rsidRPr="00D10074">
        <w:t xml:space="preserve">is </w:t>
      </w:r>
      <w:r w:rsidRPr="00D10074">
        <w:t>used</w:t>
      </w:r>
      <w:r w:rsidR="00F3534A" w:rsidRPr="00D10074">
        <w:t xml:space="preserve"> as a granular material</w:t>
      </w:r>
      <w:r w:rsidR="00C276F9" w:rsidRPr="00D10074">
        <w:t>.</w:t>
      </w:r>
      <w:r w:rsidR="00F3534A" w:rsidRPr="00D10074">
        <w:t xml:space="preserve"> </w:t>
      </w:r>
    </w:p>
    <w:p w14:paraId="2C20D353" w14:textId="21F9A4EA" w:rsidR="00361BB4" w:rsidRPr="00D10074" w:rsidRDefault="00361BB4" w:rsidP="00EA36B7">
      <w:pPr>
        <w:pStyle w:val="Bodynumbered1"/>
      </w:pPr>
      <w:r w:rsidRPr="00D10074">
        <w:t>RCG particles must be cubic in shape and free from sharp edges and elongated particles.</w:t>
      </w:r>
    </w:p>
    <w:p w14:paraId="0257D160" w14:textId="73ED36A5" w:rsidR="00361BB4" w:rsidRPr="00D10074" w:rsidRDefault="00361BB4" w:rsidP="00361BB4">
      <w:pPr>
        <w:pStyle w:val="Bodynumbered1"/>
      </w:pPr>
      <w:r w:rsidRPr="00D10074">
        <w:t xml:space="preserve">The </w:t>
      </w:r>
      <w:r w:rsidR="00010DBC" w:rsidRPr="00D10074">
        <w:t>p</w:t>
      </w:r>
      <w:r w:rsidRPr="00D10074">
        <w:t xml:space="preserve">article </w:t>
      </w:r>
      <w:r w:rsidR="00010DBC" w:rsidRPr="00D10074">
        <w:t>s</w:t>
      </w:r>
      <w:r w:rsidRPr="00D10074">
        <w:t xml:space="preserve">ize </w:t>
      </w:r>
      <w:r w:rsidR="00010DBC" w:rsidRPr="00D10074">
        <w:t>d</w:t>
      </w:r>
      <w:r w:rsidRPr="00D10074">
        <w:t xml:space="preserve">istribution for RCG </w:t>
      </w:r>
      <w:r w:rsidR="006548C6" w:rsidRPr="00D10074">
        <w:t>must</w:t>
      </w:r>
      <w:r w:rsidRPr="00D10074">
        <w:t xml:space="preserve"> be determined in accordance with AS 1141.11.1. </w:t>
      </w:r>
    </w:p>
    <w:p w14:paraId="7E080884" w14:textId="29A9F19B" w:rsidR="00361BB4" w:rsidRPr="00D10074" w:rsidRDefault="00361BB4" w:rsidP="00361BB4">
      <w:pPr>
        <w:pStyle w:val="Bodynumbered1"/>
      </w:pPr>
      <w:bookmarkStart w:id="40" w:name="_Ref83388957"/>
      <w:r w:rsidRPr="00D10074">
        <w:t xml:space="preserve">The applicable </w:t>
      </w:r>
      <w:r w:rsidR="002C0B4C" w:rsidRPr="00D10074">
        <w:t>g</w:t>
      </w:r>
      <w:r w:rsidRPr="00D10074">
        <w:t xml:space="preserve">rading </w:t>
      </w:r>
      <w:r w:rsidR="002C0B4C" w:rsidRPr="00D10074">
        <w:t>c</w:t>
      </w:r>
      <w:r w:rsidRPr="00D10074">
        <w:t xml:space="preserve">lassification </w:t>
      </w:r>
      <w:r w:rsidR="002C0B4C" w:rsidRPr="00D10074">
        <w:t>t</w:t>
      </w:r>
      <w:r w:rsidRPr="00D10074">
        <w:t xml:space="preserve">ype must be determined from Table </w:t>
      </w:r>
      <w:r w:rsidR="00CC509B">
        <w:fldChar w:fldCharType="begin"/>
      </w:r>
      <w:r w:rsidR="00CC509B">
        <w:instrText xml:space="preserve"> REF _Ref83388957 \r \h </w:instrText>
      </w:r>
      <w:r w:rsidR="00CC509B">
        <w:fldChar w:fldCharType="separate"/>
      </w:r>
      <w:r w:rsidR="00A30D3A">
        <w:t>7.4</w:t>
      </w:r>
      <w:r w:rsidR="00CC509B">
        <w:fldChar w:fldCharType="end"/>
      </w:r>
      <w:r w:rsidRPr="00D10074">
        <w:t xml:space="preserve"> for the nominated RCG application.</w:t>
      </w:r>
      <w:bookmarkEnd w:id="40"/>
    </w:p>
    <w:p w14:paraId="41D20972" w14:textId="4B1727CB" w:rsidR="00D9206B" w:rsidRPr="00D10074" w:rsidRDefault="004327F8" w:rsidP="00623C18">
      <w:pPr>
        <w:pStyle w:val="Caption"/>
        <w:rPr>
          <w:sz w:val="20"/>
          <w:szCs w:val="20"/>
        </w:rPr>
      </w:pPr>
      <w:r w:rsidRPr="00D10074">
        <w:rPr>
          <w:sz w:val="20"/>
          <w:szCs w:val="20"/>
        </w:rPr>
        <w:t xml:space="preserve">Table </w:t>
      </w:r>
      <w:r w:rsidR="00CC509B">
        <w:rPr>
          <w:noProof/>
          <w:sz w:val="20"/>
          <w:szCs w:val="20"/>
        </w:rPr>
        <w:fldChar w:fldCharType="begin"/>
      </w:r>
      <w:r w:rsidR="00CC509B">
        <w:rPr>
          <w:sz w:val="20"/>
          <w:szCs w:val="20"/>
        </w:rPr>
        <w:instrText xml:space="preserve"> REF _Ref83388957 \r \h </w:instrText>
      </w:r>
      <w:r w:rsidR="00CC509B">
        <w:rPr>
          <w:noProof/>
          <w:sz w:val="20"/>
          <w:szCs w:val="20"/>
        </w:rPr>
      </w:r>
      <w:r w:rsidR="00CC509B">
        <w:rPr>
          <w:noProof/>
          <w:sz w:val="20"/>
          <w:szCs w:val="20"/>
        </w:rPr>
        <w:fldChar w:fldCharType="separate"/>
      </w:r>
      <w:r w:rsidR="00A30D3A">
        <w:rPr>
          <w:sz w:val="20"/>
          <w:szCs w:val="20"/>
        </w:rPr>
        <w:t>7.4</w:t>
      </w:r>
      <w:r w:rsidR="00CC509B">
        <w:rPr>
          <w:noProof/>
          <w:sz w:val="20"/>
          <w:szCs w:val="20"/>
        </w:rPr>
        <w:fldChar w:fldCharType="end"/>
      </w:r>
      <w:r w:rsidRPr="00D10074">
        <w:rPr>
          <w:sz w:val="20"/>
          <w:szCs w:val="20"/>
        </w:rPr>
        <w:t>:</w:t>
      </w:r>
      <w:r w:rsidR="003415FD">
        <w:rPr>
          <w:sz w:val="20"/>
          <w:szCs w:val="20"/>
        </w:rPr>
        <w:t xml:space="preserve"> </w:t>
      </w:r>
      <w:r w:rsidR="00623C18" w:rsidRPr="00D10074">
        <w:rPr>
          <w:sz w:val="20"/>
          <w:szCs w:val="20"/>
        </w:rPr>
        <w:t xml:space="preserve">Grading </w:t>
      </w:r>
      <w:r w:rsidR="00BD7CAD" w:rsidRPr="00D10074">
        <w:rPr>
          <w:sz w:val="20"/>
          <w:szCs w:val="20"/>
        </w:rPr>
        <w:t>Classification Type</w:t>
      </w:r>
    </w:p>
    <w:tbl>
      <w:tblPr>
        <w:tblW w:w="8931"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7088"/>
        <w:gridCol w:w="1843"/>
      </w:tblGrid>
      <w:tr w:rsidR="00124AAE" w:rsidRPr="00D10074" w14:paraId="229CCBBE" w14:textId="77777777" w:rsidTr="0097292F">
        <w:trPr>
          <w:tblHeader/>
        </w:trPr>
        <w:tc>
          <w:tcPr>
            <w:tcW w:w="7088" w:type="dxa"/>
            <w:shd w:val="clear" w:color="auto" w:fill="A6A6A6" w:themeFill="background1" w:themeFillShade="A6"/>
            <w:vAlign w:val="center"/>
          </w:tcPr>
          <w:p w14:paraId="58FBC43B" w14:textId="5ED0C546" w:rsidR="00124AAE" w:rsidRPr="00D10074" w:rsidRDefault="0084536A" w:rsidP="0097292F">
            <w:pPr>
              <w:pStyle w:val="TableHeading"/>
              <w:ind w:left="139"/>
              <w:rPr>
                <w:rFonts w:cs="Arial"/>
                <w:color w:val="auto"/>
                <w:sz w:val="18"/>
                <w:szCs w:val="18"/>
              </w:rPr>
            </w:pPr>
            <w:bookmarkStart w:id="41" w:name="_Hlk83389499"/>
            <w:r w:rsidRPr="00D10074">
              <w:rPr>
                <w:color w:val="auto"/>
                <w:sz w:val="18"/>
                <w:szCs w:val="18"/>
              </w:rPr>
              <w:t>Application</w:t>
            </w:r>
            <w:r w:rsidRPr="00D10074">
              <w:rPr>
                <w:color w:val="auto"/>
                <w:sz w:val="18"/>
                <w:szCs w:val="18"/>
                <w:vertAlign w:val="superscript"/>
              </w:rPr>
              <w:t xml:space="preserve"> (</w:t>
            </w:r>
            <w:r w:rsidR="00124AAE" w:rsidRPr="00D10074">
              <w:rPr>
                <w:color w:val="auto"/>
                <w:sz w:val="18"/>
                <w:szCs w:val="18"/>
                <w:vertAlign w:val="superscript"/>
              </w:rPr>
              <w:t>1)</w:t>
            </w:r>
          </w:p>
        </w:tc>
        <w:tc>
          <w:tcPr>
            <w:tcW w:w="1843" w:type="dxa"/>
            <w:shd w:val="clear" w:color="auto" w:fill="A6A6A6" w:themeFill="background1" w:themeFillShade="A6"/>
            <w:vAlign w:val="center"/>
          </w:tcPr>
          <w:p w14:paraId="4DA3DE87" w14:textId="0C4EFDF1" w:rsidR="00124AAE" w:rsidRPr="00D10074" w:rsidRDefault="00124AAE" w:rsidP="0097292F">
            <w:pPr>
              <w:pStyle w:val="TableHeading"/>
              <w:ind w:left="147"/>
              <w:rPr>
                <w:rFonts w:cs="Arial"/>
                <w:color w:val="auto"/>
                <w:sz w:val="18"/>
                <w:szCs w:val="18"/>
              </w:rPr>
            </w:pPr>
            <w:bookmarkStart w:id="42" w:name="_Hlk83388465"/>
            <w:r w:rsidRPr="00D10074">
              <w:rPr>
                <w:color w:val="auto"/>
                <w:sz w:val="18"/>
                <w:szCs w:val="18"/>
              </w:rPr>
              <w:t xml:space="preserve">Grading </w:t>
            </w:r>
            <w:r w:rsidR="00D316EA" w:rsidRPr="00D10074">
              <w:rPr>
                <w:color w:val="auto"/>
                <w:sz w:val="18"/>
                <w:szCs w:val="18"/>
              </w:rPr>
              <w:t>Classification Type</w:t>
            </w:r>
            <w:bookmarkEnd w:id="42"/>
          </w:p>
        </w:tc>
      </w:tr>
      <w:tr w:rsidR="00124AAE" w:rsidRPr="00D10074" w14:paraId="7B95EFC8" w14:textId="77777777" w:rsidTr="00531C8A">
        <w:tc>
          <w:tcPr>
            <w:tcW w:w="7088" w:type="dxa"/>
            <w:shd w:val="clear" w:color="auto" w:fill="D9D9D9"/>
          </w:tcPr>
          <w:p w14:paraId="744104AC" w14:textId="77777777" w:rsidR="00124AAE" w:rsidRPr="00D10074" w:rsidRDefault="00124AAE" w:rsidP="002A6075">
            <w:pPr>
              <w:pStyle w:val="TableBodyText"/>
              <w:ind w:left="113"/>
              <w:rPr>
                <w:rFonts w:cs="Arial"/>
                <w:sz w:val="18"/>
                <w:szCs w:val="18"/>
              </w:rPr>
            </w:pPr>
            <w:r w:rsidRPr="00D10074">
              <w:rPr>
                <w:sz w:val="18"/>
                <w:szCs w:val="18"/>
              </w:rPr>
              <w:t>Bedding and haunch of drainage pipes, conduits, and services</w:t>
            </w:r>
          </w:p>
        </w:tc>
        <w:tc>
          <w:tcPr>
            <w:tcW w:w="1843" w:type="dxa"/>
            <w:shd w:val="clear" w:color="auto" w:fill="D9D9D9"/>
          </w:tcPr>
          <w:p w14:paraId="7D5D33B7" w14:textId="77777777" w:rsidR="00124AAE" w:rsidRPr="00D10074" w:rsidRDefault="00124AAE" w:rsidP="00531C8A">
            <w:pPr>
              <w:pStyle w:val="TableBodyText"/>
              <w:rPr>
                <w:sz w:val="18"/>
                <w:szCs w:val="18"/>
              </w:rPr>
            </w:pPr>
            <w:r w:rsidRPr="00D10074">
              <w:rPr>
                <w:sz w:val="18"/>
                <w:szCs w:val="18"/>
              </w:rPr>
              <w:t>Type A</w:t>
            </w:r>
          </w:p>
        </w:tc>
      </w:tr>
      <w:tr w:rsidR="00124AAE" w:rsidRPr="00D10074" w14:paraId="3681B53D" w14:textId="77777777" w:rsidTr="00531C8A">
        <w:tc>
          <w:tcPr>
            <w:tcW w:w="7088" w:type="dxa"/>
            <w:shd w:val="clear" w:color="auto" w:fill="D9D9D9"/>
          </w:tcPr>
          <w:p w14:paraId="421CD90C" w14:textId="77777777" w:rsidR="00124AAE" w:rsidRPr="00D10074" w:rsidRDefault="00124AAE" w:rsidP="002A6075">
            <w:pPr>
              <w:pStyle w:val="TableBodyText"/>
              <w:ind w:left="113"/>
              <w:rPr>
                <w:rFonts w:cs="Arial"/>
                <w:sz w:val="18"/>
                <w:szCs w:val="18"/>
              </w:rPr>
            </w:pPr>
            <w:r w:rsidRPr="00D10074">
              <w:rPr>
                <w:sz w:val="18"/>
                <w:szCs w:val="18"/>
              </w:rPr>
              <w:t>Side zone and backfill of drainage trenches</w:t>
            </w:r>
          </w:p>
        </w:tc>
        <w:tc>
          <w:tcPr>
            <w:tcW w:w="1843" w:type="dxa"/>
            <w:shd w:val="clear" w:color="auto" w:fill="D9D9D9"/>
          </w:tcPr>
          <w:p w14:paraId="67BF71E8" w14:textId="77777777" w:rsidR="00124AAE" w:rsidRPr="00D10074" w:rsidRDefault="00124AAE" w:rsidP="00531C8A">
            <w:pPr>
              <w:pStyle w:val="TableBodyText"/>
              <w:rPr>
                <w:sz w:val="18"/>
                <w:szCs w:val="18"/>
              </w:rPr>
            </w:pPr>
            <w:r w:rsidRPr="00D10074">
              <w:rPr>
                <w:sz w:val="18"/>
                <w:szCs w:val="18"/>
              </w:rPr>
              <w:t>Type A</w:t>
            </w:r>
          </w:p>
        </w:tc>
      </w:tr>
      <w:tr w:rsidR="00124AAE" w:rsidRPr="00D10074" w14:paraId="70311694" w14:textId="77777777" w:rsidTr="00531C8A">
        <w:tc>
          <w:tcPr>
            <w:tcW w:w="7088" w:type="dxa"/>
            <w:shd w:val="clear" w:color="auto" w:fill="D9D9D9"/>
          </w:tcPr>
          <w:p w14:paraId="2912A47A" w14:textId="77777777" w:rsidR="00124AAE" w:rsidRPr="00D10074" w:rsidRDefault="00124AAE" w:rsidP="002A6075">
            <w:pPr>
              <w:pStyle w:val="TableBodyText"/>
              <w:ind w:left="113"/>
              <w:rPr>
                <w:rFonts w:cs="Arial"/>
                <w:sz w:val="18"/>
                <w:szCs w:val="18"/>
              </w:rPr>
            </w:pPr>
            <w:r w:rsidRPr="00D10074">
              <w:rPr>
                <w:sz w:val="18"/>
                <w:szCs w:val="18"/>
              </w:rPr>
              <w:t>Bedding for segmental or block paving</w:t>
            </w:r>
          </w:p>
        </w:tc>
        <w:tc>
          <w:tcPr>
            <w:tcW w:w="1843" w:type="dxa"/>
            <w:shd w:val="clear" w:color="auto" w:fill="D9D9D9"/>
          </w:tcPr>
          <w:p w14:paraId="4B3CA274" w14:textId="77777777" w:rsidR="00124AAE" w:rsidRPr="00D10074" w:rsidRDefault="00124AAE" w:rsidP="00531C8A">
            <w:pPr>
              <w:pStyle w:val="TableBodyText"/>
              <w:rPr>
                <w:sz w:val="18"/>
                <w:szCs w:val="18"/>
              </w:rPr>
            </w:pPr>
            <w:r w:rsidRPr="00D10074">
              <w:rPr>
                <w:sz w:val="18"/>
                <w:szCs w:val="18"/>
              </w:rPr>
              <w:t>Type B</w:t>
            </w:r>
          </w:p>
        </w:tc>
      </w:tr>
      <w:tr w:rsidR="00124AAE" w:rsidRPr="00D10074" w14:paraId="4EB2CC59" w14:textId="77777777" w:rsidTr="00531C8A">
        <w:tc>
          <w:tcPr>
            <w:tcW w:w="7088" w:type="dxa"/>
            <w:shd w:val="clear" w:color="auto" w:fill="D9D9D9"/>
          </w:tcPr>
          <w:p w14:paraId="263C0ED3" w14:textId="77777777" w:rsidR="00124AAE" w:rsidRPr="00D10074" w:rsidRDefault="00124AAE" w:rsidP="002A6075">
            <w:pPr>
              <w:pStyle w:val="TableBodyText"/>
              <w:ind w:left="113"/>
              <w:rPr>
                <w:rFonts w:cs="Arial"/>
                <w:sz w:val="18"/>
                <w:szCs w:val="18"/>
              </w:rPr>
            </w:pPr>
            <w:r w:rsidRPr="00D10074">
              <w:rPr>
                <w:sz w:val="18"/>
                <w:szCs w:val="18"/>
              </w:rPr>
              <w:t>Joint filling (i.e. filling the voids between individual segmental or block pavers)</w:t>
            </w:r>
          </w:p>
        </w:tc>
        <w:tc>
          <w:tcPr>
            <w:tcW w:w="1843" w:type="dxa"/>
            <w:shd w:val="clear" w:color="auto" w:fill="D9D9D9"/>
          </w:tcPr>
          <w:p w14:paraId="5C9802DD" w14:textId="77777777" w:rsidR="00124AAE" w:rsidRPr="00D10074" w:rsidRDefault="00124AAE" w:rsidP="00531C8A">
            <w:pPr>
              <w:pStyle w:val="TableBodyText"/>
              <w:rPr>
                <w:sz w:val="18"/>
                <w:szCs w:val="18"/>
              </w:rPr>
            </w:pPr>
            <w:r w:rsidRPr="00D10074">
              <w:rPr>
                <w:sz w:val="18"/>
                <w:szCs w:val="18"/>
              </w:rPr>
              <w:t>Type C</w:t>
            </w:r>
          </w:p>
        </w:tc>
      </w:tr>
      <w:tr w:rsidR="00124AAE" w:rsidRPr="00D10074" w14:paraId="4D895D31" w14:textId="77777777" w:rsidTr="00531C8A">
        <w:tc>
          <w:tcPr>
            <w:tcW w:w="7088" w:type="dxa"/>
            <w:shd w:val="clear" w:color="auto" w:fill="D9D9D9"/>
          </w:tcPr>
          <w:p w14:paraId="3C565A09" w14:textId="77777777" w:rsidR="00124AAE" w:rsidRPr="00D10074" w:rsidRDefault="00124AAE" w:rsidP="002A6075">
            <w:pPr>
              <w:pStyle w:val="TableBodyText"/>
              <w:ind w:left="113"/>
              <w:rPr>
                <w:rFonts w:cs="Arial"/>
                <w:sz w:val="18"/>
                <w:szCs w:val="18"/>
              </w:rPr>
            </w:pPr>
            <w:r w:rsidRPr="00D10074">
              <w:rPr>
                <w:sz w:val="18"/>
                <w:szCs w:val="18"/>
              </w:rPr>
              <w:t>Drainage medium</w:t>
            </w:r>
          </w:p>
        </w:tc>
        <w:tc>
          <w:tcPr>
            <w:tcW w:w="1843" w:type="dxa"/>
            <w:shd w:val="clear" w:color="auto" w:fill="D9D9D9"/>
          </w:tcPr>
          <w:p w14:paraId="57C8CDBB" w14:textId="77777777" w:rsidR="00124AAE" w:rsidRPr="00D10074" w:rsidRDefault="00124AAE" w:rsidP="00531C8A">
            <w:pPr>
              <w:pStyle w:val="TableBodyText"/>
              <w:rPr>
                <w:sz w:val="18"/>
                <w:szCs w:val="18"/>
              </w:rPr>
            </w:pPr>
            <w:r w:rsidRPr="00D10074">
              <w:rPr>
                <w:sz w:val="18"/>
                <w:szCs w:val="18"/>
              </w:rPr>
              <w:t>Type D</w:t>
            </w:r>
          </w:p>
        </w:tc>
      </w:tr>
      <w:tr w:rsidR="00124AAE" w:rsidRPr="00D10074" w14:paraId="5CFF236E" w14:textId="77777777" w:rsidTr="00531C8A">
        <w:tc>
          <w:tcPr>
            <w:tcW w:w="7088" w:type="dxa"/>
            <w:shd w:val="clear" w:color="auto" w:fill="D9D9D9"/>
          </w:tcPr>
          <w:p w14:paraId="29C90DF9" w14:textId="7D505F4E" w:rsidR="00124AAE" w:rsidRPr="00D10074" w:rsidRDefault="00124AAE" w:rsidP="002A6075">
            <w:pPr>
              <w:pStyle w:val="TableBodyText"/>
              <w:ind w:left="113"/>
              <w:rPr>
                <w:rFonts w:cs="Arial"/>
                <w:sz w:val="18"/>
                <w:szCs w:val="18"/>
              </w:rPr>
            </w:pPr>
            <w:r w:rsidRPr="00D10074">
              <w:rPr>
                <w:sz w:val="18"/>
                <w:szCs w:val="18"/>
              </w:rPr>
              <w:t xml:space="preserve">Embankment (core zone) </w:t>
            </w:r>
            <w:r w:rsidR="0084536A" w:rsidRPr="00D10074">
              <w:rPr>
                <w:sz w:val="18"/>
                <w:szCs w:val="18"/>
              </w:rPr>
              <w:t>fill</w:t>
            </w:r>
            <w:r w:rsidR="0084536A" w:rsidRPr="00D10074">
              <w:rPr>
                <w:position w:val="6"/>
                <w:sz w:val="18"/>
                <w:szCs w:val="18"/>
              </w:rPr>
              <w:t xml:space="preserve"> (</w:t>
            </w:r>
            <w:r w:rsidRPr="00D10074">
              <w:rPr>
                <w:position w:val="6"/>
                <w:sz w:val="18"/>
                <w:szCs w:val="18"/>
              </w:rPr>
              <w:t>2)</w:t>
            </w:r>
          </w:p>
        </w:tc>
        <w:tc>
          <w:tcPr>
            <w:tcW w:w="1843" w:type="dxa"/>
            <w:shd w:val="clear" w:color="auto" w:fill="D9D9D9"/>
          </w:tcPr>
          <w:p w14:paraId="2129D5E3" w14:textId="77777777" w:rsidR="00124AAE" w:rsidRPr="00D10074" w:rsidRDefault="00124AAE" w:rsidP="00531C8A">
            <w:pPr>
              <w:pStyle w:val="TableBodyText"/>
              <w:rPr>
                <w:sz w:val="18"/>
                <w:szCs w:val="18"/>
              </w:rPr>
            </w:pPr>
            <w:r w:rsidRPr="00D10074">
              <w:rPr>
                <w:sz w:val="18"/>
                <w:szCs w:val="18"/>
              </w:rPr>
              <w:t>Type E</w:t>
            </w:r>
          </w:p>
        </w:tc>
      </w:tr>
      <w:tr w:rsidR="00124AAE" w:rsidRPr="00D10074" w14:paraId="1B03DCB2" w14:textId="77777777" w:rsidTr="00531C8A">
        <w:tc>
          <w:tcPr>
            <w:tcW w:w="7088" w:type="dxa"/>
            <w:shd w:val="clear" w:color="auto" w:fill="D9D9D9"/>
          </w:tcPr>
          <w:p w14:paraId="42FF151E" w14:textId="77777777" w:rsidR="00124AAE" w:rsidRPr="00D10074" w:rsidRDefault="00124AAE" w:rsidP="002A6075">
            <w:pPr>
              <w:pStyle w:val="TableBodyText"/>
              <w:ind w:left="113"/>
              <w:rPr>
                <w:rFonts w:cs="Arial"/>
                <w:sz w:val="18"/>
                <w:szCs w:val="18"/>
              </w:rPr>
            </w:pPr>
            <w:r w:rsidRPr="00D10074">
              <w:rPr>
                <w:sz w:val="18"/>
                <w:szCs w:val="18"/>
              </w:rPr>
              <w:t>Landscaping</w:t>
            </w:r>
          </w:p>
        </w:tc>
        <w:tc>
          <w:tcPr>
            <w:tcW w:w="1843" w:type="dxa"/>
            <w:shd w:val="clear" w:color="auto" w:fill="D9D9D9"/>
          </w:tcPr>
          <w:p w14:paraId="4ED9F7CA" w14:textId="77777777" w:rsidR="00124AAE" w:rsidRPr="00D10074" w:rsidRDefault="00124AAE" w:rsidP="00531C8A">
            <w:pPr>
              <w:pStyle w:val="TableBodyText"/>
              <w:rPr>
                <w:sz w:val="18"/>
                <w:szCs w:val="18"/>
              </w:rPr>
            </w:pPr>
            <w:r w:rsidRPr="00D10074">
              <w:rPr>
                <w:sz w:val="18"/>
                <w:szCs w:val="18"/>
              </w:rPr>
              <w:t>Type F</w:t>
            </w:r>
          </w:p>
        </w:tc>
      </w:tr>
      <w:tr w:rsidR="00FD1834" w:rsidRPr="00D10074" w14:paraId="393B60EE" w14:textId="77777777" w:rsidTr="00531C8A">
        <w:tc>
          <w:tcPr>
            <w:tcW w:w="7088" w:type="dxa"/>
            <w:shd w:val="clear" w:color="auto" w:fill="D9D9D9"/>
          </w:tcPr>
          <w:p w14:paraId="4A3C4548" w14:textId="7C11F568" w:rsidR="00FD1834" w:rsidRPr="00D10074" w:rsidRDefault="00CB63DA" w:rsidP="002A6075">
            <w:pPr>
              <w:pStyle w:val="TableBodyText"/>
              <w:ind w:left="113"/>
              <w:rPr>
                <w:sz w:val="18"/>
                <w:szCs w:val="18"/>
              </w:rPr>
            </w:pPr>
            <w:r w:rsidRPr="00D10074">
              <w:rPr>
                <w:sz w:val="18"/>
                <w:szCs w:val="18"/>
              </w:rPr>
              <w:t>Partial aggregate replacement in asphalt</w:t>
            </w:r>
            <w:r w:rsidRPr="00D10074">
              <w:rPr>
                <w:sz w:val="18"/>
                <w:szCs w:val="18"/>
              </w:rPr>
              <w:tab/>
            </w:r>
          </w:p>
        </w:tc>
        <w:tc>
          <w:tcPr>
            <w:tcW w:w="1843" w:type="dxa"/>
            <w:shd w:val="clear" w:color="auto" w:fill="D9D9D9"/>
          </w:tcPr>
          <w:p w14:paraId="053ABB98" w14:textId="58009A6E" w:rsidR="00FD1834" w:rsidRPr="00D10074" w:rsidRDefault="00CB63DA" w:rsidP="00531C8A">
            <w:pPr>
              <w:pStyle w:val="TableBodyText"/>
              <w:rPr>
                <w:sz w:val="18"/>
                <w:szCs w:val="18"/>
              </w:rPr>
            </w:pPr>
            <w:r w:rsidRPr="00D10074">
              <w:rPr>
                <w:sz w:val="18"/>
                <w:szCs w:val="18"/>
              </w:rPr>
              <w:t>Type G</w:t>
            </w:r>
          </w:p>
        </w:tc>
      </w:tr>
    </w:tbl>
    <w:p w14:paraId="75F1308A" w14:textId="77777777" w:rsidR="009840D4" w:rsidRPr="00D10074" w:rsidRDefault="009840D4" w:rsidP="003131DA">
      <w:pPr>
        <w:pStyle w:val="NoteHeading"/>
      </w:pPr>
      <w:bookmarkStart w:id="43" w:name="_Toc25577079"/>
      <w:bookmarkStart w:id="44" w:name="_Ref15291808"/>
      <w:bookmarkEnd w:id="29"/>
      <w:bookmarkEnd w:id="30"/>
      <w:bookmarkEnd w:id="41"/>
      <w:r w:rsidRPr="00D10074">
        <w:t>Notes:</w:t>
      </w:r>
    </w:p>
    <w:p w14:paraId="618A4120" w14:textId="18285D70" w:rsidR="00940C1B" w:rsidRPr="00D10074" w:rsidRDefault="00940C1B" w:rsidP="003131DA">
      <w:pPr>
        <w:pStyle w:val="Notes"/>
        <w:numPr>
          <w:ilvl w:val="0"/>
          <w:numId w:val="27"/>
        </w:numPr>
      </w:pPr>
      <w:bookmarkStart w:id="45" w:name="_Hlk86767944"/>
      <w:r w:rsidRPr="00D10074">
        <w:t>These grading classifications do not apply to RCG for partial aggregate replacement for use in granular materials.</w:t>
      </w:r>
    </w:p>
    <w:bookmarkEnd w:id="45"/>
    <w:p w14:paraId="7068E174" w14:textId="1B0622F8" w:rsidR="009840D4" w:rsidRPr="00D10074" w:rsidRDefault="00940C1B" w:rsidP="003131DA">
      <w:pPr>
        <w:pStyle w:val="Notes"/>
      </w:pPr>
      <w:r w:rsidRPr="00D10074">
        <w:t xml:space="preserve">RCG </w:t>
      </w:r>
      <w:r w:rsidR="006548C6" w:rsidRPr="00D10074">
        <w:t>must</w:t>
      </w:r>
      <w:r w:rsidRPr="00D10074">
        <w:t xml:space="preserve"> be used in the core zone of embankments. RCG </w:t>
      </w:r>
      <w:r w:rsidR="006548C6" w:rsidRPr="00D10074">
        <w:t>must</w:t>
      </w:r>
      <w:r w:rsidRPr="00D10074">
        <w:t xml:space="preserve"> not be placed within upper or outer zones of the embankment.</w:t>
      </w:r>
    </w:p>
    <w:p w14:paraId="78B27B52" w14:textId="0A0C9372" w:rsidR="00940C1B" w:rsidRPr="00D10074" w:rsidRDefault="004327F8" w:rsidP="004327F8">
      <w:pPr>
        <w:pStyle w:val="Bodynumbered1"/>
      </w:pPr>
      <w:bookmarkStart w:id="46" w:name="13.1_General"/>
      <w:bookmarkStart w:id="47" w:name="13.2_Test_and_Inspection_Reports"/>
      <w:bookmarkStart w:id="48" w:name="_Ref83394189"/>
      <w:bookmarkEnd w:id="23"/>
      <w:bookmarkEnd w:id="24"/>
      <w:bookmarkEnd w:id="43"/>
      <w:bookmarkEnd w:id="44"/>
      <w:bookmarkEnd w:id="46"/>
      <w:bookmarkEnd w:id="47"/>
      <w:r w:rsidRPr="00D10074">
        <w:t xml:space="preserve">The </w:t>
      </w:r>
      <w:bookmarkStart w:id="49" w:name="_Hlk149133782"/>
      <w:r w:rsidRPr="00D10074">
        <w:t>particle size distribution</w:t>
      </w:r>
      <w:bookmarkEnd w:id="49"/>
      <w:r w:rsidRPr="00D10074">
        <w:t xml:space="preserve"> must comply with Table </w:t>
      </w:r>
      <w:r w:rsidR="003415FD">
        <w:fldChar w:fldCharType="begin"/>
      </w:r>
      <w:r w:rsidR="003415FD">
        <w:instrText xml:space="preserve"> REF _Ref83394189 \r \h </w:instrText>
      </w:r>
      <w:r w:rsidR="003415FD">
        <w:fldChar w:fldCharType="separate"/>
      </w:r>
      <w:r w:rsidR="00A30D3A">
        <w:t>7.5</w:t>
      </w:r>
      <w:r w:rsidR="003415FD">
        <w:fldChar w:fldCharType="end"/>
      </w:r>
      <w:r w:rsidRPr="00D10074">
        <w:t xml:space="preserve"> for the applicable </w:t>
      </w:r>
      <w:r w:rsidR="003948FD" w:rsidRPr="00D10074">
        <w:t>g</w:t>
      </w:r>
      <w:r w:rsidRPr="00D10074">
        <w:t xml:space="preserve">rading </w:t>
      </w:r>
      <w:r w:rsidR="003948FD" w:rsidRPr="00D10074">
        <w:t>c</w:t>
      </w:r>
      <w:r w:rsidRPr="00D10074">
        <w:t xml:space="preserve">lassification </w:t>
      </w:r>
      <w:r w:rsidR="003948FD" w:rsidRPr="00D10074">
        <w:t>t</w:t>
      </w:r>
      <w:r w:rsidRPr="00D10074">
        <w:t xml:space="preserve">ype. </w:t>
      </w:r>
      <w:bookmarkStart w:id="50" w:name="_Hlk133862773"/>
      <w:r w:rsidRPr="00D10074">
        <w:t>The minimum frequency of testing is one test per Lot.</w:t>
      </w:r>
      <w:bookmarkEnd w:id="50"/>
      <w:r w:rsidRPr="00D10074">
        <w:t xml:space="preserve"> If the RCG is a component of a blend with other materials, other grading limits may apply.</w:t>
      </w:r>
      <w:bookmarkEnd w:id="48"/>
    </w:p>
    <w:p w14:paraId="512B850B" w14:textId="3BF43A08" w:rsidR="004327F8" w:rsidRPr="00D10074" w:rsidRDefault="004327F8" w:rsidP="00475F56">
      <w:pPr>
        <w:pStyle w:val="Caption"/>
        <w:rPr>
          <w:vertAlign w:val="superscript"/>
        </w:rPr>
      </w:pPr>
      <w:r w:rsidRPr="00D10074">
        <w:lastRenderedPageBreak/>
        <w:t xml:space="preserve">Table </w:t>
      </w:r>
      <w:r w:rsidR="003415FD">
        <w:fldChar w:fldCharType="begin"/>
      </w:r>
      <w:r w:rsidR="003415FD">
        <w:instrText xml:space="preserve"> REF _Ref83394189 \r \h </w:instrText>
      </w:r>
      <w:r w:rsidR="003415FD">
        <w:fldChar w:fldCharType="separate"/>
      </w:r>
      <w:r w:rsidR="00A30D3A">
        <w:t>7.5</w:t>
      </w:r>
      <w:r w:rsidR="003415FD">
        <w:fldChar w:fldCharType="end"/>
      </w:r>
      <w:r w:rsidRPr="00D10074">
        <w:t>:</w:t>
      </w:r>
      <w:r w:rsidRPr="00D10074">
        <w:tab/>
      </w:r>
      <w:r w:rsidR="00475F56" w:rsidRPr="00D10074">
        <w:t xml:space="preserve">Particle </w:t>
      </w:r>
      <w:r w:rsidR="00273803" w:rsidRPr="00D10074">
        <w:t xml:space="preserve">Size </w:t>
      </w:r>
      <w:r w:rsidR="008E215E" w:rsidRPr="00D10074">
        <w:t>Distribution</w:t>
      </w:r>
      <w:r w:rsidR="008E215E" w:rsidRPr="00D10074">
        <w:rPr>
          <w:vertAlign w:val="superscript"/>
        </w:rPr>
        <w:t xml:space="preserve"> (</w:t>
      </w:r>
      <w:r w:rsidR="00475F56" w:rsidRPr="00D10074">
        <w:rPr>
          <w:vertAlign w:val="superscript"/>
        </w:rPr>
        <w:t>1)</w:t>
      </w:r>
    </w:p>
    <w:tbl>
      <w:tblPr>
        <w:tblW w:w="8931" w:type="dxa"/>
        <w:tblInd w:w="5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1215"/>
        <w:gridCol w:w="1102"/>
        <w:gridCol w:w="1102"/>
        <w:gridCol w:w="1102"/>
        <w:gridCol w:w="1103"/>
        <w:gridCol w:w="1102"/>
        <w:gridCol w:w="1102"/>
        <w:gridCol w:w="1103"/>
      </w:tblGrid>
      <w:tr w:rsidR="00CB63DA" w:rsidRPr="00D10074" w14:paraId="38669129" w14:textId="337F03D0" w:rsidTr="0031779C">
        <w:tc>
          <w:tcPr>
            <w:tcW w:w="1215" w:type="dxa"/>
            <w:vMerge w:val="restart"/>
            <w:shd w:val="clear" w:color="auto" w:fill="A6A6A6" w:themeFill="background1" w:themeFillShade="A6"/>
            <w:vAlign w:val="center"/>
          </w:tcPr>
          <w:p w14:paraId="7D6F6BA9" w14:textId="45CE84DD" w:rsidR="00CB63DA" w:rsidRPr="00D10074" w:rsidRDefault="00CB63DA" w:rsidP="00D316EA">
            <w:pPr>
              <w:pStyle w:val="TableHeading"/>
              <w:ind w:left="79"/>
              <w:jc w:val="center"/>
              <w:rPr>
                <w:bCs/>
                <w:sz w:val="18"/>
                <w:szCs w:val="18"/>
              </w:rPr>
            </w:pPr>
            <w:r w:rsidRPr="00D10074">
              <w:rPr>
                <w:color w:val="auto"/>
                <w:sz w:val="18"/>
                <w:szCs w:val="18"/>
              </w:rPr>
              <w:t>AS Sieve</w:t>
            </w:r>
            <w:r w:rsidRPr="00D10074">
              <w:rPr>
                <w:color w:val="auto"/>
                <w:sz w:val="18"/>
                <w:szCs w:val="18"/>
              </w:rPr>
              <w:br/>
              <w:t>(mm)</w:t>
            </w:r>
          </w:p>
        </w:tc>
        <w:tc>
          <w:tcPr>
            <w:tcW w:w="7716" w:type="dxa"/>
            <w:gridSpan w:val="7"/>
            <w:shd w:val="clear" w:color="auto" w:fill="A6A6A6" w:themeFill="background1" w:themeFillShade="A6"/>
          </w:tcPr>
          <w:p w14:paraId="2AC20267" w14:textId="541F3A8F" w:rsidR="00CB63DA" w:rsidRPr="00D10074" w:rsidRDefault="00CB63DA" w:rsidP="00D316EA">
            <w:pPr>
              <w:pStyle w:val="TableHeading"/>
              <w:jc w:val="center"/>
              <w:rPr>
                <w:color w:val="auto"/>
                <w:sz w:val="18"/>
                <w:szCs w:val="18"/>
              </w:rPr>
            </w:pPr>
            <w:r w:rsidRPr="00D10074">
              <w:rPr>
                <w:color w:val="auto"/>
                <w:sz w:val="18"/>
                <w:szCs w:val="18"/>
              </w:rPr>
              <w:t>Percentage Passing by Mass for Each Grading Classification</w:t>
            </w:r>
          </w:p>
        </w:tc>
      </w:tr>
      <w:tr w:rsidR="00CB63DA" w:rsidRPr="00D10074" w14:paraId="3DF9C4C1" w14:textId="169C8B68" w:rsidTr="0031779C">
        <w:tc>
          <w:tcPr>
            <w:tcW w:w="1215" w:type="dxa"/>
            <w:vMerge/>
            <w:shd w:val="clear" w:color="auto" w:fill="A6A6A6" w:themeFill="background1" w:themeFillShade="A6"/>
          </w:tcPr>
          <w:p w14:paraId="51DBB58C" w14:textId="77777777" w:rsidR="00CB63DA" w:rsidRPr="00D10074" w:rsidRDefault="00CB63DA" w:rsidP="002A6075">
            <w:pPr>
              <w:pStyle w:val="TableBodyText"/>
              <w:ind w:left="113"/>
              <w:rPr>
                <w:rFonts w:cs="Arial"/>
                <w:b/>
                <w:bCs w:val="0"/>
                <w:sz w:val="18"/>
                <w:szCs w:val="18"/>
              </w:rPr>
            </w:pPr>
          </w:p>
        </w:tc>
        <w:tc>
          <w:tcPr>
            <w:tcW w:w="1102" w:type="dxa"/>
            <w:shd w:val="clear" w:color="auto" w:fill="A6A6A6" w:themeFill="background1" w:themeFillShade="A6"/>
          </w:tcPr>
          <w:p w14:paraId="74D0AC06" w14:textId="77777777" w:rsidR="00CB63DA" w:rsidRPr="00D10074" w:rsidRDefault="00CB63DA" w:rsidP="00D678E0">
            <w:pPr>
              <w:pStyle w:val="TableHeading"/>
              <w:jc w:val="center"/>
              <w:rPr>
                <w:color w:val="auto"/>
                <w:sz w:val="18"/>
                <w:szCs w:val="18"/>
              </w:rPr>
            </w:pPr>
            <w:r w:rsidRPr="00D10074">
              <w:rPr>
                <w:color w:val="auto"/>
                <w:sz w:val="18"/>
                <w:szCs w:val="18"/>
              </w:rPr>
              <w:t>Type A</w:t>
            </w:r>
          </w:p>
        </w:tc>
        <w:tc>
          <w:tcPr>
            <w:tcW w:w="1102" w:type="dxa"/>
            <w:shd w:val="clear" w:color="auto" w:fill="A6A6A6" w:themeFill="background1" w:themeFillShade="A6"/>
          </w:tcPr>
          <w:p w14:paraId="04645F2A" w14:textId="77777777" w:rsidR="00CB63DA" w:rsidRPr="00D10074" w:rsidRDefault="00CB63DA" w:rsidP="00D678E0">
            <w:pPr>
              <w:pStyle w:val="TableHeading"/>
              <w:jc w:val="center"/>
              <w:rPr>
                <w:color w:val="auto"/>
                <w:sz w:val="18"/>
                <w:szCs w:val="18"/>
              </w:rPr>
            </w:pPr>
            <w:r w:rsidRPr="00D10074">
              <w:rPr>
                <w:color w:val="auto"/>
                <w:sz w:val="18"/>
                <w:szCs w:val="18"/>
              </w:rPr>
              <w:t>Type B</w:t>
            </w:r>
          </w:p>
        </w:tc>
        <w:tc>
          <w:tcPr>
            <w:tcW w:w="1102" w:type="dxa"/>
            <w:shd w:val="clear" w:color="auto" w:fill="A6A6A6" w:themeFill="background1" w:themeFillShade="A6"/>
          </w:tcPr>
          <w:p w14:paraId="19A380D6" w14:textId="77777777" w:rsidR="00CB63DA" w:rsidRPr="00D10074" w:rsidRDefault="00CB63DA" w:rsidP="00D678E0">
            <w:pPr>
              <w:pStyle w:val="TableHeading"/>
              <w:jc w:val="center"/>
              <w:rPr>
                <w:color w:val="auto"/>
                <w:sz w:val="18"/>
                <w:szCs w:val="18"/>
              </w:rPr>
            </w:pPr>
            <w:r w:rsidRPr="00D10074">
              <w:rPr>
                <w:color w:val="auto"/>
                <w:sz w:val="18"/>
                <w:szCs w:val="18"/>
              </w:rPr>
              <w:t>Type C</w:t>
            </w:r>
          </w:p>
        </w:tc>
        <w:tc>
          <w:tcPr>
            <w:tcW w:w="1103" w:type="dxa"/>
            <w:shd w:val="clear" w:color="auto" w:fill="A6A6A6" w:themeFill="background1" w:themeFillShade="A6"/>
          </w:tcPr>
          <w:p w14:paraId="30925C86" w14:textId="77777777" w:rsidR="00CB63DA" w:rsidRPr="00D10074" w:rsidRDefault="00CB63DA" w:rsidP="00D678E0">
            <w:pPr>
              <w:pStyle w:val="TableHeading"/>
              <w:jc w:val="center"/>
              <w:rPr>
                <w:color w:val="auto"/>
                <w:sz w:val="18"/>
                <w:szCs w:val="18"/>
              </w:rPr>
            </w:pPr>
            <w:r w:rsidRPr="00D10074">
              <w:rPr>
                <w:color w:val="auto"/>
                <w:sz w:val="18"/>
                <w:szCs w:val="18"/>
              </w:rPr>
              <w:t>Type D</w:t>
            </w:r>
          </w:p>
        </w:tc>
        <w:tc>
          <w:tcPr>
            <w:tcW w:w="1102" w:type="dxa"/>
            <w:shd w:val="clear" w:color="auto" w:fill="A6A6A6" w:themeFill="background1" w:themeFillShade="A6"/>
          </w:tcPr>
          <w:p w14:paraId="79F43ECB" w14:textId="77777777" w:rsidR="00CB63DA" w:rsidRPr="00D10074" w:rsidRDefault="00CB63DA" w:rsidP="00D678E0">
            <w:pPr>
              <w:pStyle w:val="TableHeading"/>
              <w:jc w:val="center"/>
              <w:rPr>
                <w:color w:val="auto"/>
                <w:sz w:val="18"/>
                <w:szCs w:val="18"/>
              </w:rPr>
            </w:pPr>
            <w:r w:rsidRPr="00D10074">
              <w:rPr>
                <w:color w:val="auto"/>
                <w:sz w:val="18"/>
                <w:szCs w:val="18"/>
              </w:rPr>
              <w:t>Type E</w:t>
            </w:r>
          </w:p>
        </w:tc>
        <w:tc>
          <w:tcPr>
            <w:tcW w:w="1102" w:type="dxa"/>
            <w:shd w:val="clear" w:color="auto" w:fill="A6A6A6" w:themeFill="background1" w:themeFillShade="A6"/>
          </w:tcPr>
          <w:p w14:paraId="2A19E1D7" w14:textId="77777777" w:rsidR="00CB63DA" w:rsidRPr="00D10074" w:rsidRDefault="00CB63DA" w:rsidP="00D678E0">
            <w:pPr>
              <w:pStyle w:val="TableHeading"/>
              <w:jc w:val="center"/>
              <w:rPr>
                <w:color w:val="auto"/>
                <w:sz w:val="18"/>
                <w:szCs w:val="18"/>
              </w:rPr>
            </w:pPr>
            <w:r w:rsidRPr="00D10074">
              <w:rPr>
                <w:color w:val="auto"/>
                <w:sz w:val="18"/>
                <w:szCs w:val="18"/>
              </w:rPr>
              <w:t>Type F</w:t>
            </w:r>
          </w:p>
        </w:tc>
        <w:tc>
          <w:tcPr>
            <w:tcW w:w="1103" w:type="dxa"/>
            <w:shd w:val="clear" w:color="auto" w:fill="A6A6A6" w:themeFill="background1" w:themeFillShade="A6"/>
          </w:tcPr>
          <w:p w14:paraId="0E9CC291" w14:textId="2806CA85" w:rsidR="00CB63DA" w:rsidRPr="00D10074" w:rsidRDefault="00CB63DA" w:rsidP="00D678E0">
            <w:pPr>
              <w:pStyle w:val="TableHeading"/>
              <w:jc w:val="center"/>
              <w:rPr>
                <w:color w:val="auto"/>
                <w:sz w:val="18"/>
                <w:szCs w:val="18"/>
              </w:rPr>
            </w:pPr>
            <w:r w:rsidRPr="00D10074">
              <w:rPr>
                <w:color w:val="auto"/>
                <w:sz w:val="18"/>
                <w:szCs w:val="18"/>
              </w:rPr>
              <w:t>Type G</w:t>
            </w:r>
          </w:p>
        </w:tc>
      </w:tr>
      <w:tr w:rsidR="00CB63DA" w:rsidRPr="00D10074" w14:paraId="7D8A061D" w14:textId="476EE57B" w:rsidTr="0031779C">
        <w:tc>
          <w:tcPr>
            <w:tcW w:w="1215" w:type="dxa"/>
            <w:shd w:val="clear" w:color="auto" w:fill="D9D9D9"/>
            <w:vAlign w:val="center"/>
          </w:tcPr>
          <w:p w14:paraId="31FDFD2D" w14:textId="77777777" w:rsidR="00CB63DA" w:rsidRPr="00D10074" w:rsidRDefault="00CB63DA" w:rsidP="0042332C">
            <w:pPr>
              <w:pStyle w:val="TableBodyText"/>
              <w:rPr>
                <w:sz w:val="18"/>
                <w:szCs w:val="18"/>
              </w:rPr>
            </w:pPr>
            <w:r w:rsidRPr="00D10074">
              <w:rPr>
                <w:sz w:val="18"/>
                <w:szCs w:val="18"/>
              </w:rPr>
              <w:t>9.50</w:t>
            </w:r>
          </w:p>
        </w:tc>
        <w:tc>
          <w:tcPr>
            <w:tcW w:w="1102" w:type="dxa"/>
            <w:shd w:val="clear" w:color="auto" w:fill="D9D9D9"/>
            <w:vAlign w:val="center"/>
          </w:tcPr>
          <w:p w14:paraId="77E671C0" w14:textId="77777777" w:rsidR="00CB63DA" w:rsidRPr="00D10074" w:rsidRDefault="00CB63DA" w:rsidP="0042332C">
            <w:pPr>
              <w:pStyle w:val="TableBodyText"/>
              <w:jc w:val="center"/>
              <w:rPr>
                <w:sz w:val="18"/>
                <w:szCs w:val="18"/>
              </w:rPr>
            </w:pPr>
            <w:r w:rsidRPr="00D10074">
              <w:rPr>
                <w:sz w:val="18"/>
                <w:szCs w:val="18"/>
              </w:rPr>
              <w:t>100</w:t>
            </w:r>
          </w:p>
        </w:tc>
        <w:tc>
          <w:tcPr>
            <w:tcW w:w="1102" w:type="dxa"/>
            <w:shd w:val="clear" w:color="auto" w:fill="D9D9D9"/>
            <w:vAlign w:val="center"/>
          </w:tcPr>
          <w:p w14:paraId="5EA6BAC0" w14:textId="77777777" w:rsidR="00CB63DA" w:rsidRPr="00D10074" w:rsidRDefault="00CB63DA" w:rsidP="0042332C">
            <w:pPr>
              <w:pStyle w:val="TableBodyText"/>
              <w:jc w:val="center"/>
              <w:rPr>
                <w:sz w:val="18"/>
                <w:szCs w:val="18"/>
              </w:rPr>
            </w:pPr>
            <w:r w:rsidRPr="00D10074">
              <w:rPr>
                <w:sz w:val="18"/>
                <w:szCs w:val="18"/>
              </w:rPr>
              <w:t>100</w:t>
            </w:r>
          </w:p>
        </w:tc>
        <w:tc>
          <w:tcPr>
            <w:tcW w:w="1102" w:type="dxa"/>
            <w:shd w:val="clear" w:color="auto" w:fill="D9D9D9"/>
            <w:vAlign w:val="center"/>
          </w:tcPr>
          <w:p w14:paraId="3D573616" w14:textId="77777777" w:rsidR="00CB63DA" w:rsidRPr="00D10074" w:rsidRDefault="00CB63DA" w:rsidP="0042332C">
            <w:pPr>
              <w:pStyle w:val="TableBodyText"/>
              <w:jc w:val="center"/>
              <w:rPr>
                <w:sz w:val="18"/>
                <w:szCs w:val="18"/>
              </w:rPr>
            </w:pPr>
            <w:r w:rsidRPr="00D10074">
              <w:rPr>
                <w:sz w:val="18"/>
                <w:szCs w:val="18"/>
              </w:rPr>
              <w:t>–</w:t>
            </w:r>
          </w:p>
        </w:tc>
        <w:tc>
          <w:tcPr>
            <w:tcW w:w="1103" w:type="dxa"/>
            <w:shd w:val="clear" w:color="auto" w:fill="D9D9D9"/>
            <w:vAlign w:val="center"/>
          </w:tcPr>
          <w:p w14:paraId="55C2B7C4" w14:textId="77777777" w:rsidR="00CB63DA" w:rsidRPr="00D10074" w:rsidRDefault="00CB63DA" w:rsidP="0042332C">
            <w:pPr>
              <w:pStyle w:val="TableBodyText"/>
              <w:jc w:val="center"/>
              <w:rPr>
                <w:sz w:val="18"/>
                <w:szCs w:val="18"/>
              </w:rPr>
            </w:pPr>
            <w:r w:rsidRPr="00D10074">
              <w:rPr>
                <w:sz w:val="18"/>
                <w:szCs w:val="18"/>
              </w:rPr>
              <w:t>–</w:t>
            </w:r>
          </w:p>
        </w:tc>
        <w:tc>
          <w:tcPr>
            <w:tcW w:w="1102" w:type="dxa"/>
            <w:shd w:val="clear" w:color="auto" w:fill="D9D9D9"/>
            <w:vAlign w:val="center"/>
          </w:tcPr>
          <w:p w14:paraId="2A10C8E0" w14:textId="77777777" w:rsidR="00CB63DA" w:rsidRPr="00D10074" w:rsidRDefault="00CB63DA" w:rsidP="0042332C">
            <w:pPr>
              <w:pStyle w:val="TableBodyText"/>
              <w:jc w:val="center"/>
              <w:rPr>
                <w:sz w:val="18"/>
                <w:szCs w:val="18"/>
              </w:rPr>
            </w:pPr>
            <w:r w:rsidRPr="00D10074">
              <w:rPr>
                <w:sz w:val="18"/>
                <w:szCs w:val="18"/>
              </w:rPr>
              <w:t>100</w:t>
            </w:r>
          </w:p>
        </w:tc>
        <w:tc>
          <w:tcPr>
            <w:tcW w:w="1102" w:type="dxa"/>
            <w:shd w:val="clear" w:color="auto" w:fill="D9D9D9"/>
            <w:vAlign w:val="center"/>
          </w:tcPr>
          <w:p w14:paraId="60F6F7B7" w14:textId="77777777" w:rsidR="00CB63DA" w:rsidRPr="00D10074" w:rsidRDefault="00CB63DA" w:rsidP="0042332C">
            <w:pPr>
              <w:pStyle w:val="TableBodyText"/>
              <w:jc w:val="center"/>
              <w:rPr>
                <w:sz w:val="18"/>
                <w:szCs w:val="18"/>
              </w:rPr>
            </w:pPr>
            <w:r w:rsidRPr="00D10074">
              <w:rPr>
                <w:sz w:val="18"/>
                <w:szCs w:val="18"/>
              </w:rPr>
              <w:t>100</w:t>
            </w:r>
          </w:p>
        </w:tc>
        <w:tc>
          <w:tcPr>
            <w:tcW w:w="1103" w:type="dxa"/>
            <w:shd w:val="clear" w:color="auto" w:fill="D9D9D9"/>
          </w:tcPr>
          <w:p w14:paraId="04666A8A" w14:textId="77777777" w:rsidR="00CB63DA" w:rsidRPr="00D10074" w:rsidRDefault="00CB63DA" w:rsidP="0042332C">
            <w:pPr>
              <w:pStyle w:val="TableBodyText"/>
              <w:jc w:val="center"/>
              <w:rPr>
                <w:sz w:val="18"/>
                <w:szCs w:val="18"/>
              </w:rPr>
            </w:pPr>
          </w:p>
        </w:tc>
      </w:tr>
      <w:tr w:rsidR="00285302" w:rsidRPr="00D10074" w14:paraId="792C739D" w14:textId="77777777" w:rsidTr="005C6A0E">
        <w:tc>
          <w:tcPr>
            <w:tcW w:w="1215" w:type="dxa"/>
            <w:shd w:val="clear" w:color="auto" w:fill="D9D9D9"/>
            <w:vAlign w:val="center"/>
          </w:tcPr>
          <w:p w14:paraId="405C9466" w14:textId="1E3434AB" w:rsidR="00285302" w:rsidRPr="00D10074" w:rsidRDefault="00285302" w:rsidP="00285302">
            <w:pPr>
              <w:pStyle w:val="TableBodyText"/>
              <w:rPr>
                <w:sz w:val="18"/>
                <w:szCs w:val="18"/>
              </w:rPr>
            </w:pPr>
            <w:r w:rsidRPr="00D10074">
              <w:rPr>
                <w:sz w:val="18"/>
                <w:szCs w:val="18"/>
              </w:rPr>
              <w:t>6.7</w:t>
            </w:r>
          </w:p>
        </w:tc>
        <w:tc>
          <w:tcPr>
            <w:tcW w:w="1102" w:type="dxa"/>
            <w:shd w:val="clear" w:color="auto" w:fill="D9D9D9"/>
          </w:tcPr>
          <w:p w14:paraId="3AB5D895" w14:textId="66B632D4"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tcPr>
          <w:p w14:paraId="6D42A990" w14:textId="76C8E4BA"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tcPr>
          <w:p w14:paraId="316FE68F" w14:textId="13FB9B20"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2CECCF7F" w14:textId="367ACF4D"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tcPr>
          <w:p w14:paraId="13E102EC" w14:textId="206F8B0D"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tcPr>
          <w:p w14:paraId="3A39CBA9" w14:textId="72362F89"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5646E783" w14:textId="32A50129" w:rsidR="00285302" w:rsidRPr="00D10074" w:rsidRDefault="00285302" w:rsidP="00285302">
            <w:pPr>
              <w:pStyle w:val="TableBodyText"/>
              <w:jc w:val="center"/>
              <w:rPr>
                <w:sz w:val="18"/>
                <w:szCs w:val="18"/>
              </w:rPr>
            </w:pPr>
            <w:r w:rsidRPr="00D10074">
              <w:rPr>
                <w:sz w:val="18"/>
                <w:szCs w:val="18"/>
              </w:rPr>
              <w:t>100</w:t>
            </w:r>
          </w:p>
        </w:tc>
      </w:tr>
      <w:tr w:rsidR="00CB63DA" w:rsidRPr="00D10074" w14:paraId="51196B1A" w14:textId="58F1A2AA" w:rsidTr="0031779C">
        <w:tc>
          <w:tcPr>
            <w:tcW w:w="1215" w:type="dxa"/>
            <w:shd w:val="clear" w:color="auto" w:fill="D9D9D9"/>
            <w:vAlign w:val="center"/>
          </w:tcPr>
          <w:p w14:paraId="3319702F" w14:textId="77777777" w:rsidR="00CB63DA" w:rsidRPr="00D10074" w:rsidRDefault="00CB63DA" w:rsidP="0042332C">
            <w:pPr>
              <w:pStyle w:val="TableBodyText"/>
              <w:rPr>
                <w:sz w:val="18"/>
                <w:szCs w:val="18"/>
              </w:rPr>
            </w:pPr>
            <w:r w:rsidRPr="00D10074">
              <w:rPr>
                <w:sz w:val="18"/>
                <w:szCs w:val="18"/>
              </w:rPr>
              <w:t>4.75</w:t>
            </w:r>
          </w:p>
        </w:tc>
        <w:tc>
          <w:tcPr>
            <w:tcW w:w="1102" w:type="dxa"/>
            <w:shd w:val="clear" w:color="auto" w:fill="D9D9D9"/>
            <w:vAlign w:val="center"/>
          </w:tcPr>
          <w:p w14:paraId="71F19968" w14:textId="625BD5FA" w:rsidR="00CB63DA" w:rsidRPr="00D10074" w:rsidRDefault="00CB63DA" w:rsidP="0042332C">
            <w:pPr>
              <w:pStyle w:val="TableBodyText"/>
              <w:jc w:val="center"/>
              <w:rPr>
                <w:sz w:val="18"/>
                <w:szCs w:val="18"/>
              </w:rPr>
            </w:pPr>
            <w:r w:rsidRPr="00D10074">
              <w:rPr>
                <w:sz w:val="18"/>
                <w:szCs w:val="18"/>
              </w:rPr>
              <w:t>85–100</w:t>
            </w:r>
          </w:p>
        </w:tc>
        <w:tc>
          <w:tcPr>
            <w:tcW w:w="1102" w:type="dxa"/>
            <w:shd w:val="clear" w:color="auto" w:fill="D9D9D9"/>
            <w:vAlign w:val="center"/>
          </w:tcPr>
          <w:p w14:paraId="5C971EEB" w14:textId="6A515C65" w:rsidR="00CB63DA" w:rsidRPr="00D10074" w:rsidRDefault="00CB63DA" w:rsidP="0042332C">
            <w:pPr>
              <w:pStyle w:val="TableBodyText"/>
              <w:jc w:val="center"/>
              <w:rPr>
                <w:sz w:val="18"/>
                <w:szCs w:val="18"/>
              </w:rPr>
            </w:pPr>
            <w:r w:rsidRPr="00D10074">
              <w:rPr>
                <w:sz w:val="18"/>
                <w:szCs w:val="18"/>
              </w:rPr>
              <w:t>95–100</w:t>
            </w:r>
          </w:p>
        </w:tc>
        <w:tc>
          <w:tcPr>
            <w:tcW w:w="1102" w:type="dxa"/>
            <w:shd w:val="clear" w:color="auto" w:fill="D9D9D9"/>
            <w:vAlign w:val="center"/>
          </w:tcPr>
          <w:p w14:paraId="2C8A0C31" w14:textId="77777777" w:rsidR="00CB63DA" w:rsidRPr="00D10074" w:rsidRDefault="00CB63DA" w:rsidP="0042332C">
            <w:pPr>
              <w:pStyle w:val="TableBodyText"/>
              <w:jc w:val="center"/>
              <w:rPr>
                <w:sz w:val="18"/>
                <w:szCs w:val="18"/>
              </w:rPr>
            </w:pPr>
            <w:r w:rsidRPr="00D10074">
              <w:rPr>
                <w:sz w:val="18"/>
                <w:szCs w:val="18"/>
              </w:rPr>
              <w:t>–</w:t>
            </w:r>
          </w:p>
        </w:tc>
        <w:tc>
          <w:tcPr>
            <w:tcW w:w="1103" w:type="dxa"/>
            <w:shd w:val="clear" w:color="auto" w:fill="D9D9D9"/>
            <w:vAlign w:val="center"/>
          </w:tcPr>
          <w:p w14:paraId="47028014" w14:textId="77777777" w:rsidR="00CB63DA" w:rsidRPr="00D10074" w:rsidRDefault="00CB63DA" w:rsidP="0042332C">
            <w:pPr>
              <w:pStyle w:val="TableBodyText"/>
              <w:jc w:val="center"/>
              <w:rPr>
                <w:sz w:val="18"/>
                <w:szCs w:val="18"/>
              </w:rPr>
            </w:pPr>
            <w:r w:rsidRPr="00D10074">
              <w:rPr>
                <w:sz w:val="18"/>
                <w:szCs w:val="18"/>
              </w:rPr>
              <w:t>100</w:t>
            </w:r>
          </w:p>
        </w:tc>
        <w:tc>
          <w:tcPr>
            <w:tcW w:w="1102" w:type="dxa"/>
            <w:shd w:val="clear" w:color="auto" w:fill="D9D9D9"/>
            <w:vAlign w:val="center"/>
          </w:tcPr>
          <w:p w14:paraId="45F855A8" w14:textId="4CDC9FEB" w:rsidR="00CB63DA" w:rsidRPr="00D10074" w:rsidRDefault="00CB63DA" w:rsidP="0042332C">
            <w:pPr>
              <w:pStyle w:val="TableBodyText"/>
              <w:jc w:val="center"/>
              <w:rPr>
                <w:sz w:val="18"/>
                <w:szCs w:val="18"/>
              </w:rPr>
            </w:pPr>
            <w:r w:rsidRPr="00D10074">
              <w:rPr>
                <w:sz w:val="18"/>
                <w:szCs w:val="18"/>
              </w:rPr>
              <w:t>70–100</w:t>
            </w:r>
          </w:p>
        </w:tc>
        <w:tc>
          <w:tcPr>
            <w:tcW w:w="1102" w:type="dxa"/>
            <w:shd w:val="clear" w:color="auto" w:fill="D9D9D9"/>
            <w:vAlign w:val="center"/>
          </w:tcPr>
          <w:p w14:paraId="62FAF86D" w14:textId="7C2550D6" w:rsidR="00CB63DA" w:rsidRPr="00D10074" w:rsidRDefault="00CB63DA" w:rsidP="0042332C">
            <w:pPr>
              <w:pStyle w:val="TableBodyText"/>
              <w:jc w:val="center"/>
              <w:rPr>
                <w:sz w:val="18"/>
                <w:szCs w:val="18"/>
              </w:rPr>
            </w:pPr>
            <w:r w:rsidRPr="00D10074">
              <w:rPr>
                <w:sz w:val="18"/>
                <w:szCs w:val="18"/>
              </w:rPr>
              <w:t>85–100</w:t>
            </w:r>
          </w:p>
        </w:tc>
        <w:tc>
          <w:tcPr>
            <w:tcW w:w="1103" w:type="dxa"/>
            <w:shd w:val="clear" w:color="auto" w:fill="D9D9D9"/>
          </w:tcPr>
          <w:p w14:paraId="48FA2D4C" w14:textId="6EA11530" w:rsidR="00CB63DA" w:rsidRPr="00D10074" w:rsidRDefault="00285302" w:rsidP="0042332C">
            <w:pPr>
              <w:pStyle w:val="TableBodyText"/>
              <w:jc w:val="center"/>
              <w:rPr>
                <w:sz w:val="18"/>
                <w:szCs w:val="18"/>
              </w:rPr>
            </w:pPr>
            <w:r w:rsidRPr="00D10074">
              <w:rPr>
                <w:sz w:val="18"/>
                <w:szCs w:val="18"/>
              </w:rPr>
              <w:t>98 - 100</w:t>
            </w:r>
          </w:p>
        </w:tc>
      </w:tr>
      <w:tr w:rsidR="00285302" w:rsidRPr="00D10074" w14:paraId="677533B8" w14:textId="6A9966C6" w:rsidTr="0031779C">
        <w:tc>
          <w:tcPr>
            <w:tcW w:w="1215" w:type="dxa"/>
            <w:shd w:val="clear" w:color="auto" w:fill="D9D9D9"/>
            <w:vAlign w:val="center"/>
          </w:tcPr>
          <w:p w14:paraId="572EA7CD" w14:textId="77777777" w:rsidR="00285302" w:rsidRPr="00D10074" w:rsidRDefault="00285302" w:rsidP="00285302">
            <w:pPr>
              <w:pStyle w:val="TableBodyText"/>
              <w:rPr>
                <w:sz w:val="18"/>
                <w:szCs w:val="18"/>
              </w:rPr>
            </w:pPr>
            <w:r w:rsidRPr="00D10074">
              <w:rPr>
                <w:sz w:val="18"/>
                <w:szCs w:val="18"/>
              </w:rPr>
              <w:t>2.36</w:t>
            </w:r>
          </w:p>
        </w:tc>
        <w:tc>
          <w:tcPr>
            <w:tcW w:w="1102" w:type="dxa"/>
            <w:shd w:val="clear" w:color="auto" w:fill="D9D9D9"/>
            <w:vAlign w:val="center"/>
          </w:tcPr>
          <w:p w14:paraId="33E837C5" w14:textId="5CBD7D56" w:rsidR="00285302" w:rsidRPr="00D10074" w:rsidRDefault="00285302" w:rsidP="00285302">
            <w:pPr>
              <w:pStyle w:val="TableBodyText"/>
              <w:jc w:val="center"/>
              <w:rPr>
                <w:sz w:val="18"/>
                <w:szCs w:val="18"/>
              </w:rPr>
            </w:pPr>
            <w:r w:rsidRPr="00D10074">
              <w:rPr>
                <w:sz w:val="18"/>
                <w:szCs w:val="18"/>
              </w:rPr>
              <w:t>50–100</w:t>
            </w:r>
          </w:p>
        </w:tc>
        <w:tc>
          <w:tcPr>
            <w:tcW w:w="1102" w:type="dxa"/>
            <w:shd w:val="clear" w:color="auto" w:fill="D9D9D9"/>
            <w:vAlign w:val="center"/>
          </w:tcPr>
          <w:p w14:paraId="6EB0414D" w14:textId="4216FC4E" w:rsidR="00285302" w:rsidRPr="00D10074" w:rsidRDefault="00285302" w:rsidP="00285302">
            <w:pPr>
              <w:pStyle w:val="TableBodyText"/>
              <w:jc w:val="center"/>
              <w:rPr>
                <w:sz w:val="18"/>
                <w:szCs w:val="18"/>
              </w:rPr>
            </w:pPr>
            <w:r w:rsidRPr="00D10074">
              <w:rPr>
                <w:sz w:val="18"/>
                <w:szCs w:val="18"/>
              </w:rPr>
              <w:t>80–100</w:t>
            </w:r>
          </w:p>
        </w:tc>
        <w:tc>
          <w:tcPr>
            <w:tcW w:w="1102" w:type="dxa"/>
            <w:shd w:val="clear" w:color="auto" w:fill="D9D9D9"/>
            <w:vAlign w:val="center"/>
          </w:tcPr>
          <w:p w14:paraId="7AC624C6" w14:textId="77777777" w:rsidR="00285302" w:rsidRPr="00D10074" w:rsidRDefault="00285302" w:rsidP="00285302">
            <w:pPr>
              <w:pStyle w:val="TableBodyText"/>
              <w:jc w:val="center"/>
              <w:rPr>
                <w:sz w:val="18"/>
                <w:szCs w:val="18"/>
              </w:rPr>
            </w:pPr>
            <w:r w:rsidRPr="00D10074">
              <w:rPr>
                <w:sz w:val="18"/>
                <w:szCs w:val="18"/>
              </w:rPr>
              <w:t>100</w:t>
            </w:r>
          </w:p>
        </w:tc>
        <w:tc>
          <w:tcPr>
            <w:tcW w:w="1103" w:type="dxa"/>
            <w:shd w:val="clear" w:color="auto" w:fill="D9D9D9"/>
            <w:vAlign w:val="center"/>
          </w:tcPr>
          <w:p w14:paraId="1E7DBF3C"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591E2BA6"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757D6AC0" w14:textId="77777777"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1A08BA22" w14:textId="156EB6FB" w:rsidR="00285302" w:rsidRPr="00D10074" w:rsidRDefault="00285302" w:rsidP="00285302">
            <w:pPr>
              <w:pStyle w:val="TableBodyText"/>
              <w:jc w:val="center"/>
              <w:rPr>
                <w:sz w:val="18"/>
                <w:szCs w:val="18"/>
              </w:rPr>
            </w:pPr>
            <w:r w:rsidRPr="00D10074">
              <w:rPr>
                <w:sz w:val="18"/>
                <w:szCs w:val="18"/>
              </w:rPr>
              <w:t>–</w:t>
            </w:r>
          </w:p>
        </w:tc>
      </w:tr>
      <w:tr w:rsidR="00285302" w:rsidRPr="00D10074" w14:paraId="1C6C3464" w14:textId="2BC96E44" w:rsidTr="0031779C">
        <w:tc>
          <w:tcPr>
            <w:tcW w:w="1215" w:type="dxa"/>
            <w:shd w:val="clear" w:color="auto" w:fill="D9D9D9"/>
            <w:vAlign w:val="center"/>
          </w:tcPr>
          <w:p w14:paraId="164E104F" w14:textId="77777777" w:rsidR="00285302" w:rsidRPr="00D10074" w:rsidRDefault="00285302" w:rsidP="00285302">
            <w:pPr>
              <w:pStyle w:val="TableBodyText"/>
              <w:rPr>
                <w:sz w:val="18"/>
                <w:szCs w:val="18"/>
              </w:rPr>
            </w:pPr>
            <w:r w:rsidRPr="00D10074">
              <w:rPr>
                <w:sz w:val="18"/>
                <w:szCs w:val="18"/>
              </w:rPr>
              <w:t>1.18</w:t>
            </w:r>
          </w:p>
        </w:tc>
        <w:tc>
          <w:tcPr>
            <w:tcW w:w="1102" w:type="dxa"/>
            <w:shd w:val="clear" w:color="auto" w:fill="D9D9D9"/>
            <w:vAlign w:val="center"/>
          </w:tcPr>
          <w:p w14:paraId="4BD460D8"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2D941683" w14:textId="77359228" w:rsidR="00285302" w:rsidRPr="00D10074" w:rsidRDefault="00285302" w:rsidP="00285302">
            <w:pPr>
              <w:pStyle w:val="TableBodyText"/>
              <w:jc w:val="center"/>
              <w:rPr>
                <w:sz w:val="18"/>
                <w:szCs w:val="18"/>
              </w:rPr>
            </w:pPr>
            <w:r w:rsidRPr="00D10074">
              <w:rPr>
                <w:sz w:val="18"/>
                <w:szCs w:val="18"/>
              </w:rPr>
              <w:t>50–85</w:t>
            </w:r>
          </w:p>
        </w:tc>
        <w:tc>
          <w:tcPr>
            <w:tcW w:w="1102" w:type="dxa"/>
            <w:shd w:val="clear" w:color="auto" w:fill="D9D9D9"/>
            <w:vAlign w:val="center"/>
          </w:tcPr>
          <w:p w14:paraId="2530637A" w14:textId="534FCC11" w:rsidR="00285302" w:rsidRPr="00D10074" w:rsidRDefault="00285302" w:rsidP="00285302">
            <w:pPr>
              <w:pStyle w:val="TableBodyText"/>
              <w:jc w:val="center"/>
              <w:rPr>
                <w:sz w:val="18"/>
                <w:szCs w:val="18"/>
              </w:rPr>
            </w:pPr>
            <w:r w:rsidRPr="00D10074">
              <w:rPr>
                <w:sz w:val="18"/>
                <w:szCs w:val="18"/>
              </w:rPr>
              <w:t>90–100</w:t>
            </w:r>
          </w:p>
        </w:tc>
        <w:tc>
          <w:tcPr>
            <w:tcW w:w="1103" w:type="dxa"/>
            <w:shd w:val="clear" w:color="auto" w:fill="D9D9D9"/>
            <w:vAlign w:val="center"/>
          </w:tcPr>
          <w:p w14:paraId="4C650886" w14:textId="3E9F958D" w:rsidR="00285302" w:rsidRPr="00D10074" w:rsidRDefault="00285302" w:rsidP="00285302">
            <w:pPr>
              <w:pStyle w:val="TableBodyText"/>
              <w:jc w:val="center"/>
              <w:rPr>
                <w:sz w:val="18"/>
                <w:szCs w:val="18"/>
              </w:rPr>
            </w:pPr>
            <w:r w:rsidRPr="00D10074">
              <w:rPr>
                <w:sz w:val="18"/>
                <w:szCs w:val="18"/>
              </w:rPr>
              <w:t>0–2</w:t>
            </w:r>
          </w:p>
        </w:tc>
        <w:tc>
          <w:tcPr>
            <w:tcW w:w="1102" w:type="dxa"/>
            <w:shd w:val="clear" w:color="auto" w:fill="D9D9D9"/>
            <w:vAlign w:val="center"/>
          </w:tcPr>
          <w:p w14:paraId="5B04E846"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664FBF56" w14:textId="77777777"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6997F274" w14:textId="536E8417" w:rsidR="00285302" w:rsidRPr="00D10074" w:rsidRDefault="00285302" w:rsidP="00285302">
            <w:pPr>
              <w:pStyle w:val="TableBodyText"/>
              <w:jc w:val="center"/>
              <w:rPr>
                <w:sz w:val="18"/>
                <w:szCs w:val="18"/>
              </w:rPr>
            </w:pPr>
            <w:r w:rsidRPr="00D10074">
              <w:rPr>
                <w:sz w:val="18"/>
                <w:szCs w:val="18"/>
              </w:rPr>
              <w:t>–</w:t>
            </w:r>
          </w:p>
        </w:tc>
      </w:tr>
      <w:tr w:rsidR="00285302" w:rsidRPr="00D10074" w14:paraId="05C0ECEC" w14:textId="3117F032" w:rsidTr="0031779C">
        <w:tc>
          <w:tcPr>
            <w:tcW w:w="1215" w:type="dxa"/>
            <w:shd w:val="clear" w:color="auto" w:fill="D9D9D9"/>
            <w:vAlign w:val="center"/>
          </w:tcPr>
          <w:p w14:paraId="7E229440" w14:textId="77777777" w:rsidR="00285302" w:rsidRPr="00D10074" w:rsidRDefault="00285302" w:rsidP="00285302">
            <w:pPr>
              <w:pStyle w:val="TableBodyText"/>
              <w:rPr>
                <w:sz w:val="18"/>
                <w:szCs w:val="18"/>
              </w:rPr>
            </w:pPr>
            <w:r w:rsidRPr="00D10074">
              <w:rPr>
                <w:sz w:val="18"/>
                <w:szCs w:val="18"/>
              </w:rPr>
              <w:t>0.60</w:t>
            </w:r>
          </w:p>
        </w:tc>
        <w:tc>
          <w:tcPr>
            <w:tcW w:w="1102" w:type="dxa"/>
            <w:shd w:val="clear" w:color="auto" w:fill="D9D9D9"/>
            <w:vAlign w:val="center"/>
          </w:tcPr>
          <w:p w14:paraId="0F9E56BC" w14:textId="26D71BEE" w:rsidR="00285302" w:rsidRPr="00D10074" w:rsidRDefault="00285302" w:rsidP="00285302">
            <w:pPr>
              <w:pStyle w:val="TableBodyText"/>
              <w:jc w:val="center"/>
              <w:rPr>
                <w:sz w:val="18"/>
                <w:szCs w:val="18"/>
              </w:rPr>
            </w:pPr>
            <w:r w:rsidRPr="00D10074">
              <w:rPr>
                <w:sz w:val="18"/>
                <w:szCs w:val="18"/>
              </w:rPr>
              <w:t>20–90</w:t>
            </w:r>
          </w:p>
        </w:tc>
        <w:tc>
          <w:tcPr>
            <w:tcW w:w="1102" w:type="dxa"/>
            <w:shd w:val="clear" w:color="auto" w:fill="D9D9D9"/>
            <w:vAlign w:val="center"/>
          </w:tcPr>
          <w:p w14:paraId="48722AF6" w14:textId="1E101198" w:rsidR="00285302" w:rsidRPr="00D10074" w:rsidRDefault="00285302" w:rsidP="00285302">
            <w:pPr>
              <w:pStyle w:val="TableBodyText"/>
              <w:jc w:val="center"/>
              <w:rPr>
                <w:sz w:val="18"/>
                <w:szCs w:val="18"/>
              </w:rPr>
            </w:pPr>
            <w:r w:rsidRPr="00D10074">
              <w:rPr>
                <w:sz w:val="18"/>
                <w:szCs w:val="18"/>
              </w:rPr>
              <w:t>25–60</w:t>
            </w:r>
          </w:p>
        </w:tc>
        <w:tc>
          <w:tcPr>
            <w:tcW w:w="1102" w:type="dxa"/>
            <w:shd w:val="clear" w:color="auto" w:fill="D9D9D9"/>
            <w:vAlign w:val="center"/>
          </w:tcPr>
          <w:p w14:paraId="5EE6EFD7" w14:textId="61374A80" w:rsidR="00285302" w:rsidRPr="00D10074" w:rsidRDefault="00285302" w:rsidP="00285302">
            <w:pPr>
              <w:pStyle w:val="TableBodyText"/>
              <w:jc w:val="center"/>
              <w:rPr>
                <w:sz w:val="18"/>
                <w:szCs w:val="18"/>
              </w:rPr>
            </w:pPr>
            <w:r w:rsidRPr="00D10074">
              <w:rPr>
                <w:sz w:val="18"/>
                <w:szCs w:val="18"/>
              </w:rPr>
              <w:t>60–90</w:t>
            </w:r>
          </w:p>
        </w:tc>
        <w:tc>
          <w:tcPr>
            <w:tcW w:w="1103" w:type="dxa"/>
            <w:shd w:val="clear" w:color="auto" w:fill="D9D9D9"/>
            <w:vAlign w:val="center"/>
          </w:tcPr>
          <w:p w14:paraId="5C8BE817"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7E53A427"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69CD584A" w14:textId="77777777"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7E6683CE" w14:textId="51CE3614" w:rsidR="00285302" w:rsidRPr="00D10074" w:rsidRDefault="00285302" w:rsidP="00285302">
            <w:pPr>
              <w:pStyle w:val="TableBodyText"/>
              <w:jc w:val="center"/>
              <w:rPr>
                <w:sz w:val="18"/>
                <w:szCs w:val="18"/>
              </w:rPr>
            </w:pPr>
            <w:r w:rsidRPr="00D10074">
              <w:rPr>
                <w:sz w:val="18"/>
                <w:szCs w:val="18"/>
              </w:rPr>
              <w:t>–</w:t>
            </w:r>
          </w:p>
        </w:tc>
      </w:tr>
      <w:tr w:rsidR="00285302" w:rsidRPr="00D10074" w14:paraId="745C7D73" w14:textId="5495E001" w:rsidTr="0031779C">
        <w:tc>
          <w:tcPr>
            <w:tcW w:w="1215" w:type="dxa"/>
            <w:shd w:val="clear" w:color="auto" w:fill="D9D9D9"/>
            <w:vAlign w:val="center"/>
          </w:tcPr>
          <w:p w14:paraId="554DCBA3" w14:textId="77777777" w:rsidR="00285302" w:rsidRPr="00D10074" w:rsidRDefault="00285302" w:rsidP="00285302">
            <w:pPr>
              <w:pStyle w:val="TableBodyText"/>
              <w:rPr>
                <w:sz w:val="18"/>
                <w:szCs w:val="18"/>
              </w:rPr>
            </w:pPr>
            <w:r w:rsidRPr="00D10074">
              <w:rPr>
                <w:sz w:val="18"/>
                <w:szCs w:val="18"/>
              </w:rPr>
              <w:t>0.30</w:t>
            </w:r>
          </w:p>
        </w:tc>
        <w:tc>
          <w:tcPr>
            <w:tcW w:w="1102" w:type="dxa"/>
            <w:shd w:val="clear" w:color="auto" w:fill="D9D9D9"/>
            <w:vAlign w:val="center"/>
          </w:tcPr>
          <w:p w14:paraId="248A0502" w14:textId="12B5C041" w:rsidR="00285302" w:rsidRPr="00D10074" w:rsidRDefault="00285302" w:rsidP="00285302">
            <w:pPr>
              <w:pStyle w:val="TableBodyText"/>
              <w:jc w:val="center"/>
              <w:rPr>
                <w:sz w:val="18"/>
                <w:szCs w:val="18"/>
              </w:rPr>
            </w:pPr>
            <w:r w:rsidRPr="00D10074">
              <w:rPr>
                <w:sz w:val="18"/>
                <w:szCs w:val="18"/>
              </w:rPr>
              <w:t>10–60</w:t>
            </w:r>
          </w:p>
        </w:tc>
        <w:tc>
          <w:tcPr>
            <w:tcW w:w="1102" w:type="dxa"/>
            <w:shd w:val="clear" w:color="auto" w:fill="D9D9D9"/>
            <w:vAlign w:val="center"/>
          </w:tcPr>
          <w:p w14:paraId="5DEEDA91" w14:textId="691492A2" w:rsidR="00285302" w:rsidRPr="00D10074" w:rsidRDefault="00285302" w:rsidP="00285302">
            <w:pPr>
              <w:pStyle w:val="TableBodyText"/>
              <w:jc w:val="center"/>
              <w:rPr>
                <w:sz w:val="18"/>
                <w:szCs w:val="18"/>
              </w:rPr>
            </w:pPr>
            <w:r w:rsidRPr="00D10074">
              <w:rPr>
                <w:sz w:val="18"/>
                <w:szCs w:val="18"/>
              </w:rPr>
              <w:t>10–30</w:t>
            </w:r>
          </w:p>
        </w:tc>
        <w:tc>
          <w:tcPr>
            <w:tcW w:w="1102" w:type="dxa"/>
            <w:shd w:val="clear" w:color="auto" w:fill="D9D9D9"/>
            <w:vAlign w:val="center"/>
          </w:tcPr>
          <w:p w14:paraId="2F43D966" w14:textId="1D9BC8B4" w:rsidR="00285302" w:rsidRPr="00D10074" w:rsidRDefault="00285302" w:rsidP="00285302">
            <w:pPr>
              <w:pStyle w:val="TableBodyText"/>
              <w:jc w:val="center"/>
              <w:rPr>
                <w:sz w:val="18"/>
                <w:szCs w:val="18"/>
              </w:rPr>
            </w:pPr>
            <w:r w:rsidRPr="00D10074">
              <w:rPr>
                <w:sz w:val="18"/>
                <w:szCs w:val="18"/>
              </w:rPr>
              <w:t>30–60</w:t>
            </w:r>
          </w:p>
        </w:tc>
        <w:tc>
          <w:tcPr>
            <w:tcW w:w="1103" w:type="dxa"/>
            <w:shd w:val="clear" w:color="auto" w:fill="D9D9D9"/>
            <w:vAlign w:val="center"/>
          </w:tcPr>
          <w:p w14:paraId="58F7E709"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39671AF6"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43822F47" w14:textId="77777777"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14BF75A2" w14:textId="6EFD814B" w:rsidR="00285302" w:rsidRPr="00D10074" w:rsidRDefault="00285302" w:rsidP="00285302">
            <w:pPr>
              <w:pStyle w:val="TableBodyText"/>
              <w:jc w:val="center"/>
              <w:rPr>
                <w:sz w:val="18"/>
                <w:szCs w:val="18"/>
              </w:rPr>
            </w:pPr>
            <w:r w:rsidRPr="00D10074">
              <w:rPr>
                <w:sz w:val="18"/>
                <w:szCs w:val="18"/>
              </w:rPr>
              <w:t>–</w:t>
            </w:r>
          </w:p>
        </w:tc>
      </w:tr>
      <w:tr w:rsidR="00285302" w:rsidRPr="00D10074" w14:paraId="392C6EA6" w14:textId="2B30569C" w:rsidTr="0031779C">
        <w:tc>
          <w:tcPr>
            <w:tcW w:w="1215" w:type="dxa"/>
            <w:shd w:val="clear" w:color="auto" w:fill="D9D9D9"/>
            <w:vAlign w:val="center"/>
          </w:tcPr>
          <w:p w14:paraId="1B4589A2" w14:textId="77777777" w:rsidR="00285302" w:rsidRPr="00D10074" w:rsidRDefault="00285302" w:rsidP="00285302">
            <w:pPr>
              <w:pStyle w:val="TableBodyText"/>
              <w:rPr>
                <w:sz w:val="18"/>
                <w:szCs w:val="18"/>
              </w:rPr>
            </w:pPr>
            <w:r w:rsidRPr="00D10074">
              <w:rPr>
                <w:sz w:val="18"/>
                <w:szCs w:val="18"/>
              </w:rPr>
              <w:t>0.15</w:t>
            </w:r>
          </w:p>
        </w:tc>
        <w:tc>
          <w:tcPr>
            <w:tcW w:w="1102" w:type="dxa"/>
            <w:shd w:val="clear" w:color="auto" w:fill="D9D9D9"/>
            <w:vAlign w:val="center"/>
          </w:tcPr>
          <w:p w14:paraId="55BDD235" w14:textId="5670B64F" w:rsidR="00285302" w:rsidRPr="00D10074" w:rsidRDefault="00285302" w:rsidP="00285302">
            <w:pPr>
              <w:pStyle w:val="TableBodyText"/>
              <w:jc w:val="center"/>
              <w:rPr>
                <w:sz w:val="18"/>
                <w:szCs w:val="18"/>
              </w:rPr>
            </w:pPr>
            <w:r w:rsidRPr="00D10074">
              <w:rPr>
                <w:sz w:val="18"/>
                <w:szCs w:val="18"/>
              </w:rPr>
              <w:t>0–25</w:t>
            </w:r>
          </w:p>
        </w:tc>
        <w:tc>
          <w:tcPr>
            <w:tcW w:w="1102" w:type="dxa"/>
            <w:shd w:val="clear" w:color="auto" w:fill="D9D9D9"/>
            <w:vAlign w:val="center"/>
          </w:tcPr>
          <w:p w14:paraId="6E362A98" w14:textId="7FE1EA17" w:rsidR="00285302" w:rsidRPr="00D10074" w:rsidRDefault="00285302" w:rsidP="00285302">
            <w:pPr>
              <w:pStyle w:val="TableBodyText"/>
              <w:jc w:val="center"/>
              <w:rPr>
                <w:sz w:val="18"/>
                <w:szCs w:val="18"/>
              </w:rPr>
            </w:pPr>
            <w:r w:rsidRPr="00D10074">
              <w:rPr>
                <w:sz w:val="18"/>
                <w:szCs w:val="18"/>
              </w:rPr>
              <w:t>5–15</w:t>
            </w:r>
          </w:p>
        </w:tc>
        <w:tc>
          <w:tcPr>
            <w:tcW w:w="1102" w:type="dxa"/>
            <w:shd w:val="clear" w:color="auto" w:fill="D9D9D9"/>
            <w:vAlign w:val="center"/>
          </w:tcPr>
          <w:p w14:paraId="2F0D0647" w14:textId="2752F8E8" w:rsidR="00285302" w:rsidRPr="00D10074" w:rsidRDefault="00285302" w:rsidP="00285302">
            <w:pPr>
              <w:pStyle w:val="TableBodyText"/>
              <w:jc w:val="center"/>
              <w:rPr>
                <w:sz w:val="18"/>
                <w:szCs w:val="18"/>
              </w:rPr>
            </w:pPr>
            <w:r w:rsidRPr="00D10074">
              <w:rPr>
                <w:sz w:val="18"/>
                <w:szCs w:val="18"/>
              </w:rPr>
              <w:t>15–30</w:t>
            </w:r>
          </w:p>
        </w:tc>
        <w:tc>
          <w:tcPr>
            <w:tcW w:w="1103" w:type="dxa"/>
            <w:shd w:val="clear" w:color="auto" w:fill="D9D9D9"/>
            <w:vAlign w:val="center"/>
          </w:tcPr>
          <w:p w14:paraId="21B68B6A"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730F2F21"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28900C16" w14:textId="77777777"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787760AE" w14:textId="0E5606E5" w:rsidR="00285302" w:rsidRPr="00D10074" w:rsidRDefault="00285302" w:rsidP="00285302">
            <w:pPr>
              <w:pStyle w:val="TableBodyText"/>
              <w:jc w:val="center"/>
              <w:rPr>
                <w:sz w:val="18"/>
                <w:szCs w:val="18"/>
              </w:rPr>
            </w:pPr>
            <w:r w:rsidRPr="00D10074">
              <w:rPr>
                <w:sz w:val="18"/>
                <w:szCs w:val="18"/>
              </w:rPr>
              <w:t>–</w:t>
            </w:r>
          </w:p>
        </w:tc>
      </w:tr>
      <w:tr w:rsidR="00285302" w:rsidRPr="00D10074" w14:paraId="4A219A0B" w14:textId="65D64DAD" w:rsidTr="0031779C">
        <w:tc>
          <w:tcPr>
            <w:tcW w:w="1215" w:type="dxa"/>
            <w:shd w:val="clear" w:color="auto" w:fill="D9D9D9"/>
            <w:vAlign w:val="center"/>
          </w:tcPr>
          <w:p w14:paraId="789DBB28" w14:textId="77777777" w:rsidR="00285302" w:rsidRPr="00D10074" w:rsidRDefault="00285302" w:rsidP="00285302">
            <w:pPr>
              <w:pStyle w:val="TableBodyText"/>
              <w:rPr>
                <w:sz w:val="18"/>
                <w:szCs w:val="18"/>
              </w:rPr>
            </w:pPr>
            <w:r w:rsidRPr="00D10074">
              <w:rPr>
                <w:sz w:val="18"/>
                <w:szCs w:val="18"/>
              </w:rPr>
              <w:t>0.075</w:t>
            </w:r>
          </w:p>
        </w:tc>
        <w:tc>
          <w:tcPr>
            <w:tcW w:w="1102" w:type="dxa"/>
            <w:shd w:val="clear" w:color="auto" w:fill="D9D9D9"/>
            <w:vAlign w:val="center"/>
          </w:tcPr>
          <w:p w14:paraId="5621DA1A" w14:textId="34D54308" w:rsidR="00285302" w:rsidRPr="00D10074" w:rsidRDefault="00285302" w:rsidP="00285302">
            <w:pPr>
              <w:pStyle w:val="TableBodyText"/>
              <w:jc w:val="center"/>
              <w:rPr>
                <w:sz w:val="18"/>
                <w:szCs w:val="18"/>
              </w:rPr>
            </w:pPr>
            <w:r w:rsidRPr="00D10074">
              <w:rPr>
                <w:sz w:val="18"/>
                <w:szCs w:val="18"/>
              </w:rPr>
              <w:t>0–10</w:t>
            </w:r>
          </w:p>
        </w:tc>
        <w:tc>
          <w:tcPr>
            <w:tcW w:w="1102" w:type="dxa"/>
            <w:shd w:val="clear" w:color="auto" w:fill="D9D9D9"/>
            <w:vAlign w:val="center"/>
          </w:tcPr>
          <w:p w14:paraId="6BB8F8ED" w14:textId="6E36DC1A" w:rsidR="00285302" w:rsidRPr="00D10074" w:rsidRDefault="00285302" w:rsidP="00285302">
            <w:pPr>
              <w:pStyle w:val="TableBodyText"/>
              <w:jc w:val="center"/>
              <w:rPr>
                <w:sz w:val="18"/>
                <w:szCs w:val="18"/>
              </w:rPr>
            </w:pPr>
            <w:r w:rsidRPr="00D10074">
              <w:rPr>
                <w:sz w:val="18"/>
                <w:szCs w:val="18"/>
              </w:rPr>
              <w:t>0–10</w:t>
            </w:r>
          </w:p>
        </w:tc>
        <w:tc>
          <w:tcPr>
            <w:tcW w:w="1102" w:type="dxa"/>
            <w:shd w:val="clear" w:color="auto" w:fill="D9D9D9"/>
            <w:vAlign w:val="center"/>
          </w:tcPr>
          <w:p w14:paraId="32328200" w14:textId="1DB4B6DA" w:rsidR="00285302" w:rsidRPr="00D10074" w:rsidRDefault="00285302" w:rsidP="00285302">
            <w:pPr>
              <w:pStyle w:val="TableBodyText"/>
              <w:jc w:val="center"/>
              <w:rPr>
                <w:sz w:val="18"/>
                <w:szCs w:val="18"/>
              </w:rPr>
            </w:pPr>
            <w:r w:rsidRPr="00D10074">
              <w:rPr>
                <w:sz w:val="18"/>
                <w:szCs w:val="18"/>
              </w:rPr>
              <w:t>5–10</w:t>
            </w:r>
          </w:p>
        </w:tc>
        <w:tc>
          <w:tcPr>
            <w:tcW w:w="1103" w:type="dxa"/>
            <w:shd w:val="clear" w:color="auto" w:fill="D9D9D9"/>
            <w:vAlign w:val="center"/>
          </w:tcPr>
          <w:p w14:paraId="56B21509"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08DDEEB6" w14:textId="77777777" w:rsidR="00285302" w:rsidRPr="00D10074" w:rsidRDefault="00285302" w:rsidP="00285302">
            <w:pPr>
              <w:pStyle w:val="TableBodyText"/>
              <w:jc w:val="center"/>
              <w:rPr>
                <w:sz w:val="18"/>
                <w:szCs w:val="18"/>
              </w:rPr>
            </w:pPr>
            <w:r w:rsidRPr="00D10074">
              <w:rPr>
                <w:sz w:val="18"/>
                <w:szCs w:val="18"/>
              </w:rPr>
              <w:t>–</w:t>
            </w:r>
          </w:p>
        </w:tc>
        <w:tc>
          <w:tcPr>
            <w:tcW w:w="1102" w:type="dxa"/>
            <w:shd w:val="clear" w:color="auto" w:fill="D9D9D9"/>
            <w:vAlign w:val="center"/>
          </w:tcPr>
          <w:p w14:paraId="451B79EF" w14:textId="77777777" w:rsidR="00285302" w:rsidRPr="00D10074" w:rsidRDefault="00285302" w:rsidP="00285302">
            <w:pPr>
              <w:pStyle w:val="TableBodyText"/>
              <w:jc w:val="center"/>
              <w:rPr>
                <w:sz w:val="18"/>
                <w:szCs w:val="18"/>
              </w:rPr>
            </w:pPr>
            <w:r w:rsidRPr="00D10074">
              <w:rPr>
                <w:sz w:val="18"/>
                <w:szCs w:val="18"/>
              </w:rPr>
              <w:t>–</w:t>
            </w:r>
          </w:p>
        </w:tc>
        <w:tc>
          <w:tcPr>
            <w:tcW w:w="1103" w:type="dxa"/>
            <w:shd w:val="clear" w:color="auto" w:fill="D9D9D9"/>
          </w:tcPr>
          <w:p w14:paraId="696EDF4E" w14:textId="1553415B" w:rsidR="00285302" w:rsidRPr="00D10074" w:rsidRDefault="00285302" w:rsidP="00285302">
            <w:pPr>
              <w:pStyle w:val="TableBodyText"/>
              <w:jc w:val="center"/>
              <w:rPr>
                <w:sz w:val="18"/>
                <w:szCs w:val="18"/>
              </w:rPr>
            </w:pPr>
            <w:r w:rsidRPr="00D10074">
              <w:rPr>
                <w:sz w:val="18"/>
                <w:szCs w:val="18"/>
              </w:rPr>
              <w:t>–</w:t>
            </w:r>
          </w:p>
        </w:tc>
      </w:tr>
    </w:tbl>
    <w:p w14:paraId="0B01A9F2" w14:textId="1EA6821D" w:rsidR="00475F56" w:rsidRPr="00D10074" w:rsidRDefault="00D678E0" w:rsidP="003131DA">
      <w:pPr>
        <w:pStyle w:val="NoteHeading"/>
        <w:rPr>
          <w:lang w:eastAsia="en-AU"/>
        </w:rPr>
      </w:pPr>
      <w:r w:rsidRPr="00D10074">
        <w:rPr>
          <w:lang w:eastAsia="en-AU"/>
        </w:rPr>
        <w:t>Note:</w:t>
      </w:r>
    </w:p>
    <w:p w14:paraId="7424599D" w14:textId="2D854CB7" w:rsidR="004F0472" w:rsidRPr="00D10074" w:rsidRDefault="00BA4492" w:rsidP="007D3748">
      <w:pPr>
        <w:pStyle w:val="Notes"/>
        <w:numPr>
          <w:ilvl w:val="0"/>
          <w:numId w:val="46"/>
        </w:numPr>
        <w:ind w:left="851" w:hanging="284"/>
      </w:pPr>
      <w:r w:rsidRPr="00D10074">
        <w:t>Unless specified otherwise, t</w:t>
      </w:r>
      <w:r w:rsidR="00F2054C" w:rsidRPr="00D10074">
        <w:t xml:space="preserve">he grading limits specified in Table </w:t>
      </w:r>
      <w:r w:rsidR="003415FD">
        <w:fldChar w:fldCharType="begin"/>
      </w:r>
      <w:r w:rsidR="003415FD">
        <w:instrText xml:space="preserve"> REF _Ref83394189 \r \h </w:instrText>
      </w:r>
      <w:r w:rsidR="003415FD">
        <w:fldChar w:fldCharType="separate"/>
      </w:r>
      <w:r w:rsidR="00A30D3A">
        <w:t>7.5</w:t>
      </w:r>
      <w:r w:rsidR="003415FD">
        <w:fldChar w:fldCharType="end"/>
      </w:r>
      <w:r w:rsidR="003415FD">
        <w:t xml:space="preserve"> </w:t>
      </w:r>
      <w:r w:rsidRPr="00D10074">
        <w:t>(except for</w:t>
      </w:r>
      <w:r w:rsidR="00BA3C01" w:rsidRPr="00D10074">
        <w:t xml:space="preserve"> Type G)</w:t>
      </w:r>
      <w:r w:rsidR="00F2054C" w:rsidRPr="00D10074">
        <w:t xml:space="preserve"> do not apply when the RCG is a component of a blend.</w:t>
      </w:r>
    </w:p>
    <w:p w14:paraId="029E0DBD" w14:textId="1B80490D" w:rsidR="008D01EF" w:rsidRPr="00D10074" w:rsidRDefault="00E070FA" w:rsidP="003E31BA">
      <w:pPr>
        <w:pStyle w:val="Heading1"/>
      </w:pPr>
      <w:bookmarkStart w:id="51" w:name="_Toc86833455"/>
      <w:bookmarkStart w:id="52" w:name="_Ref127538126"/>
      <w:bookmarkStart w:id="53" w:name="_Ref127538732"/>
      <w:bookmarkStart w:id="54" w:name="_Toc153204302"/>
      <w:r w:rsidRPr="00D10074">
        <w:t xml:space="preserve">Properties of RCG </w:t>
      </w:r>
      <w:r w:rsidR="00BD7CAD" w:rsidRPr="00D10074">
        <w:t xml:space="preserve">Used </w:t>
      </w:r>
      <w:r w:rsidRPr="00D10074">
        <w:t>in Concrete</w:t>
      </w:r>
      <w:bookmarkEnd w:id="51"/>
      <w:bookmarkEnd w:id="52"/>
      <w:bookmarkEnd w:id="53"/>
      <w:bookmarkEnd w:id="54"/>
    </w:p>
    <w:p w14:paraId="641424BF" w14:textId="655F2941" w:rsidR="00E070FA" w:rsidRPr="00D10074" w:rsidRDefault="00E070FA" w:rsidP="00FF5E1A">
      <w:pPr>
        <w:pStyle w:val="Heading2"/>
      </w:pPr>
      <w:bookmarkStart w:id="55" w:name="_Toc153204303"/>
      <w:r w:rsidRPr="00D10074">
        <w:t>General</w:t>
      </w:r>
      <w:bookmarkEnd w:id="55"/>
    </w:p>
    <w:p w14:paraId="7B2ADDE5" w14:textId="2B8F5C77" w:rsidR="00662554" w:rsidRPr="00D10074" w:rsidRDefault="00DF26C5" w:rsidP="004F0472">
      <w:pPr>
        <w:pStyle w:val="Bodynumbered1"/>
      </w:pPr>
      <w:bookmarkStart w:id="56" w:name="_Ref83397807"/>
      <w:bookmarkEnd w:id="25"/>
      <w:r w:rsidRPr="00D10074">
        <w:t xml:space="preserve">This Clause </w:t>
      </w:r>
      <w:r w:rsidRPr="00D10074">
        <w:fldChar w:fldCharType="begin"/>
      </w:r>
      <w:r w:rsidRPr="00D10074">
        <w:instrText xml:space="preserve"> REF _Ref127538732 \r \h </w:instrText>
      </w:r>
      <w:r w:rsidR="002C381F" w:rsidRPr="00D10074">
        <w:instrText xml:space="preserve"> \* MERGEFORMAT </w:instrText>
      </w:r>
      <w:r w:rsidRPr="00D10074">
        <w:fldChar w:fldCharType="separate"/>
      </w:r>
      <w:r w:rsidR="00A30D3A">
        <w:t>8</w:t>
      </w:r>
      <w:r w:rsidRPr="00D10074">
        <w:fldChar w:fldCharType="end"/>
      </w:r>
      <w:r w:rsidRPr="00D10074">
        <w:t xml:space="preserve"> only applies</w:t>
      </w:r>
      <w:r w:rsidR="00E85EFD" w:rsidRPr="00D10074">
        <w:t xml:space="preserve"> whe</w:t>
      </w:r>
      <w:r w:rsidR="008C0DE3" w:rsidRPr="00D10074">
        <w:t>re</w:t>
      </w:r>
      <w:r w:rsidR="00E85EFD" w:rsidRPr="00D10074">
        <w:t xml:space="preserve"> RCG is used in the manufacture of </w:t>
      </w:r>
      <w:r w:rsidR="00672833" w:rsidRPr="00D10074">
        <w:t>concr</w:t>
      </w:r>
      <w:r w:rsidR="00024A09" w:rsidRPr="00D10074">
        <w:t>ete.</w:t>
      </w:r>
    </w:p>
    <w:p w14:paraId="5F0A6AB5" w14:textId="6E6D3F6C" w:rsidR="0037734A" w:rsidRPr="00D10074" w:rsidRDefault="0037734A" w:rsidP="00F630BA">
      <w:pPr>
        <w:pStyle w:val="Bodynumbered1"/>
        <w:keepNext/>
      </w:pPr>
      <w:r w:rsidRPr="00D10074">
        <w:t xml:space="preserve">RCG used as </w:t>
      </w:r>
      <w:r w:rsidR="00F66BD3" w:rsidRPr="00D10074">
        <w:t xml:space="preserve">a </w:t>
      </w:r>
      <w:r w:rsidRPr="00D10074">
        <w:t>fine aggregate in the manufacture of concrete must:</w:t>
      </w:r>
      <w:bookmarkEnd w:id="56"/>
    </w:p>
    <w:p w14:paraId="2DAC796C" w14:textId="77777777" w:rsidR="0037734A" w:rsidRPr="00D10074" w:rsidRDefault="0037734A" w:rsidP="00E374BF">
      <w:pPr>
        <w:pStyle w:val="Bodynumbered2"/>
        <w:numPr>
          <w:ilvl w:val="0"/>
          <w:numId w:val="29"/>
        </w:numPr>
      </w:pPr>
      <w:r w:rsidRPr="00D10074">
        <w:t xml:space="preserve">comply with AS </w:t>
      </w:r>
      <w:proofErr w:type="gramStart"/>
      <w:r w:rsidRPr="00D10074">
        <w:t>2758.1;</w:t>
      </w:r>
      <w:proofErr w:type="gramEnd"/>
    </w:p>
    <w:p w14:paraId="4CBAEBA4" w14:textId="22E0CA39" w:rsidR="0037734A" w:rsidRPr="00D10074" w:rsidRDefault="0037734A" w:rsidP="00E374BF">
      <w:pPr>
        <w:pStyle w:val="Bodynumbered2"/>
        <w:numPr>
          <w:ilvl w:val="0"/>
          <w:numId w:val="29"/>
        </w:numPr>
      </w:pPr>
      <w:r w:rsidRPr="00D10074">
        <w:t>comprise of particles which are predominantly cubic in shape, free from sharp edges and elongated particles</w:t>
      </w:r>
      <w:r w:rsidR="002822D7" w:rsidRPr="00D10074">
        <w:t>;</w:t>
      </w:r>
      <w:r w:rsidR="00D733BE" w:rsidRPr="00D10074">
        <w:t xml:space="preserve"> and</w:t>
      </w:r>
    </w:p>
    <w:p w14:paraId="39EED064" w14:textId="75FDF515" w:rsidR="0037734A" w:rsidRPr="00D10074" w:rsidRDefault="0037734A" w:rsidP="00E374BF">
      <w:pPr>
        <w:pStyle w:val="Bodynumbered2"/>
        <w:numPr>
          <w:ilvl w:val="0"/>
          <w:numId w:val="29"/>
        </w:numPr>
      </w:pPr>
      <w:r w:rsidRPr="00D10074">
        <w:t>have a maximum nominal size of 5 mm</w:t>
      </w:r>
      <w:r w:rsidR="004875AD" w:rsidRPr="00D10074">
        <w:t>.</w:t>
      </w:r>
    </w:p>
    <w:p w14:paraId="0AF8BF3B" w14:textId="77777777" w:rsidR="002579C5" w:rsidRPr="00D10074" w:rsidRDefault="00E43E4A" w:rsidP="00E43E4A">
      <w:pPr>
        <w:pStyle w:val="Bodynumbered1"/>
      </w:pPr>
      <w:r w:rsidRPr="00D10074">
        <w:t xml:space="preserve">The proportion of RCG </w:t>
      </w:r>
      <w:r w:rsidR="000304D1" w:rsidRPr="00D10074">
        <w:t xml:space="preserve">must </w:t>
      </w:r>
      <w:r w:rsidR="00671F69" w:rsidRPr="00D10074">
        <w:t xml:space="preserve">not exceed </w:t>
      </w:r>
      <w:r w:rsidR="000304D1" w:rsidRPr="00D10074">
        <w:t>15</w:t>
      </w:r>
      <w:r w:rsidR="00671F69" w:rsidRPr="00D10074">
        <w:t xml:space="preserve">% of the fine aggregate </w:t>
      </w:r>
      <w:r w:rsidR="002822D7" w:rsidRPr="00D10074">
        <w:t xml:space="preserve">(measured by mass) </w:t>
      </w:r>
      <w:r w:rsidR="00671F69" w:rsidRPr="00D10074">
        <w:t>in the concrete</w:t>
      </w:r>
      <w:r w:rsidR="002822D7" w:rsidRPr="00D10074">
        <w:t>.</w:t>
      </w:r>
    </w:p>
    <w:p w14:paraId="69402A0D" w14:textId="77777777" w:rsidR="002951E2" w:rsidRPr="00D10074" w:rsidRDefault="00127621" w:rsidP="00E43E4A">
      <w:pPr>
        <w:pStyle w:val="Bodynumbered1"/>
      </w:pPr>
      <w:r w:rsidRPr="00D10074">
        <w:t xml:space="preserve">The </w:t>
      </w:r>
      <w:r w:rsidR="002579C5" w:rsidRPr="00D10074">
        <w:t>C</w:t>
      </w:r>
      <w:r w:rsidRPr="00D10074">
        <w:t xml:space="preserve">ontractor may submit a proposal to the </w:t>
      </w:r>
      <w:proofErr w:type="gramStart"/>
      <w:r w:rsidRPr="00D10074">
        <w:t>Principal</w:t>
      </w:r>
      <w:proofErr w:type="gramEnd"/>
      <w:r w:rsidR="002579C5" w:rsidRPr="00D10074">
        <w:t xml:space="preserve"> to accept the following</w:t>
      </w:r>
      <w:r w:rsidR="007C1E97" w:rsidRPr="00D10074">
        <w:t xml:space="preserve"> for Normal Class Concrete</w:t>
      </w:r>
      <w:r w:rsidR="002951E2" w:rsidRPr="00D10074">
        <w:t>:</w:t>
      </w:r>
    </w:p>
    <w:p w14:paraId="699BED78" w14:textId="429365C7" w:rsidR="002951E2" w:rsidRPr="00D10074" w:rsidRDefault="00040E58" w:rsidP="008F4467">
      <w:pPr>
        <w:pStyle w:val="Bodynumbered2"/>
        <w:numPr>
          <w:ilvl w:val="0"/>
          <w:numId w:val="45"/>
        </w:numPr>
      </w:pPr>
      <w:r w:rsidRPr="00D10074">
        <w:t>RCG comprising up to 20% of the fine aggregate</w:t>
      </w:r>
      <w:r w:rsidR="002951E2" w:rsidRPr="00D10074">
        <w:t>; or</w:t>
      </w:r>
    </w:p>
    <w:p w14:paraId="15BD9C27" w14:textId="6E881354" w:rsidR="002E7480" w:rsidRPr="00D10074" w:rsidRDefault="002951E2" w:rsidP="008F4467">
      <w:pPr>
        <w:pStyle w:val="Bodynumbered2"/>
        <w:numPr>
          <w:ilvl w:val="0"/>
          <w:numId w:val="45"/>
        </w:numPr>
      </w:pPr>
      <w:r w:rsidRPr="00D10074">
        <w:t>Unwashed RCG</w:t>
      </w:r>
      <w:r w:rsidR="002E7480" w:rsidRPr="00D10074">
        <w:t xml:space="preserve"> </w:t>
      </w:r>
      <w:r w:rsidR="008F4467" w:rsidRPr="00D10074">
        <w:t>comprising</w:t>
      </w:r>
      <w:r w:rsidR="002E7480" w:rsidRPr="00D10074">
        <w:t xml:space="preserve"> up to 10% of the fine aggregate.</w:t>
      </w:r>
    </w:p>
    <w:p w14:paraId="3FC335AB" w14:textId="4FB9205B" w:rsidR="00404030" w:rsidRPr="00D10074" w:rsidRDefault="00404030" w:rsidP="00D725F8">
      <w:pPr>
        <w:pStyle w:val="Bodynumbered1"/>
        <w:numPr>
          <w:ilvl w:val="0"/>
          <w:numId w:val="0"/>
        </w:numPr>
        <w:ind w:firstLine="567"/>
      </w:pPr>
      <w:bookmarkStart w:id="57" w:name="_Ref141862348"/>
      <w:r w:rsidRPr="00D10074">
        <w:t xml:space="preserve">The </w:t>
      </w:r>
      <w:proofErr w:type="gramStart"/>
      <w:r w:rsidRPr="00D10074">
        <w:t>Principal</w:t>
      </w:r>
      <w:proofErr w:type="gramEnd"/>
      <w:r w:rsidRPr="00D10074">
        <w:t xml:space="preserve"> is under no obligation to accept any such proposal.</w:t>
      </w:r>
    </w:p>
    <w:p w14:paraId="19BD4FB1" w14:textId="42F4ADFF" w:rsidR="00FC0F6B" w:rsidRPr="00D10074" w:rsidRDefault="00CD5ED6" w:rsidP="001F1CD0">
      <w:pPr>
        <w:pStyle w:val="Bodynumbered1"/>
      </w:pPr>
      <w:bookmarkStart w:id="58" w:name="_Ref149136604"/>
      <w:r w:rsidRPr="00D10074">
        <w:t>T</w:t>
      </w:r>
      <w:r w:rsidR="00D14898" w:rsidRPr="00D10074">
        <w:t>he RCG must be tested for compliance wit</w:t>
      </w:r>
      <w:r w:rsidR="00EF4F9C" w:rsidRPr="00D10074">
        <w:t xml:space="preserve">h </w:t>
      </w:r>
      <w:r w:rsidR="0037734A" w:rsidRPr="00D10074">
        <w:t>Table</w:t>
      </w:r>
      <w:r w:rsidR="000446AC" w:rsidRPr="00D10074">
        <w:t> </w:t>
      </w:r>
      <w:r w:rsidR="005B1171" w:rsidRPr="00D10074">
        <w:fldChar w:fldCharType="begin"/>
      </w:r>
      <w:r w:rsidR="005B1171" w:rsidRPr="00D10074">
        <w:instrText xml:space="preserve"> REF _Ref149136604 \r \h </w:instrText>
      </w:r>
      <w:r w:rsidR="00D10074">
        <w:instrText xml:space="preserve"> \* MERGEFORMAT </w:instrText>
      </w:r>
      <w:r w:rsidR="005B1171" w:rsidRPr="00D10074">
        <w:fldChar w:fldCharType="separate"/>
      </w:r>
      <w:r w:rsidR="00A30D3A">
        <w:t>8.5</w:t>
      </w:r>
      <w:r w:rsidR="005B1171" w:rsidRPr="00D10074">
        <w:fldChar w:fldCharType="end"/>
      </w:r>
      <w:r w:rsidR="0037734A" w:rsidRPr="00D10074">
        <w:t>.</w:t>
      </w:r>
      <w:bookmarkEnd w:id="57"/>
      <w:bookmarkEnd w:id="58"/>
    </w:p>
    <w:p w14:paraId="279AF2F7" w14:textId="77777777" w:rsidR="00FC0F6B" w:rsidRPr="00D10074" w:rsidRDefault="00FC0F6B">
      <w:pPr>
        <w:rPr>
          <w:rFonts w:ascii="Arial" w:eastAsiaTheme="minorEastAsia" w:hAnsi="Arial"/>
          <w:sz w:val="20"/>
          <w:szCs w:val="20"/>
          <w:lang w:eastAsia="ja-JP"/>
        </w:rPr>
      </w:pPr>
      <w:r w:rsidRPr="00D10074">
        <w:br w:type="page"/>
      </w:r>
    </w:p>
    <w:p w14:paraId="71A0998B" w14:textId="06D94702" w:rsidR="0037734A" w:rsidRPr="00D10074" w:rsidRDefault="0037734A" w:rsidP="00736C68">
      <w:pPr>
        <w:pStyle w:val="Caption"/>
        <w:rPr>
          <w:sz w:val="20"/>
          <w:szCs w:val="20"/>
        </w:rPr>
      </w:pPr>
      <w:r w:rsidRPr="00D10074">
        <w:rPr>
          <w:sz w:val="20"/>
          <w:szCs w:val="20"/>
        </w:rPr>
        <w:lastRenderedPageBreak/>
        <w:t>Table</w:t>
      </w:r>
      <w:r w:rsidR="005B1171" w:rsidRPr="00D10074">
        <w:rPr>
          <w:sz w:val="20"/>
          <w:szCs w:val="20"/>
        </w:rPr>
        <w:t xml:space="preserve"> </w:t>
      </w:r>
      <w:r w:rsidR="005B1171" w:rsidRPr="00D10074">
        <w:rPr>
          <w:sz w:val="20"/>
          <w:szCs w:val="20"/>
        </w:rPr>
        <w:fldChar w:fldCharType="begin"/>
      </w:r>
      <w:r w:rsidR="005B1171" w:rsidRPr="00D10074">
        <w:rPr>
          <w:sz w:val="20"/>
          <w:szCs w:val="20"/>
        </w:rPr>
        <w:instrText xml:space="preserve"> REF _Ref149136604 \r \h </w:instrText>
      </w:r>
      <w:r w:rsidR="00D10074">
        <w:rPr>
          <w:sz w:val="20"/>
          <w:szCs w:val="20"/>
        </w:rPr>
        <w:instrText xml:space="preserve"> \* MERGEFORMAT </w:instrText>
      </w:r>
      <w:r w:rsidR="005B1171" w:rsidRPr="00D10074">
        <w:rPr>
          <w:sz w:val="20"/>
          <w:szCs w:val="20"/>
        </w:rPr>
      </w:r>
      <w:r w:rsidR="005B1171" w:rsidRPr="00D10074">
        <w:rPr>
          <w:sz w:val="20"/>
          <w:szCs w:val="20"/>
        </w:rPr>
        <w:fldChar w:fldCharType="separate"/>
      </w:r>
      <w:r w:rsidR="00A30D3A">
        <w:rPr>
          <w:sz w:val="20"/>
          <w:szCs w:val="20"/>
        </w:rPr>
        <w:t>8.5</w:t>
      </w:r>
      <w:r w:rsidR="005B1171" w:rsidRPr="00D10074">
        <w:rPr>
          <w:sz w:val="20"/>
          <w:szCs w:val="20"/>
        </w:rPr>
        <w:fldChar w:fldCharType="end"/>
      </w:r>
      <w:r w:rsidRPr="00D10074">
        <w:rPr>
          <w:sz w:val="20"/>
          <w:szCs w:val="20"/>
        </w:rPr>
        <w:t>:</w:t>
      </w:r>
      <w:r w:rsidR="00C41F00" w:rsidRPr="00D10074">
        <w:rPr>
          <w:sz w:val="20"/>
          <w:szCs w:val="20"/>
        </w:rPr>
        <w:t xml:space="preserve"> Requirements</w:t>
      </w:r>
      <w:r w:rsidRPr="00D10074">
        <w:rPr>
          <w:sz w:val="20"/>
          <w:szCs w:val="20"/>
        </w:rPr>
        <w:tab/>
      </w:r>
      <w:r w:rsidR="00A51383" w:rsidRPr="00D10074">
        <w:rPr>
          <w:sz w:val="20"/>
          <w:szCs w:val="20"/>
        </w:rPr>
        <w:t xml:space="preserve"> </w:t>
      </w:r>
      <w:r w:rsidR="00C41F00" w:rsidRPr="00D10074">
        <w:rPr>
          <w:sz w:val="20"/>
          <w:szCs w:val="20"/>
        </w:rPr>
        <w:t xml:space="preserve">for </w:t>
      </w:r>
      <w:r w:rsidR="00736C68" w:rsidRPr="00D10074">
        <w:rPr>
          <w:sz w:val="20"/>
          <w:szCs w:val="20"/>
        </w:rPr>
        <w:t xml:space="preserve">Recycled </w:t>
      </w:r>
      <w:r w:rsidR="000800F3" w:rsidRPr="00D10074">
        <w:rPr>
          <w:sz w:val="20"/>
          <w:szCs w:val="20"/>
        </w:rPr>
        <w:t>Crushed Glass</w:t>
      </w:r>
      <w:r w:rsidR="00C41F00" w:rsidRPr="00D10074">
        <w:rPr>
          <w:sz w:val="20"/>
          <w:szCs w:val="20"/>
        </w:rPr>
        <w:t xml:space="preserve"> </w:t>
      </w:r>
      <w:r w:rsidR="00D316EA" w:rsidRPr="00D10074">
        <w:rPr>
          <w:sz w:val="20"/>
          <w:szCs w:val="20"/>
        </w:rPr>
        <w:t xml:space="preserve">Used </w:t>
      </w:r>
      <w:r w:rsidR="00C41F00" w:rsidRPr="00D10074">
        <w:rPr>
          <w:sz w:val="20"/>
          <w:szCs w:val="20"/>
        </w:rPr>
        <w:t>in Concrete</w:t>
      </w:r>
    </w:p>
    <w:tbl>
      <w:tblPr>
        <w:tblW w:w="8931"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57" w:type="dxa"/>
          <w:right w:w="57" w:type="dxa"/>
        </w:tblCellMar>
        <w:tblLook w:val="01E0" w:firstRow="1" w:lastRow="1" w:firstColumn="1" w:lastColumn="1" w:noHBand="0" w:noVBand="0"/>
      </w:tblPr>
      <w:tblGrid>
        <w:gridCol w:w="2552"/>
        <w:gridCol w:w="1568"/>
        <w:gridCol w:w="1692"/>
        <w:gridCol w:w="3119"/>
      </w:tblGrid>
      <w:tr w:rsidR="00BA4EF6" w:rsidRPr="00D10074" w14:paraId="650AAD22" w14:textId="77777777" w:rsidTr="0042332C">
        <w:trPr>
          <w:tblHeader/>
        </w:trPr>
        <w:tc>
          <w:tcPr>
            <w:tcW w:w="2552" w:type="dxa"/>
            <w:shd w:val="clear" w:color="auto" w:fill="BEBEBE"/>
            <w:vAlign w:val="center"/>
          </w:tcPr>
          <w:p w14:paraId="25A52996" w14:textId="77777777" w:rsidR="00BA4EF6" w:rsidRPr="00D10074" w:rsidRDefault="00BA4EF6" w:rsidP="0042332C">
            <w:pPr>
              <w:pStyle w:val="TableHeading"/>
              <w:ind w:left="139"/>
              <w:rPr>
                <w:rFonts w:cs="Arial"/>
                <w:color w:val="auto"/>
                <w:sz w:val="18"/>
                <w:szCs w:val="18"/>
              </w:rPr>
            </w:pPr>
            <w:r w:rsidRPr="00D10074">
              <w:rPr>
                <w:rFonts w:cs="Arial"/>
                <w:color w:val="auto"/>
                <w:sz w:val="18"/>
                <w:szCs w:val="18"/>
              </w:rPr>
              <w:t>Property</w:t>
            </w:r>
          </w:p>
        </w:tc>
        <w:tc>
          <w:tcPr>
            <w:tcW w:w="1568" w:type="dxa"/>
            <w:shd w:val="clear" w:color="auto" w:fill="BEBEBE"/>
            <w:vAlign w:val="center"/>
          </w:tcPr>
          <w:p w14:paraId="4C3925B3" w14:textId="30B6B445" w:rsidR="00BA4EF6" w:rsidRPr="00D10074" w:rsidRDefault="00BA4EF6" w:rsidP="0042332C">
            <w:pPr>
              <w:pStyle w:val="TableHeading"/>
              <w:ind w:left="139"/>
              <w:rPr>
                <w:rFonts w:cs="Arial"/>
                <w:color w:val="auto"/>
                <w:sz w:val="18"/>
                <w:szCs w:val="18"/>
              </w:rPr>
            </w:pPr>
            <w:r w:rsidRPr="00D10074">
              <w:rPr>
                <w:rFonts w:cs="Arial"/>
                <w:color w:val="auto"/>
                <w:sz w:val="18"/>
                <w:szCs w:val="18"/>
              </w:rPr>
              <w:t xml:space="preserve">Standards and </w:t>
            </w:r>
            <w:r w:rsidR="00F44B44" w:rsidRPr="00D10074">
              <w:rPr>
                <w:rFonts w:cs="Arial"/>
                <w:color w:val="auto"/>
                <w:sz w:val="18"/>
                <w:szCs w:val="18"/>
              </w:rPr>
              <w:t>t</w:t>
            </w:r>
            <w:r w:rsidRPr="00D10074">
              <w:rPr>
                <w:rFonts w:cs="Arial"/>
                <w:color w:val="auto"/>
                <w:sz w:val="18"/>
                <w:szCs w:val="18"/>
              </w:rPr>
              <w:t>est methods</w:t>
            </w:r>
          </w:p>
        </w:tc>
        <w:tc>
          <w:tcPr>
            <w:tcW w:w="1692" w:type="dxa"/>
            <w:shd w:val="clear" w:color="auto" w:fill="BEBEBE"/>
            <w:vAlign w:val="center"/>
          </w:tcPr>
          <w:p w14:paraId="4768256F" w14:textId="50221053" w:rsidR="00BA4EF6" w:rsidRPr="00D10074" w:rsidRDefault="00BA4EF6" w:rsidP="0042332C">
            <w:pPr>
              <w:pStyle w:val="TableHeading"/>
              <w:ind w:left="139"/>
              <w:rPr>
                <w:rFonts w:cs="Arial"/>
                <w:color w:val="auto"/>
                <w:sz w:val="18"/>
                <w:szCs w:val="18"/>
              </w:rPr>
            </w:pPr>
            <w:r w:rsidRPr="00D10074">
              <w:rPr>
                <w:rFonts w:cs="Arial"/>
                <w:color w:val="auto"/>
                <w:sz w:val="18"/>
                <w:szCs w:val="18"/>
              </w:rPr>
              <w:t xml:space="preserve">Minimum </w:t>
            </w:r>
            <w:r w:rsidR="00F44B44" w:rsidRPr="00D10074">
              <w:rPr>
                <w:rFonts w:cs="Arial"/>
                <w:color w:val="auto"/>
                <w:sz w:val="18"/>
                <w:szCs w:val="18"/>
              </w:rPr>
              <w:t>t</w:t>
            </w:r>
            <w:r w:rsidRPr="00D10074">
              <w:rPr>
                <w:rFonts w:cs="Arial"/>
                <w:color w:val="auto"/>
                <w:sz w:val="18"/>
                <w:szCs w:val="18"/>
              </w:rPr>
              <w:t xml:space="preserve">est </w:t>
            </w:r>
            <w:r w:rsidR="00F44B44" w:rsidRPr="00D10074">
              <w:rPr>
                <w:rFonts w:cs="Arial"/>
                <w:color w:val="auto"/>
                <w:sz w:val="18"/>
                <w:szCs w:val="18"/>
              </w:rPr>
              <w:t>f</w:t>
            </w:r>
            <w:r w:rsidRPr="00D10074">
              <w:rPr>
                <w:rFonts w:cs="Arial"/>
                <w:color w:val="auto"/>
                <w:sz w:val="18"/>
                <w:szCs w:val="18"/>
              </w:rPr>
              <w:t>requency</w:t>
            </w:r>
          </w:p>
        </w:tc>
        <w:tc>
          <w:tcPr>
            <w:tcW w:w="3119" w:type="dxa"/>
            <w:shd w:val="clear" w:color="auto" w:fill="BEBEBE"/>
            <w:vAlign w:val="center"/>
          </w:tcPr>
          <w:p w14:paraId="0170F243" w14:textId="77777777" w:rsidR="00BA4EF6" w:rsidRPr="00D10074" w:rsidRDefault="00BA4EF6" w:rsidP="0042332C">
            <w:pPr>
              <w:pStyle w:val="TableHeading"/>
              <w:ind w:left="139"/>
              <w:rPr>
                <w:rFonts w:cs="Arial"/>
                <w:color w:val="auto"/>
                <w:sz w:val="18"/>
                <w:szCs w:val="18"/>
              </w:rPr>
            </w:pPr>
            <w:r w:rsidRPr="00D10074">
              <w:rPr>
                <w:rFonts w:cs="Arial"/>
                <w:color w:val="auto"/>
                <w:sz w:val="18"/>
                <w:szCs w:val="18"/>
              </w:rPr>
              <w:t>Requirements</w:t>
            </w:r>
          </w:p>
        </w:tc>
      </w:tr>
      <w:tr w:rsidR="00BA4EF6" w:rsidRPr="00D10074" w14:paraId="06AE3E15" w14:textId="77777777" w:rsidTr="0042332C">
        <w:tc>
          <w:tcPr>
            <w:tcW w:w="2552" w:type="dxa"/>
            <w:shd w:val="clear" w:color="auto" w:fill="D9D9D9"/>
          </w:tcPr>
          <w:p w14:paraId="65A0E56A" w14:textId="381410ED" w:rsidR="00BA4EF6" w:rsidRPr="00D10074" w:rsidRDefault="00BA4EF6" w:rsidP="002A6075">
            <w:pPr>
              <w:pStyle w:val="TableBodyText"/>
              <w:ind w:left="113"/>
              <w:rPr>
                <w:rFonts w:cs="Arial"/>
                <w:sz w:val="18"/>
                <w:szCs w:val="18"/>
              </w:rPr>
            </w:pPr>
            <w:r w:rsidRPr="00D10074">
              <w:rPr>
                <w:rFonts w:cs="Arial"/>
                <w:sz w:val="18"/>
                <w:szCs w:val="18"/>
              </w:rPr>
              <w:t xml:space="preserve">Particle </w:t>
            </w:r>
            <w:r w:rsidR="00F44B44" w:rsidRPr="00D10074">
              <w:rPr>
                <w:rFonts w:cs="Arial"/>
                <w:sz w:val="18"/>
                <w:szCs w:val="18"/>
              </w:rPr>
              <w:t>s</w:t>
            </w:r>
            <w:r w:rsidRPr="00D10074">
              <w:rPr>
                <w:rFonts w:cs="Arial"/>
                <w:sz w:val="18"/>
                <w:szCs w:val="18"/>
              </w:rPr>
              <w:t xml:space="preserve">ize </w:t>
            </w:r>
            <w:r w:rsidR="00F44B44" w:rsidRPr="00D10074">
              <w:rPr>
                <w:rFonts w:cs="Arial"/>
                <w:sz w:val="18"/>
                <w:szCs w:val="18"/>
              </w:rPr>
              <w:t>d</w:t>
            </w:r>
            <w:r w:rsidRPr="00D10074">
              <w:rPr>
                <w:rFonts w:cs="Arial"/>
                <w:sz w:val="18"/>
                <w:szCs w:val="18"/>
              </w:rPr>
              <w:t xml:space="preserve">istribution </w:t>
            </w:r>
          </w:p>
        </w:tc>
        <w:tc>
          <w:tcPr>
            <w:tcW w:w="1568" w:type="dxa"/>
            <w:shd w:val="clear" w:color="auto" w:fill="D9D9D9"/>
          </w:tcPr>
          <w:p w14:paraId="688E06AC"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AS 1141.11.1 and</w:t>
            </w:r>
          </w:p>
          <w:p w14:paraId="2BA2D54B" w14:textId="77777777" w:rsidR="00BA4EF6" w:rsidRPr="00D10074" w:rsidRDefault="00BA4EF6" w:rsidP="002A6075">
            <w:pPr>
              <w:pStyle w:val="TableBodyText"/>
              <w:ind w:left="113"/>
              <w:rPr>
                <w:rFonts w:cs="Arial"/>
                <w:sz w:val="18"/>
                <w:szCs w:val="18"/>
              </w:rPr>
            </w:pPr>
            <w:r w:rsidRPr="00D10074">
              <w:rPr>
                <w:rFonts w:eastAsia="Arial" w:cs="Arial"/>
                <w:sz w:val="18"/>
                <w:szCs w:val="18"/>
                <w:lang w:eastAsia="ja-JP" w:bidi="en-US"/>
              </w:rPr>
              <w:t>AS 1141.12.</w:t>
            </w:r>
          </w:p>
        </w:tc>
        <w:tc>
          <w:tcPr>
            <w:tcW w:w="1692" w:type="dxa"/>
            <w:shd w:val="clear" w:color="auto" w:fill="D9D9D9"/>
          </w:tcPr>
          <w:p w14:paraId="20DD6BCD" w14:textId="4CA6678E"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2 tests per</w:t>
            </w:r>
            <w:r w:rsidRPr="00D10074">
              <w:rPr>
                <w:rFonts w:eastAsia="Arial" w:cs="Arial"/>
                <w:sz w:val="18"/>
                <w:szCs w:val="18"/>
                <w:lang w:eastAsia="ja-JP" w:bidi="en-US"/>
              </w:rPr>
              <w:br/>
              <w:t xml:space="preserve">Lot </w:t>
            </w:r>
            <w:r w:rsidRPr="00D10074">
              <w:rPr>
                <w:rFonts w:eastAsia="Arial" w:cs="Arial"/>
                <w:sz w:val="18"/>
                <w:szCs w:val="18"/>
                <w:vertAlign w:val="superscript"/>
                <w:lang w:eastAsia="ja-JP" w:bidi="en-US"/>
              </w:rPr>
              <w:t>(1)</w:t>
            </w:r>
          </w:p>
        </w:tc>
        <w:tc>
          <w:tcPr>
            <w:tcW w:w="3119" w:type="dxa"/>
            <w:shd w:val="clear" w:color="auto" w:fill="D9D9D9"/>
          </w:tcPr>
          <w:p w14:paraId="697D4ADF" w14:textId="410A845B" w:rsidR="00BA4EF6" w:rsidRPr="00D10074" w:rsidRDefault="00BA4EF6" w:rsidP="002A6075">
            <w:pPr>
              <w:pStyle w:val="TableBodyText"/>
              <w:ind w:left="113"/>
              <w:rPr>
                <w:rFonts w:cs="Arial"/>
                <w:sz w:val="18"/>
                <w:szCs w:val="18"/>
              </w:rPr>
            </w:pPr>
            <w:r w:rsidRPr="00D10074">
              <w:rPr>
                <w:rFonts w:eastAsia="Arial" w:cs="Arial"/>
                <w:sz w:val="18"/>
                <w:szCs w:val="18"/>
                <w:lang w:eastAsia="ja-JP" w:bidi="en-US"/>
              </w:rPr>
              <w:t>The limits of deviation for manufactured fine aggregate in Table 2 of AS 2758.1</w:t>
            </w:r>
          </w:p>
        </w:tc>
      </w:tr>
      <w:tr w:rsidR="00BA4EF6" w:rsidRPr="00D10074" w14:paraId="5F24C990" w14:textId="77777777" w:rsidTr="0042332C">
        <w:tc>
          <w:tcPr>
            <w:tcW w:w="2552" w:type="dxa"/>
            <w:shd w:val="clear" w:color="auto" w:fill="D9D9D9"/>
          </w:tcPr>
          <w:p w14:paraId="659062C6" w14:textId="77777777" w:rsidR="00BA4EF6" w:rsidRPr="00D10074" w:rsidRDefault="00BA4EF6" w:rsidP="002A6075">
            <w:pPr>
              <w:pStyle w:val="TableBodyText"/>
              <w:ind w:left="113"/>
              <w:rPr>
                <w:rFonts w:cs="Arial"/>
                <w:sz w:val="18"/>
                <w:szCs w:val="18"/>
              </w:rPr>
            </w:pPr>
            <w:r w:rsidRPr="00D10074">
              <w:rPr>
                <w:rFonts w:cs="Arial"/>
                <w:sz w:val="18"/>
                <w:szCs w:val="18"/>
              </w:rPr>
              <w:t>Sugar in aggregate</w:t>
            </w:r>
          </w:p>
        </w:tc>
        <w:tc>
          <w:tcPr>
            <w:tcW w:w="1568" w:type="dxa"/>
            <w:shd w:val="clear" w:color="auto" w:fill="D9D9D9"/>
          </w:tcPr>
          <w:p w14:paraId="6F2A3A24" w14:textId="77777777" w:rsidR="00BA4EF6" w:rsidRPr="00D10074" w:rsidRDefault="00BA4EF6" w:rsidP="002A6075">
            <w:pPr>
              <w:pStyle w:val="TableBodyText"/>
              <w:ind w:left="113"/>
              <w:rPr>
                <w:rFonts w:cs="Arial"/>
                <w:sz w:val="18"/>
                <w:szCs w:val="18"/>
              </w:rPr>
            </w:pPr>
            <w:r w:rsidRPr="00D10074">
              <w:rPr>
                <w:rFonts w:cs="Arial"/>
                <w:sz w:val="18"/>
                <w:szCs w:val="18"/>
              </w:rPr>
              <w:t>AS 1141.35</w:t>
            </w:r>
          </w:p>
        </w:tc>
        <w:tc>
          <w:tcPr>
            <w:tcW w:w="1692" w:type="dxa"/>
            <w:shd w:val="clear" w:color="auto" w:fill="D9D9D9"/>
          </w:tcPr>
          <w:p w14:paraId="42056CB7"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65288936" w14:textId="31E0A541" w:rsidR="00BA4EF6" w:rsidRPr="00D10074" w:rsidRDefault="00BA4EF6" w:rsidP="002A6075">
            <w:pPr>
              <w:pStyle w:val="TableBodyText"/>
              <w:ind w:left="113"/>
              <w:rPr>
                <w:rFonts w:cs="Arial"/>
                <w:sz w:val="18"/>
                <w:szCs w:val="18"/>
              </w:rPr>
            </w:pPr>
            <w:r w:rsidRPr="00D10074">
              <w:rPr>
                <w:rFonts w:cs="Arial"/>
                <w:sz w:val="18"/>
                <w:szCs w:val="18"/>
              </w:rPr>
              <w:t>Less than one part in 10</w:t>
            </w:r>
            <w:r w:rsidR="0041349A" w:rsidRPr="00D10074">
              <w:rPr>
                <w:rFonts w:cs="Arial"/>
                <w:sz w:val="18"/>
                <w:szCs w:val="18"/>
              </w:rPr>
              <w:t> </w:t>
            </w:r>
            <w:r w:rsidRPr="00D10074">
              <w:rPr>
                <w:rFonts w:cs="Arial"/>
                <w:sz w:val="18"/>
                <w:szCs w:val="18"/>
              </w:rPr>
              <w:t>000</w:t>
            </w:r>
          </w:p>
        </w:tc>
      </w:tr>
      <w:tr w:rsidR="00BA4EF6" w:rsidRPr="00D10074" w14:paraId="6B1C510E" w14:textId="77777777" w:rsidTr="0042332C">
        <w:tc>
          <w:tcPr>
            <w:tcW w:w="2552" w:type="dxa"/>
            <w:shd w:val="clear" w:color="auto" w:fill="D9D9D9"/>
          </w:tcPr>
          <w:p w14:paraId="21557733" w14:textId="77777777" w:rsidR="00BA4EF6" w:rsidRPr="00D10074" w:rsidRDefault="00BA4EF6" w:rsidP="002A6075">
            <w:pPr>
              <w:pStyle w:val="TableBodyText"/>
              <w:ind w:left="113"/>
              <w:rPr>
                <w:rFonts w:cs="Arial"/>
                <w:sz w:val="18"/>
                <w:szCs w:val="18"/>
              </w:rPr>
            </w:pPr>
            <w:proofErr w:type="spellStart"/>
            <w:r w:rsidRPr="00D10074">
              <w:rPr>
                <w:rFonts w:cs="Arial"/>
                <w:sz w:val="18"/>
                <w:szCs w:val="18"/>
              </w:rPr>
              <w:t>Sulfates</w:t>
            </w:r>
            <w:proofErr w:type="spellEnd"/>
          </w:p>
        </w:tc>
        <w:tc>
          <w:tcPr>
            <w:tcW w:w="1568" w:type="dxa"/>
            <w:shd w:val="clear" w:color="auto" w:fill="D9D9D9"/>
          </w:tcPr>
          <w:p w14:paraId="66CAA9DB" w14:textId="77777777"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1379</w:t>
            </w:r>
          </w:p>
          <w:p w14:paraId="07E31798" w14:textId="77777777" w:rsidR="00BA4EF6" w:rsidRPr="00D10074" w:rsidRDefault="00BA4EF6" w:rsidP="002A6075">
            <w:pPr>
              <w:pStyle w:val="TableBodyText"/>
              <w:ind w:left="113"/>
              <w:rPr>
                <w:rFonts w:cs="Arial"/>
                <w:sz w:val="18"/>
                <w:szCs w:val="18"/>
              </w:rPr>
            </w:pPr>
            <w:r w:rsidRPr="00D10074">
              <w:rPr>
                <w:rFonts w:cs="Arial"/>
                <w:sz w:val="18"/>
                <w:szCs w:val="18"/>
              </w:rPr>
              <w:t>AS 1012.20.1</w:t>
            </w:r>
          </w:p>
        </w:tc>
        <w:tc>
          <w:tcPr>
            <w:tcW w:w="1692" w:type="dxa"/>
            <w:shd w:val="clear" w:color="auto" w:fill="D9D9D9"/>
          </w:tcPr>
          <w:p w14:paraId="2E0CDE50"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3EB97077" w14:textId="74DA1728" w:rsidR="00BA4EF6" w:rsidRPr="00D10074" w:rsidRDefault="00BA4EF6" w:rsidP="002A6075">
            <w:pPr>
              <w:pStyle w:val="TableBodyText"/>
              <w:ind w:left="113"/>
              <w:rPr>
                <w:rFonts w:cs="Arial"/>
                <w:sz w:val="18"/>
                <w:szCs w:val="18"/>
              </w:rPr>
            </w:pPr>
            <w:r w:rsidRPr="00D10074">
              <w:rPr>
                <w:rFonts w:cs="Arial"/>
                <w:sz w:val="18"/>
                <w:szCs w:val="18"/>
              </w:rPr>
              <w:t>Report if exceeds 0.01%</w:t>
            </w:r>
          </w:p>
        </w:tc>
      </w:tr>
      <w:tr w:rsidR="00BA4EF6" w:rsidRPr="00D10074" w14:paraId="2594A2B5" w14:textId="77777777" w:rsidTr="0042332C">
        <w:tc>
          <w:tcPr>
            <w:tcW w:w="2552" w:type="dxa"/>
            <w:shd w:val="clear" w:color="auto" w:fill="D9D9D9"/>
          </w:tcPr>
          <w:p w14:paraId="385E7F65" w14:textId="77777777" w:rsidR="00BA4EF6" w:rsidRPr="00D10074" w:rsidRDefault="00BA4EF6" w:rsidP="002A6075">
            <w:pPr>
              <w:pStyle w:val="TableBodyText"/>
              <w:ind w:left="113"/>
              <w:rPr>
                <w:rFonts w:cs="Arial"/>
                <w:sz w:val="18"/>
                <w:szCs w:val="18"/>
              </w:rPr>
            </w:pPr>
            <w:r w:rsidRPr="00D10074">
              <w:rPr>
                <w:rFonts w:cs="Arial"/>
                <w:sz w:val="18"/>
                <w:szCs w:val="18"/>
              </w:rPr>
              <w:t>Chloride content</w:t>
            </w:r>
          </w:p>
        </w:tc>
        <w:tc>
          <w:tcPr>
            <w:tcW w:w="1568" w:type="dxa"/>
            <w:shd w:val="clear" w:color="auto" w:fill="D9D9D9"/>
          </w:tcPr>
          <w:p w14:paraId="1C4A2288" w14:textId="77777777" w:rsidR="00BA4EF6" w:rsidRPr="00D10074" w:rsidRDefault="00BA4EF6" w:rsidP="002A6075">
            <w:pPr>
              <w:pStyle w:val="TableParagraph"/>
              <w:spacing w:before="58"/>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1379</w:t>
            </w:r>
          </w:p>
          <w:p w14:paraId="631B70E7" w14:textId="77777777" w:rsidR="00BA4EF6" w:rsidRPr="00D10074" w:rsidRDefault="00BA4EF6" w:rsidP="002A6075">
            <w:pPr>
              <w:pStyle w:val="TableBodyText"/>
              <w:ind w:left="113"/>
              <w:rPr>
                <w:rFonts w:cs="Arial"/>
                <w:sz w:val="18"/>
                <w:szCs w:val="18"/>
              </w:rPr>
            </w:pPr>
            <w:r w:rsidRPr="00D10074">
              <w:rPr>
                <w:rFonts w:cs="Arial"/>
                <w:sz w:val="18"/>
                <w:szCs w:val="18"/>
              </w:rPr>
              <w:t>AS 1012.20.1</w:t>
            </w:r>
          </w:p>
        </w:tc>
        <w:tc>
          <w:tcPr>
            <w:tcW w:w="1692" w:type="dxa"/>
            <w:shd w:val="clear" w:color="auto" w:fill="D9D9D9"/>
          </w:tcPr>
          <w:p w14:paraId="2EC74248"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2D46A15E" w14:textId="6DB7492C" w:rsidR="00BA4EF6" w:rsidRPr="00D10074" w:rsidRDefault="00BA4EF6" w:rsidP="002A6075">
            <w:pPr>
              <w:pStyle w:val="TableBodyText"/>
              <w:ind w:left="113"/>
              <w:rPr>
                <w:rFonts w:cs="Arial"/>
                <w:sz w:val="18"/>
                <w:szCs w:val="18"/>
              </w:rPr>
            </w:pPr>
            <w:r w:rsidRPr="00D10074">
              <w:rPr>
                <w:rFonts w:cs="Arial"/>
                <w:sz w:val="18"/>
                <w:szCs w:val="18"/>
              </w:rPr>
              <w:t>Report if exceeds 0.01%</w:t>
            </w:r>
          </w:p>
          <w:p w14:paraId="09A96B7E" w14:textId="2B7F0FB4" w:rsidR="00BA4EF6" w:rsidRPr="00D10074" w:rsidRDefault="00BA4EF6" w:rsidP="002A6075">
            <w:pPr>
              <w:pStyle w:val="TableBodyText"/>
              <w:ind w:left="113"/>
              <w:rPr>
                <w:rFonts w:cs="Arial"/>
                <w:sz w:val="18"/>
                <w:szCs w:val="18"/>
              </w:rPr>
            </w:pPr>
            <w:r w:rsidRPr="00D10074">
              <w:rPr>
                <w:rFonts w:cs="Arial"/>
                <w:sz w:val="18"/>
                <w:szCs w:val="18"/>
              </w:rPr>
              <w:t>Max 0.04% for embedded steel reinforcement concrete</w:t>
            </w:r>
          </w:p>
          <w:p w14:paraId="438D7A2B" w14:textId="448A2377" w:rsidR="00BA4EF6" w:rsidRPr="00D10074" w:rsidRDefault="00BA4EF6" w:rsidP="002A6075">
            <w:pPr>
              <w:pStyle w:val="TableBodyText"/>
              <w:ind w:left="113"/>
              <w:rPr>
                <w:rFonts w:cs="Arial"/>
                <w:sz w:val="18"/>
                <w:szCs w:val="18"/>
              </w:rPr>
            </w:pPr>
            <w:r w:rsidRPr="00D10074">
              <w:rPr>
                <w:rFonts w:cs="Arial"/>
                <w:sz w:val="18"/>
                <w:szCs w:val="18"/>
              </w:rPr>
              <w:t>Max 0.15% for plain concrete</w:t>
            </w:r>
          </w:p>
        </w:tc>
      </w:tr>
      <w:tr w:rsidR="00BA4EF6" w:rsidRPr="00D10074" w14:paraId="591112CD" w14:textId="77777777" w:rsidTr="0042332C">
        <w:tc>
          <w:tcPr>
            <w:tcW w:w="2552" w:type="dxa"/>
            <w:shd w:val="clear" w:color="auto" w:fill="D9D9D9"/>
          </w:tcPr>
          <w:p w14:paraId="5232C07C" w14:textId="77777777" w:rsidR="00BA4EF6" w:rsidRPr="00D10074" w:rsidRDefault="00BA4EF6" w:rsidP="002A6075">
            <w:pPr>
              <w:pStyle w:val="TableBodyText"/>
              <w:ind w:left="113"/>
              <w:rPr>
                <w:rFonts w:cs="Arial"/>
                <w:sz w:val="18"/>
                <w:szCs w:val="18"/>
              </w:rPr>
            </w:pPr>
            <w:r w:rsidRPr="00D10074">
              <w:rPr>
                <w:rFonts w:cs="Arial"/>
                <w:sz w:val="18"/>
                <w:szCs w:val="18"/>
              </w:rPr>
              <w:t>Organic impurities (vegetable matter and wood particles)</w:t>
            </w:r>
          </w:p>
        </w:tc>
        <w:tc>
          <w:tcPr>
            <w:tcW w:w="1568" w:type="dxa"/>
            <w:shd w:val="clear" w:color="auto" w:fill="D9D9D9"/>
          </w:tcPr>
          <w:p w14:paraId="000F40DF" w14:textId="77777777"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1141.34</w:t>
            </w:r>
          </w:p>
          <w:p w14:paraId="64386D19" w14:textId="77777777" w:rsidR="00BA4EF6" w:rsidRPr="00D10074" w:rsidRDefault="00BA4EF6" w:rsidP="002A6075">
            <w:pPr>
              <w:pStyle w:val="TableBodyText"/>
              <w:ind w:left="113"/>
              <w:rPr>
                <w:rFonts w:cs="Arial"/>
                <w:sz w:val="18"/>
                <w:szCs w:val="18"/>
              </w:rPr>
            </w:pPr>
            <w:r w:rsidRPr="00D10074">
              <w:rPr>
                <w:rFonts w:cs="Arial"/>
                <w:sz w:val="18"/>
                <w:szCs w:val="18"/>
              </w:rPr>
              <w:t>AS 1289.4.1.1</w:t>
            </w:r>
          </w:p>
        </w:tc>
        <w:tc>
          <w:tcPr>
            <w:tcW w:w="1692" w:type="dxa"/>
            <w:shd w:val="clear" w:color="auto" w:fill="D9D9D9"/>
          </w:tcPr>
          <w:p w14:paraId="63BE39DD"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174BFC0C" w14:textId="3F52A848" w:rsidR="00BA4EF6" w:rsidRPr="00D10074" w:rsidRDefault="00BA4EF6" w:rsidP="00531C8A">
            <w:pPr>
              <w:pStyle w:val="TableBodyText"/>
              <w:rPr>
                <w:rFonts w:cs="Arial"/>
                <w:sz w:val="18"/>
                <w:szCs w:val="18"/>
              </w:rPr>
            </w:pPr>
            <w:r w:rsidRPr="00D10074">
              <w:rPr>
                <w:rFonts w:cs="Arial"/>
                <w:sz w:val="18"/>
                <w:szCs w:val="18"/>
              </w:rPr>
              <w:t>Test fails if colour is darker than reference colour (AS 1141.34)</w:t>
            </w:r>
            <w:r w:rsidR="00531C8A" w:rsidRPr="00D10074">
              <w:rPr>
                <w:rFonts w:cs="Arial"/>
                <w:sz w:val="18"/>
                <w:szCs w:val="18"/>
              </w:rPr>
              <w:t xml:space="preserve"> </w:t>
            </w:r>
            <w:r w:rsidRPr="00D10074">
              <w:rPr>
                <w:rFonts w:cs="Arial"/>
                <w:sz w:val="18"/>
                <w:szCs w:val="18"/>
              </w:rPr>
              <w:t>max 0.5% (AS 1289.4.1.1)</w:t>
            </w:r>
          </w:p>
        </w:tc>
      </w:tr>
      <w:tr w:rsidR="00BA4EF6" w:rsidRPr="00D10074" w14:paraId="61FF1412" w14:textId="77777777" w:rsidTr="0042332C">
        <w:tc>
          <w:tcPr>
            <w:tcW w:w="2552" w:type="dxa"/>
            <w:shd w:val="clear" w:color="auto" w:fill="D9D9D9"/>
          </w:tcPr>
          <w:p w14:paraId="7F0B3662" w14:textId="77777777" w:rsidR="00BA4EF6" w:rsidRPr="00D10074" w:rsidRDefault="00BA4EF6" w:rsidP="002A6075">
            <w:pPr>
              <w:pStyle w:val="TableBodyText"/>
              <w:ind w:left="113"/>
              <w:rPr>
                <w:rFonts w:cs="Arial"/>
                <w:sz w:val="18"/>
                <w:szCs w:val="18"/>
              </w:rPr>
            </w:pPr>
            <w:r w:rsidRPr="00D10074">
              <w:rPr>
                <w:rFonts w:cs="Arial"/>
                <w:sz w:val="18"/>
                <w:szCs w:val="18"/>
              </w:rPr>
              <w:t>Durability</w:t>
            </w:r>
          </w:p>
        </w:tc>
        <w:tc>
          <w:tcPr>
            <w:tcW w:w="1568" w:type="dxa"/>
            <w:shd w:val="clear" w:color="auto" w:fill="D9D9D9"/>
          </w:tcPr>
          <w:p w14:paraId="6C324DBA" w14:textId="443C6314"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2758.1, Clause</w:t>
            </w:r>
            <w:r w:rsidR="00A83A53" w:rsidRPr="00D10074">
              <w:rPr>
                <w:rFonts w:ascii="Arial" w:eastAsiaTheme="minorEastAsia" w:hAnsi="Arial" w:cs="Arial"/>
                <w:bCs/>
                <w:color w:val="000000"/>
                <w:sz w:val="18"/>
                <w:szCs w:val="18"/>
                <w:lang w:val="en-US" w:eastAsia="en-AU"/>
              </w:rPr>
              <w:t> </w:t>
            </w:r>
            <w:r w:rsidRPr="00D10074">
              <w:rPr>
                <w:rFonts w:ascii="Arial" w:eastAsiaTheme="minorEastAsia" w:hAnsi="Arial" w:cs="Arial"/>
                <w:bCs/>
                <w:color w:val="000000"/>
                <w:sz w:val="18"/>
                <w:szCs w:val="18"/>
                <w:lang w:val="en-US" w:eastAsia="en-AU"/>
              </w:rPr>
              <w:t>9.2.2.3</w:t>
            </w:r>
          </w:p>
        </w:tc>
        <w:tc>
          <w:tcPr>
            <w:tcW w:w="1692" w:type="dxa"/>
            <w:shd w:val="clear" w:color="auto" w:fill="D9D9D9"/>
          </w:tcPr>
          <w:p w14:paraId="60DCC9C9"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11360F8B" w14:textId="5D084B8B" w:rsidR="00BA4EF6" w:rsidRPr="00D10074" w:rsidRDefault="00BA4EF6" w:rsidP="002A6075">
            <w:pPr>
              <w:pStyle w:val="TableParagraph"/>
              <w:ind w:right="341"/>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2758.1, Clause 9.2.2.3</w:t>
            </w:r>
          </w:p>
        </w:tc>
      </w:tr>
      <w:tr w:rsidR="00BA4EF6" w:rsidRPr="00D10074" w14:paraId="62CB970D" w14:textId="77777777" w:rsidTr="0042332C">
        <w:tc>
          <w:tcPr>
            <w:tcW w:w="2552" w:type="dxa"/>
            <w:shd w:val="clear" w:color="auto" w:fill="D9D9D9"/>
          </w:tcPr>
          <w:p w14:paraId="11B1E8CF" w14:textId="1DB7E5E4" w:rsidR="00BA4EF6" w:rsidRPr="00D10074" w:rsidRDefault="00BA4EF6" w:rsidP="002A6075">
            <w:pPr>
              <w:pStyle w:val="TableBodyText"/>
              <w:ind w:left="113"/>
              <w:rPr>
                <w:rFonts w:cs="Arial"/>
                <w:sz w:val="18"/>
                <w:szCs w:val="18"/>
              </w:rPr>
            </w:pPr>
            <w:r w:rsidRPr="00D10074">
              <w:rPr>
                <w:rFonts w:cs="Arial"/>
                <w:sz w:val="18"/>
                <w:szCs w:val="18"/>
              </w:rPr>
              <w:t>Methylene Blue Absorption Value (MBV</w:t>
            </w:r>
            <w:r w:rsidR="00D75B2C" w:rsidRPr="00D10074">
              <w:rPr>
                <w:rFonts w:cs="Arial"/>
                <w:sz w:val="18"/>
                <w:szCs w:val="18"/>
              </w:rPr>
              <w:t>)</w:t>
            </w:r>
            <w:r w:rsidR="00D75B2C" w:rsidRPr="00D75B2C">
              <w:rPr>
                <w:rFonts w:cs="Arial"/>
                <w:position w:val="6"/>
                <w:sz w:val="18"/>
                <w:szCs w:val="18"/>
                <w:vertAlign w:val="superscript"/>
              </w:rPr>
              <w:t xml:space="preserve"> (</w:t>
            </w:r>
            <w:r w:rsidRPr="00D75B2C">
              <w:rPr>
                <w:rFonts w:cs="Arial"/>
                <w:position w:val="6"/>
                <w:sz w:val="18"/>
                <w:szCs w:val="18"/>
                <w:vertAlign w:val="superscript"/>
              </w:rPr>
              <w:t>2)</w:t>
            </w:r>
          </w:p>
        </w:tc>
        <w:tc>
          <w:tcPr>
            <w:tcW w:w="1568" w:type="dxa"/>
            <w:shd w:val="clear" w:color="auto" w:fill="D9D9D9"/>
          </w:tcPr>
          <w:p w14:paraId="713D00BF" w14:textId="77777777"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1141.66</w:t>
            </w:r>
          </w:p>
        </w:tc>
        <w:tc>
          <w:tcPr>
            <w:tcW w:w="1692" w:type="dxa"/>
            <w:shd w:val="clear" w:color="auto" w:fill="D9D9D9"/>
          </w:tcPr>
          <w:p w14:paraId="4C529E64"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189337AD" w14:textId="69A452EE" w:rsidR="00BA4EF6" w:rsidRPr="00D10074" w:rsidRDefault="00BA4EF6" w:rsidP="002A6075">
            <w:pPr>
              <w:pStyle w:val="TableParagraph"/>
              <w:ind w:right="341"/>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 5.0%</w:t>
            </w:r>
          </w:p>
        </w:tc>
      </w:tr>
      <w:tr w:rsidR="00BA4EF6" w:rsidRPr="00D10074" w14:paraId="6090CF2E" w14:textId="77777777" w:rsidTr="0042332C">
        <w:tc>
          <w:tcPr>
            <w:tcW w:w="2552" w:type="dxa"/>
            <w:shd w:val="clear" w:color="auto" w:fill="D9D9D9"/>
          </w:tcPr>
          <w:p w14:paraId="376EB832" w14:textId="1F82B089" w:rsidR="00BA4EF6" w:rsidRPr="00D10074" w:rsidRDefault="00BA4EF6" w:rsidP="002A6075">
            <w:pPr>
              <w:pStyle w:val="TableBodyText"/>
              <w:ind w:left="113"/>
              <w:rPr>
                <w:rFonts w:cs="Arial"/>
                <w:sz w:val="18"/>
                <w:szCs w:val="18"/>
              </w:rPr>
            </w:pPr>
            <w:r w:rsidRPr="00D10074">
              <w:rPr>
                <w:rFonts w:cs="Arial"/>
                <w:sz w:val="18"/>
                <w:szCs w:val="18"/>
              </w:rPr>
              <w:t>Deleterious fines index</w:t>
            </w:r>
            <w:r w:rsidR="00D75B2C">
              <w:rPr>
                <w:rFonts w:cs="Arial"/>
                <w:sz w:val="18"/>
                <w:szCs w:val="18"/>
              </w:rPr>
              <w:br/>
            </w:r>
            <w:r w:rsidRPr="00D10074">
              <w:rPr>
                <w:rFonts w:cs="Arial"/>
                <w:sz w:val="18"/>
                <w:szCs w:val="18"/>
              </w:rPr>
              <w:t xml:space="preserve">(DFI) </w:t>
            </w:r>
            <w:r w:rsidRPr="00BF1AF4">
              <w:rPr>
                <w:rFonts w:cs="Arial"/>
                <w:position w:val="6"/>
                <w:sz w:val="18"/>
                <w:szCs w:val="18"/>
                <w:vertAlign w:val="superscript"/>
              </w:rPr>
              <w:t>(3)</w:t>
            </w:r>
          </w:p>
        </w:tc>
        <w:tc>
          <w:tcPr>
            <w:tcW w:w="1568" w:type="dxa"/>
            <w:shd w:val="clear" w:color="auto" w:fill="D9D9D9"/>
          </w:tcPr>
          <w:p w14:paraId="2D9D3447" w14:textId="77777777"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2758.1</w:t>
            </w:r>
          </w:p>
        </w:tc>
        <w:tc>
          <w:tcPr>
            <w:tcW w:w="1692" w:type="dxa"/>
            <w:shd w:val="clear" w:color="auto" w:fill="D9D9D9"/>
          </w:tcPr>
          <w:p w14:paraId="02EB40AB"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161C8E6E" w14:textId="560D2694" w:rsidR="00BA4EF6" w:rsidRPr="00D10074" w:rsidRDefault="00BA4EF6" w:rsidP="002A6075">
            <w:pPr>
              <w:pStyle w:val="TableParagraph"/>
              <w:ind w:right="341"/>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w:t>
            </w:r>
            <w:r w:rsidR="00692A79" w:rsidRPr="00D10074">
              <w:rPr>
                <w:rFonts w:ascii="Arial" w:eastAsiaTheme="minorEastAsia" w:hAnsi="Arial" w:cs="Arial"/>
                <w:bCs/>
                <w:color w:val="000000"/>
                <w:sz w:val="18"/>
                <w:szCs w:val="18"/>
                <w:lang w:val="en-US" w:eastAsia="en-AU"/>
              </w:rPr>
              <w:t xml:space="preserve"> </w:t>
            </w:r>
            <w:r w:rsidRPr="00D10074">
              <w:rPr>
                <w:rFonts w:ascii="Arial" w:eastAsiaTheme="minorEastAsia" w:hAnsi="Arial" w:cs="Arial"/>
                <w:bCs/>
                <w:color w:val="000000"/>
                <w:sz w:val="18"/>
                <w:szCs w:val="18"/>
                <w:lang w:val="en-US" w:eastAsia="en-AU"/>
              </w:rPr>
              <w:t>150</w:t>
            </w:r>
          </w:p>
        </w:tc>
      </w:tr>
      <w:tr w:rsidR="00BA4EF6" w:rsidRPr="00D10074" w14:paraId="6D513DCF" w14:textId="77777777" w:rsidTr="0042332C">
        <w:tc>
          <w:tcPr>
            <w:tcW w:w="2552" w:type="dxa"/>
            <w:shd w:val="clear" w:color="auto" w:fill="D9D9D9"/>
          </w:tcPr>
          <w:p w14:paraId="2E68F18D" w14:textId="600E54AB" w:rsidR="00BA4EF6" w:rsidRPr="00D10074" w:rsidRDefault="00BA4EF6" w:rsidP="002A6075">
            <w:pPr>
              <w:pStyle w:val="TableBodyText"/>
              <w:ind w:left="113"/>
              <w:rPr>
                <w:rFonts w:cs="Arial"/>
                <w:sz w:val="18"/>
                <w:szCs w:val="18"/>
              </w:rPr>
            </w:pPr>
            <w:r w:rsidRPr="00D10074">
              <w:rPr>
                <w:rFonts w:cs="Arial"/>
                <w:sz w:val="18"/>
                <w:szCs w:val="18"/>
              </w:rPr>
              <w:t xml:space="preserve">Bulk </w:t>
            </w:r>
            <w:r w:rsidR="00E83B1F" w:rsidRPr="00D10074">
              <w:rPr>
                <w:rFonts w:cs="Arial"/>
                <w:sz w:val="18"/>
                <w:szCs w:val="18"/>
              </w:rPr>
              <w:t>d</w:t>
            </w:r>
            <w:r w:rsidRPr="00D10074">
              <w:rPr>
                <w:rFonts w:cs="Arial"/>
                <w:sz w:val="18"/>
                <w:szCs w:val="18"/>
              </w:rPr>
              <w:t>ensity (compacted)</w:t>
            </w:r>
          </w:p>
        </w:tc>
        <w:tc>
          <w:tcPr>
            <w:tcW w:w="1568" w:type="dxa"/>
            <w:shd w:val="clear" w:color="auto" w:fill="D9D9D9"/>
          </w:tcPr>
          <w:p w14:paraId="0B077FE6" w14:textId="77777777"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1141.4</w:t>
            </w:r>
          </w:p>
        </w:tc>
        <w:tc>
          <w:tcPr>
            <w:tcW w:w="1692" w:type="dxa"/>
            <w:shd w:val="clear" w:color="auto" w:fill="D9D9D9"/>
          </w:tcPr>
          <w:p w14:paraId="39C24D95"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6E271B5A" w14:textId="22314229" w:rsidR="00BA4EF6" w:rsidRPr="00D10074" w:rsidRDefault="00BA4EF6" w:rsidP="002A6075">
            <w:pPr>
              <w:pStyle w:val="TableParagraph"/>
              <w:ind w:right="341"/>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1</w:t>
            </w:r>
            <w:r w:rsidR="00692A79" w:rsidRPr="00D10074">
              <w:rPr>
                <w:rFonts w:ascii="Arial" w:eastAsiaTheme="minorEastAsia" w:hAnsi="Arial" w:cs="Arial"/>
                <w:bCs/>
                <w:color w:val="000000"/>
                <w:sz w:val="18"/>
                <w:szCs w:val="18"/>
                <w:lang w:val="en-US" w:eastAsia="en-AU"/>
              </w:rPr>
              <w:t> </w:t>
            </w:r>
            <w:r w:rsidRPr="00D10074">
              <w:rPr>
                <w:rFonts w:ascii="Arial" w:eastAsiaTheme="minorEastAsia" w:hAnsi="Arial" w:cs="Arial"/>
                <w:bCs/>
                <w:color w:val="000000"/>
                <w:sz w:val="18"/>
                <w:szCs w:val="18"/>
                <w:lang w:val="en-US" w:eastAsia="en-AU"/>
              </w:rPr>
              <w:t>200 kg/m</w:t>
            </w:r>
            <w:r w:rsidRPr="00D10074">
              <w:rPr>
                <w:rFonts w:ascii="Arial" w:eastAsiaTheme="minorEastAsia" w:hAnsi="Arial" w:cs="Arial"/>
                <w:bCs/>
                <w:color w:val="000000"/>
                <w:position w:val="6"/>
                <w:sz w:val="18"/>
                <w:szCs w:val="18"/>
                <w:lang w:val="en-US" w:eastAsia="en-AU"/>
              </w:rPr>
              <w:t xml:space="preserve">3 </w:t>
            </w:r>
            <w:r w:rsidRPr="00D10074">
              <w:rPr>
                <w:rFonts w:ascii="Arial" w:eastAsiaTheme="minorEastAsia" w:hAnsi="Arial" w:cs="Arial"/>
                <w:bCs/>
                <w:color w:val="000000"/>
                <w:sz w:val="18"/>
                <w:szCs w:val="18"/>
                <w:lang w:val="en-US" w:eastAsia="en-AU"/>
              </w:rPr>
              <w:t>minimum</w:t>
            </w:r>
          </w:p>
        </w:tc>
      </w:tr>
      <w:tr w:rsidR="00BA4EF6" w:rsidRPr="00D10074" w14:paraId="20842619" w14:textId="77777777" w:rsidTr="0042332C">
        <w:tc>
          <w:tcPr>
            <w:tcW w:w="2552" w:type="dxa"/>
            <w:shd w:val="clear" w:color="auto" w:fill="D9D9D9"/>
          </w:tcPr>
          <w:p w14:paraId="60BD209D" w14:textId="77777777" w:rsidR="00BA4EF6" w:rsidRPr="00D10074" w:rsidRDefault="00BA4EF6" w:rsidP="002A6075">
            <w:pPr>
              <w:pStyle w:val="TableBodyText"/>
              <w:ind w:left="113"/>
              <w:rPr>
                <w:rFonts w:cs="Arial"/>
                <w:sz w:val="18"/>
                <w:szCs w:val="18"/>
              </w:rPr>
            </w:pPr>
            <w:r w:rsidRPr="00D10074">
              <w:rPr>
                <w:rFonts w:cs="Arial"/>
                <w:sz w:val="18"/>
                <w:szCs w:val="18"/>
              </w:rPr>
              <w:t>Water absorption</w:t>
            </w:r>
          </w:p>
        </w:tc>
        <w:tc>
          <w:tcPr>
            <w:tcW w:w="1568" w:type="dxa"/>
            <w:shd w:val="clear" w:color="auto" w:fill="D9D9D9"/>
          </w:tcPr>
          <w:p w14:paraId="52990EF6" w14:textId="77777777"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 xml:space="preserve">AS 1141.5 </w:t>
            </w:r>
          </w:p>
        </w:tc>
        <w:tc>
          <w:tcPr>
            <w:tcW w:w="1692" w:type="dxa"/>
            <w:shd w:val="clear" w:color="auto" w:fill="D9D9D9"/>
          </w:tcPr>
          <w:p w14:paraId="54DFCABC"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28716032" w14:textId="20D31DA8" w:rsidR="00BA4EF6" w:rsidRPr="00D10074" w:rsidRDefault="00BA4EF6" w:rsidP="002A6075">
            <w:pPr>
              <w:pStyle w:val="TableParagraph"/>
              <w:ind w:right="341"/>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 1.0%</w:t>
            </w:r>
          </w:p>
        </w:tc>
      </w:tr>
      <w:tr w:rsidR="00BA4EF6" w:rsidRPr="00D10074" w14:paraId="4B1A134A" w14:textId="77777777" w:rsidTr="0042332C">
        <w:tc>
          <w:tcPr>
            <w:tcW w:w="2552" w:type="dxa"/>
            <w:shd w:val="clear" w:color="auto" w:fill="D9D9D9"/>
          </w:tcPr>
          <w:p w14:paraId="08B64EF3" w14:textId="77777777" w:rsidR="00BA4EF6" w:rsidRPr="00D10074" w:rsidRDefault="00BA4EF6" w:rsidP="002A6075">
            <w:pPr>
              <w:pStyle w:val="TableBodyText"/>
              <w:ind w:left="113"/>
              <w:rPr>
                <w:rFonts w:cs="Arial"/>
                <w:sz w:val="18"/>
                <w:szCs w:val="18"/>
              </w:rPr>
            </w:pPr>
            <w:r w:rsidRPr="00D10074">
              <w:rPr>
                <w:rFonts w:cs="Arial"/>
                <w:sz w:val="18"/>
                <w:szCs w:val="18"/>
              </w:rPr>
              <w:t>Soundness (sodium sulphate)</w:t>
            </w:r>
          </w:p>
        </w:tc>
        <w:tc>
          <w:tcPr>
            <w:tcW w:w="1568" w:type="dxa"/>
            <w:shd w:val="clear" w:color="auto" w:fill="D9D9D9"/>
          </w:tcPr>
          <w:p w14:paraId="54FF66CA" w14:textId="77777777" w:rsidR="00BA4EF6" w:rsidRPr="00D10074" w:rsidRDefault="00BA4EF6" w:rsidP="002A6075">
            <w:pPr>
              <w:pStyle w:val="TableParagraph"/>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AS 1141.24</w:t>
            </w:r>
          </w:p>
        </w:tc>
        <w:tc>
          <w:tcPr>
            <w:tcW w:w="1692" w:type="dxa"/>
            <w:shd w:val="clear" w:color="auto" w:fill="D9D9D9"/>
          </w:tcPr>
          <w:p w14:paraId="65173B28" w14:textId="77777777" w:rsidR="00BA4EF6" w:rsidRPr="00D10074" w:rsidRDefault="00BA4EF6" w:rsidP="002A6075">
            <w:pPr>
              <w:pStyle w:val="TableBodyText"/>
              <w:ind w:left="113"/>
              <w:rPr>
                <w:rFonts w:eastAsia="Arial" w:cs="Arial"/>
                <w:sz w:val="18"/>
                <w:szCs w:val="18"/>
                <w:lang w:eastAsia="ja-JP" w:bidi="en-US"/>
              </w:rPr>
            </w:pPr>
            <w:r w:rsidRPr="00D10074">
              <w:rPr>
                <w:rFonts w:eastAsia="Arial" w:cs="Arial"/>
                <w:sz w:val="18"/>
                <w:szCs w:val="18"/>
                <w:lang w:eastAsia="ja-JP" w:bidi="en-US"/>
              </w:rPr>
              <w:t xml:space="preserve">1 test per Lot </w:t>
            </w:r>
          </w:p>
        </w:tc>
        <w:tc>
          <w:tcPr>
            <w:tcW w:w="3119" w:type="dxa"/>
            <w:shd w:val="clear" w:color="auto" w:fill="D9D9D9"/>
          </w:tcPr>
          <w:p w14:paraId="47455D53" w14:textId="5E258155" w:rsidR="00BA4EF6" w:rsidRPr="00D10074" w:rsidRDefault="00BA4EF6" w:rsidP="002A6075">
            <w:pPr>
              <w:pStyle w:val="TableParagraph"/>
              <w:ind w:right="341"/>
              <w:rPr>
                <w:rFonts w:ascii="Arial" w:eastAsiaTheme="minorEastAsia" w:hAnsi="Arial" w:cs="Arial"/>
                <w:bCs/>
                <w:color w:val="000000"/>
                <w:sz w:val="18"/>
                <w:szCs w:val="18"/>
                <w:lang w:val="en-US" w:eastAsia="en-AU"/>
              </w:rPr>
            </w:pPr>
            <w:r w:rsidRPr="00D10074">
              <w:rPr>
                <w:rFonts w:ascii="Arial" w:eastAsiaTheme="minorEastAsia" w:hAnsi="Arial" w:cs="Arial"/>
                <w:bCs/>
                <w:color w:val="000000"/>
                <w:sz w:val="18"/>
                <w:szCs w:val="18"/>
                <w:lang w:val="en-US" w:eastAsia="en-AU"/>
              </w:rPr>
              <w:t>6.0% max weighted average loss</w:t>
            </w:r>
          </w:p>
        </w:tc>
      </w:tr>
    </w:tbl>
    <w:p w14:paraId="7DA18F11" w14:textId="63FF7E6A" w:rsidR="00736C68" w:rsidRPr="00025460" w:rsidRDefault="00BA4EF6" w:rsidP="003131DA">
      <w:pPr>
        <w:pStyle w:val="NoteHeading"/>
        <w:rPr>
          <w:lang w:eastAsia="en-AU"/>
        </w:rPr>
      </w:pPr>
      <w:r w:rsidRPr="00025460">
        <w:rPr>
          <w:lang w:eastAsia="en-AU"/>
        </w:rPr>
        <w:t>Notes:</w:t>
      </w:r>
    </w:p>
    <w:p w14:paraId="010C76D6" w14:textId="5FDF88C5" w:rsidR="00305F4B" w:rsidRPr="00D10074" w:rsidRDefault="00305F4B" w:rsidP="003131DA">
      <w:pPr>
        <w:pStyle w:val="Notes"/>
        <w:numPr>
          <w:ilvl w:val="0"/>
          <w:numId w:val="30"/>
        </w:numPr>
      </w:pPr>
      <w:r w:rsidRPr="00D10074">
        <w:t>If the lot size is between 500 and 1</w:t>
      </w:r>
      <w:r w:rsidR="00D24F7A" w:rsidRPr="00D10074">
        <w:t> </w:t>
      </w:r>
      <w:r w:rsidRPr="00D10074">
        <w:t>000 tonnes, the minimum test frequency is 3 tests per Lot.</w:t>
      </w:r>
    </w:p>
    <w:p w14:paraId="5637B281" w14:textId="1D8EE72D" w:rsidR="00305F4B" w:rsidRPr="00D10074" w:rsidRDefault="00305F4B" w:rsidP="003131DA">
      <w:pPr>
        <w:pStyle w:val="Notes"/>
        <w:numPr>
          <w:ilvl w:val="0"/>
          <w:numId w:val="30"/>
        </w:numPr>
      </w:pPr>
      <w:r w:rsidRPr="00D10074">
        <w:t>Required if material finer that 2 µm is more than 1.0% of grading.</w:t>
      </w:r>
    </w:p>
    <w:p w14:paraId="31C7D2A3" w14:textId="77777777" w:rsidR="00305F4B" w:rsidRPr="00D10074" w:rsidRDefault="00305F4B" w:rsidP="003131DA">
      <w:pPr>
        <w:pStyle w:val="Notes"/>
        <w:numPr>
          <w:ilvl w:val="0"/>
          <w:numId w:val="30"/>
        </w:numPr>
      </w:pPr>
      <w:r w:rsidRPr="00D10074">
        <w:t xml:space="preserve">DFI is the product of the MBV and the passing 75 </w:t>
      </w:r>
      <w:proofErr w:type="spellStart"/>
      <w:r w:rsidRPr="00D10074">
        <w:t>μm</w:t>
      </w:r>
      <w:proofErr w:type="spellEnd"/>
      <w:r w:rsidRPr="00D10074">
        <w:t xml:space="preserve"> value.</w:t>
      </w:r>
    </w:p>
    <w:p w14:paraId="0481C309" w14:textId="1F39026B" w:rsidR="00DD35F9" w:rsidRPr="00D10074" w:rsidRDefault="00AA54AB" w:rsidP="00DE3A31">
      <w:pPr>
        <w:pStyle w:val="Bodynumbered1"/>
      </w:pPr>
      <w:bookmarkStart w:id="59" w:name="_Ref153205861"/>
      <w:r w:rsidRPr="00D10074">
        <w:t xml:space="preserve">The </w:t>
      </w:r>
      <w:r w:rsidR="00DE3A31" w:rsidRPr="00D10074">
        <w:t>particle size distribution</w:t>
      </w:r>
      <w:r w:rsidRPr="00D10074">
        <w:t xml:space="preserve"> for RCG </w:t>
      </w:r>
      <w:r w:rsidR="006548C6" w:rsidRPr="00D10074">
        <w:t>must</w:t>
      </w:r>
      <w:r w:rsidRPr="00D10074">
        <w:t xml:space="preserve"> be determined in accordance with AS 1141.11.1 and AS 1141.12. The </w:t>
      </w:r>
      <w:r w:rsidR="00DE3A31" w:rsidRPr="00D10074">
        <w:t>particle size distribution</w:t>
      </w:r>
      <w:r w:rsidRPr="00D10074">
        <w:t xml:space="preserve"> </w:t>
      </w:r>
      <w:r w:rsidR="006548C6" w:rsidRPr="00D10074">
        <w:t>must</w:t>
      </w:r>
      <w:r w:rsidRPr="00D10074">
        <w:t xml:space="preserve"> not deviate from the submitted grading (as defined by AS 2758.1) by more than the limits of deviation for manufactured fine aggregate in AS 2758.1, as summarised in Table </w:t>
      </w:r>
      <w:r w:rsidR="003415FD">
        <w:fldChar w:fldCharType="begin"/>
      </w:r>
      <w:r w:rsidR="003415FD">
        <w:instrText xml:space="preserve"> REF _Ref153205861 \r \h </w:instrText>
      </w:r>
      <w:r w:rsidR="003415FD">
        <w:fldChar w:fldCharType="separate"/>
      </w:r>
      <w:r w:rsidR="00A30D3A">
        <w:t>8.6</w:t>
      </w:r>
      <w:r w:rsidR="003415FD">
        <w:fldChar w:fldCharType="end"/>
      </w:r>
      <w:r w:rsidRPr="00D10074">
        <w:t>.</w:t>
      </w:r>
      <w:bookmarkEnd w:id="59"/>
    </w:p>
    <w:p w14:paraId="2857AD07" w14:textId="4A6017BF" w:rsidR="00AA54AB" w:rsidRPr="00D10074" w:rsidRDefault="00AA54AB" w:rsidP="00F93C81">
      <w:pPr>
        <w:pStyle w:val="Caption"/>
        <w:rPr>
          <w:sz w:val="20"/>
          <w:szCs w:val="20"/>
        </w:rPr>
      </w:pPr>
      <w:r w:rsidRPr="00D10074">
        <w:rPr>
          <w:sz w:val="20"/>
          <w:szCs w:val="20"/>
        </w:rPr>
        <w:t xml:space="preserve">Table </w:t>
      </w:r>
      <w:r w:rsidR="003415FD">
        <w:rPr>
          <w:noProof/>
          <w:sz w:val="20"/>
          <w:szCs w:val="20"/>
        </w:rPr>
        <w:fldChar w:fldCharType="begin"/>
      </w:r>
      <w:r w:rsidR="003415FD">
        <w:rPr>
          <w:sz w:val="20"/>
          <w:szCs w:val="20"/>
        </w:rPr>
        <w:instrText xml:space="preserve"> REF _Ref153205861 \r \h </w:instrText>
      </w:r>
      <w:r w:rsidR="003415FD">
        <w:rPr>
          <w:noProof/>
          <w:sz w:val="20"/>
          <w:szCs w:val="20"/>
        </w:rPr>
      </w:r>
      <w:r w:rsidR="003415FD">
        <w:rPr>
          <w:noProof/>
          <w:sz w:val="20"/>
          <w:szCs w:val="20"/>
        </w:rPr>
        <w:fldChar w:fldCharType="separate"/>
      </w:r>
      <w:r w:rsidR="00A30D3A">
        <w:rPr>
          <w:sz w:val="20"/>
          <w:szCs w:val="20"/>
        </w:rPr>
        <w:t>8.6</w:t>
      </w:r>
      <w:r w:rsidR="003415FD">
        <w:rPr>
          <w:noProof/>
          <w:sz w:val="20"/>
          <w:szCs w:val="20"/>
        </w:rPr>
        <w:fldChar w:fldCharType="end"/>
      </w:r>
      <w:r w:rsidRPr="00D10074">
        <w:rPr>
          <w:sz w:val="20"/>
          <w:szCs w:val="20"/>
        </w:rPr>
        <w:t>:</w:t>
      </w:r>
      <w:r w:rsidR="003415FD">
        <w:rPr>
          <w:sz w:val="20"/>
          <w:szCs w:val="20"/>
        </w:rPr>
        <w:t xml:space="preserve"> </w:t>
      </w:r>
      <w:r w:rsidR="00F93C81" w:rsidRPr="00D10074">
        <w:rPr>
          <w:sz w:val="20"/>
          <w:szCs w:val="20"/>
        </w:rPr>
        <w:t xml:space="preserve">RCG </w:t>
      </w:r>
      <w:r w:rsidR="00D316EA" w:rsidRPr="00D10074">
        <w:rPr>
          <w:sz w:val="20"/>
          <w:szCs w:val="20"/>
        </w:rPr>
        <w:t xml:space="preserve">Limits </w:t>
      </w:r>
      <w:r w:rsidR="00F93C81" w:rsidRPr="00D10074">
        <w:rPr>
          <w:sz w:val="20"/>
          <w:szCs w:val="20"/>
        </w:rPr>
        <w:t xml:space="preserve">of </w:t>
      </w:r>
      <w:r w:rsidR="00D316EA" w:rsidRPr="00D10074">
        <w:rPr>
          <w:sz w:val="20"/>
          <w:szCs w:val="20"/>
        </w:rPr>
        <w:t>Derivation</w:t>
      </w:r>
    </w:p>
    <w:tbl>
      <w:tblPr>
        <w:tblStyle w:val="TMTable"/>
        <w:tblW w:w="3060" w:type="pct"/>
        <w:tblInd w:w="562" w:type="dxa"/>
        <w:tblLook w:val="04A0" w:firstRow="1" w:lastRow="0" w:firstColumn="1" w:lastColumn="0" w:noHBand="0" w:noVBand="1"/>
      </w:tblPr>
      <w:tblGrid>
        <w:gridCol w:w="2622"/>
        <w:gridCol w:w="3186"/>
      </w:tblGrid>
      <w:tr w:rsidR="00056AC6" w:rsidRPr="00D10074" w14:paraId="2EA53520" w14:textId="77777777" w:rsidTr="0042332C">
        <w:trPr>
          <w:cnfStyle w:val="100000000000" w:firstRow="1" w:lastRow="0" w:firstColumn="0" w:lastColumn="0" w:oddVBand="0" w:evenVBand="0" w:oddHBand="0" w:evenHBand="0" w:firstRowFirstColumn="0" w:firstRowLastColumn="0" w:lastRowFirstColumn="0" w:lastRowLastColumn="0"/>
          <w:trHeight w:val="655"/>
          <w:tblHeader/>
        </w:trPr>
        <w:tc>
          <w:tcPr>
            <w:tcW w:w="2257" w:type="pct"/>
            <w:vAlign w:val="center"/>
          </w:tcPr>
          <w:p w14:paraId="1C372F4F" w14:textId="546D271E" w:rsidR="00056AC6" w:rsidRPr="00D10074" w:rsidRDefault="00056AC6" w:rsidP="0042332C">
            <w:pPr>
              <w:pStyle w:val="TableHeading"/>
              <w:jc w:val="center"/>
              <w:rPr>
                <w:b/>
                <w:bCs/>
                <w:color w:val="auto"/>
                <w:sz w:val="18"/>
                <w:szCs w:val="18"/>
              </w:rPr>
            </w:pPr>
            <w:r w:rsidRPr="00D10074">
              <w:rPr>
                <w:b/>
                <w:bCs/>
                <w:color w:val="auto"/>
                <w:sz w:val="18"/>
                <w:szCs w:val="18"/>
              </w:rPr>
              <w:t xml:space="preserve">Sieve </w:t>
            </w:r>
            <w:r w:rsidR="00D316EA" w:rsidRPr="00D10074">
              <w:rPr>
                <w:b/>
                <w:bCs/>
                <w:color w:val="auto"/>
                <w:sz w:val="18"/>
                <w:szCs w:val="18"/>
              </w:rPr>
              <w:t xml:space="preserve">Aperture </w:t>
            </w:r>
            <w:r w:rsidRPr="00D10074">
              <w:rPr>
                <w:b/>
                <w:bCs/>
                <w:color w:val="auto"/>
                <w:sz w:val="18"/>
                <w:szCs w:val="18"/>
              </w:rPr>
              <w:t>(mm)</w:t>
            </w:r>
          </w:p>
        </w:tc>
        <w:tc>
          <w:tcPr>
            <w:tcW w:w="2743" w:type="pct"/>
            <w:vAlign w:val="center"/>
          </w:tcPr>
          <w:p w14:paraId="0C1EB11C" w14:textId="7F0718AB" w:rsidR="00056AC6" w:rsidRPr="00D10074" w:rsidRDefault="00056AC6" w:rsidP="0042332C">
            <w:pPr>
              <w:pStyle w:val="TableHeading"/>
              <w:jc w:val="center"/>
              <w:rPr>
                <w:b/>
                <w:bCs/>
                <w:color w:val="auto"/>
                <w:sz w:val="18"/>
                <w:szCs w:val="18"/>
              </w:rPr>
            </w:pPr>
            <w:r w:rsidRPr="00D10074">
              <w:rPr>
                <w:b/>
                <w:bCs/>
                <w:color w:val="auto"/>
                <w:sz w:val="18"/>
                <w:szCs w:val="18"/>
              </w:rPr>
              <w:t xml:space="preserve">Limits of </w:t>
            </w:r>
            <w:r w:rsidR="00D316EA" w:rsidRPr="00D10074">
              <w:rPr>
                <w:b/>
                <w:bCs/>
                <w:color w:val="auto"/>
                <w:sz w:val="18"/>
                <w:szCs w:val="18"/>
              </w:rPr>
              <w:t>Deviation</w:t>
            </w:r>
          </w:p>
          <w:p w14:paraId="107D369F" w14:textId="16562C74" w:rsidR="00056AC6" w:rsidRPr="00D10074" w:rsidRDefault="00056AC6" w:rsidP="0042332C">
            <w:pPr>
              <w:pStyle w:val="TableHeading"/>
              <w:jc w:val="center"/>
              <w:rPr>
                <w:b/>
                <w:bCs/>
                <w:color w:val="auto"/>
                <w:sz w:val="18"/>
                <w:szCs w:val="18"/>
              </w:rPr>
            </w:pPr>
            <w:r w:rsidRPr="00D10074">
              <w:rPr>
                <w:b/>
                <w:bCs/>
                <w:color w:val="auto"/>
                <w:sz w:val="18"/>
                <w:szCs w:val="18"/>
              </w:rPr>
              <w:t xml:space="preserve">Sieve </w:t>
            </w:r>
            <w:r w:rsidR="00D316EA" w:rsidRPr="00D10074">
              <w:rPr>
                <w:b/>
                <w:bCs/>
                <w:color w:val="auto"/>
                <w:sz w:val="18"/>
                <w:szCs w:val="18"/>
              </w:rPr>
              <w:t xml:space="preserve">Aperture </w:t>
            </w:r>
            <w:r w:rsidRPr="00D10074">
              <w:rPr>
                <w:b/>
                <w:bCs/>
                <w:color w:val="auto"/>
                <w:sz w:val="18"/>
                <w:szCs w:val="18"/>
              </w:rPr>
              <w:t>(%)</w:t>
            </w:r>
          </w:p>
        </w:tc>
      </w:tr>
      <w:tr w:rsidR="00056AC6" w:rsidRPr="00D10074" w14:paraId="5303962F" w14:textId="77777777" w:rsidTr="007D3748">
        <w:trPr>
          <w:trHeight w:val="1645"/>
        </w:trPr>
        <w:tc>
          <w:tcPr>
            <w:tcW w:w="2257" w:type="pct"/>
            <w:tcBorders>
              <w:top w:val="single" w:sz="8" w:space="0" w:color="FFFFFF" w:themeColor="background1"/>
              <w:bottom w:val="nil"/>
            </w:tcBorders>
          </w:tcPr>
          <w:p w14:paraId="12F3CB6B" w14:textId="77777777" w:rsidR="00056AC6" w:rsidRPr="00D10074" w:rsidRDefault="00056AC6" w:rsidP="002646A2">
            <w:pPr>
              <w:pStyle w:val="TableBodyText"/>
              <w:spacing w:before="80"/>
              <w:ind w:left="113"/>
              <w:jc w:val="center"/>
              <w:rPr>
                <w:sz w:val="18"/>
                <w:szCs w:val="18"/>
              </w:rPr>
            </w:pPr>
            <w:r w:rsidRPr="00D10074">
              <w:rPr>
                <w:sz w:val="18"/>
                <w:szCs w:val="18"/>
              </w:rPr>
              <w:t>4.75</w:t>
            </w:r>
          </w:p>
          <w:p w14:paraId="2DCF8397" w14:textId="77777777" w:rsidR="00056AC6" w:rsidRPr="00D10074" w:rsidRDefault="00056AC6" w:rsidP="002646A2">
            <w:pPr>
              <w:pStyle w:val="TableBodyText"/>
              <w:spacing w:before="80"/>
              <w:ind w:left="113"/>
              <w:jc w:val="center"/>
              <w:rPr>
                <w:sz w:val="18"/>
                <w:szCs w:val="18"/>
              </w:rPr>
            </w:pPr>
            <w:r w:rsidRPr="00D10074">
              <w:rPr>
                <w:sz w:val="18"/>
                <w:szCs w:val="18"/>
              </w:rPr>
              <w:t>2.36</w:t>
            </w:r>
          </w:p>
          <w:p w14:paraId="0CF808C8" w14:textId="77777777" w:rsidR="00056AC6" w:rsidRPr="00D10074" w:rsidRDefault="00056AC6" w:rsidP="002646A2">
            <w:pPr>
              <w:pStyle w:val="TableBodyText"/>
              <w:spacing w:before="80"/>
              <w:ind w:left="113"/>
              <w:jc w:val="center"/>
              <w:rPr>
                <w:sz w:val="18"/>
                <w:szCs w:val="18"/>
              </w:rPr>
            </w:pPr>
            <w:r w:rsidRPr="00D10074">
              <w:rPr>
                <w:sz w:val="18"/>
                <w:szCs w:val="18"/>
              </w:rPr>
              <w:t>1.18</w:t>
            </w:r>
          </w:p>
          <w:p w14:paraId="22759ABA" w14:textId="77777777" w:rsidR="00056AC6" w:rsidRPr="00D10074" w:rsidRDefault="00056AC6" w:rsidP="002646A2">
            <w:pPr>
              <w:pStyle w:val="TableBodyText"/>
              <w:spacing w:before="80"/>
              <w:ind w:left="113"/>
              <w:jc w:val="center"/>
              <w:rPr>
                <w:sz w:val="18"/>
                <w:szCs w:val="18"/>
              </w:rPr>
            </w:pPr>
            <w:r w:rsidRPr="00D10074">
              <w:rPr>
                <w:sz w:val="18"/>
                <w:szCs w:val="18"/>
              </w:rPr>
              <w:t>0.60</w:t>
            </w:r>
          </w:p>
          <w:p w14:paraId="14BDA2A5" w14:textId="77777777" w:rsidR="00056AC6" w:rsidRPr="00D10074" w:rsidRDefault="00056AC6" w:rsidP="002646A2">
            <w:pPr>
              <w:pStyle w:val="TableBodyText"/>
              <w:spacing w:before="80"/>
              <w:ind w:left="113"/>
              <w:jc w:val="center"/>
              <w:rPr>
                <w:sz w:val="18"/>
                <w:szCs w:val="18"/>
              </w:rPr>
            </w:pPr>
            <w:r w:rsidRPr="00D10074">
              <w:rPr>
                <w:sz w:val="18"/>
                <w:szCs w:val="18"/>
              </w:rPr>
              <w:t>0.30</w:t>
            </w:r>
          </w:p>
          <w:p w14:paraId="4A155BF2" w14:textId="77777777" w:rsidR="00056AC6" w:rsidRPr="00D10074" w:rsidRDefault="00056AC6" w:rsidP="002646A2">
            <w:pPr>
              <w:pStyle w:val="TableBodyText"/>
              <w:spacing w:before="80"/>
              <w:ind w:left="113"/>
              <w:jc w:val="center"/>
              <w:rPr>
                <w:sz w:val="18"/>
                <w:szCs w:val="18"/>
              </w:rPr>
            </w:pPr>
            <w:r w:rsidRPr="00D10074">
              <w:rPr>
                <w:sz w:val="18"/>
                <w:szCs w:val="18"/>
              </w:rPr>
              <w:t>0.15</w:t>
            </w:r>
          </w:p>
          <w:p w14:paraId="3075421C" w14:textId="77777777" w:rsidR="00056AC6" w:rsidRPr="00D10074" w:rsidRDefault="00056AC6" w:rsidP="002646A2">
            <w:pPr>
              <w:pStyle w:val="TableBodyText"/>
              <w:spacing w:before="80"/>
              <w:ind w:left="113"/>
              <w:jc w:val="center"/>
              <w:rPr>
                <w:sz w:val="18"/>
                <w:szCs w:val="18"/>
              </w:rPr>
            </w:pPr>
            <w:r w:rsidRPr="00D10074">
              <w:rPr>
                <w:sz w:val="18"/>
                <w:szCs w:val="18"/>
              </w:rPr>
              <w:t>0.075</w:t>
            </w:r>
          </w:p>
        </w:tc>
        <w:tc>
          <w:tcPr>
            <w:tcW w:w="2743" w:type="pct"/>
            <w:tcBorders>
              <w:top w:val="single" w:sz="8" w:space="0" w:color="FFFFFF" w:themeColor="background1"/>
              <w:bottom w:val="nil"/>
            </w:tcBorders>
          </w:tcPr>
          <w:p w14:paraId="1D75F4EE" w14:textId="77777777" w:rsidR="00056AC6" w:rsidRPr="00D10074" w:rsidRDefault="00056AC6" w:rsidP="002646A2">
            <w:pPr>
              <w:pStyle w:val="TableBodyText"/>
              <w:spacing w:before="80"/>
              <w:ind w:left="113"/>
              <w:jc w:val="center"/>
              <w:rPr>
                <w:sz w:val="18"/>
                <w:szCs w:val="18"/>
              </w:rPr>
            </w:pPr>
            <w:r w:rsidRPr="00D10074">
              <w:rPr>
                <w:rFonts w:cs="Arial"/>
                <w:sz w:val="18"/>
                <w:szCs w:val="18"/>
              </w:rPr>
              <w:t xml:space="preserve">± </w:t>
            </w:r>
            <w:r w:rsidRPr="00D10074">
              <w:rPr>
                <w:sz w:val="18"/>
                <w:szCs w:val="18"/>
              </w:rPr>
              <w:t>5</w:t>
            </w:r>
          </w:p>
          <w:p w14:paraId="5142103F" w14:textId="77777777" w:rsidR="00056AC6" w:rsidRPr="00D10074" w:rsidRDefault="00056AC6" w:rsidP="002646A2">
            <w:pPr>
              <w:pStyle w:val="TableBodyText"/>
              <w:spacing w:before="80"/>
              <w:ind w:left="113"/>
              <w:jc w:val="center"/>
              <w:rPr>
                <w:sz w:val="18"/>
                <w:szCs w:val="18"/>
              </w:rPr>
            </w:pPr>
            <w:r w:rsidRPr="00D10074">
              <w:rPr>
                <w:rFonts w:cs="Arial"/>
                <w:sz w:val="18"/>
                <w:szCs w:val="18"/>
              </w:rPr>
              <w:t xml:space="preserve">± </w:t>
            </w:r>
            <w:r w:rsidRPr="00D10074">
              <w:rPr>
                <w:sz w:val="18"/>
                <w:szCs w:val="18"/>
              </w:rPr>
              <w:t>10</w:t>
            </w:r>
          </w:p>
          <w:p w14:paraId="6E762D28" w14:textId="77777777" w:rsidR="00056AC6" w:rsidRPr="00D10074" w:rsidRDefault="00056AC6" w:rsidP="002646A2">
            <w:pPr>
              <w:pStyle w:val="TableBodyText"/>
              <w:spacing w:before="80"/>
              <w:ind w:left="113"/>
              <w:jc w:val="center"/>
              <w:rPr>
                <w:sz w:val="18"/>
                <w:szCs w:val="18"/>
              </w:rPr>
            </w:pPr>
            <w:r w:rsidRPr="00D10074">
              <w:rPr>
                <w:rFonts w:cs="Arial"/>
                <w:sz w:val="18"/>
                <w:szCs w:val="18"/>
              </w:rPr>
              <w:t xml:space="preserve">± </w:t>
            </w:r>
            <w:r w:rsidRPr="00D10074">
              <w:rPr>
                <w:sz w:val="18"/>
                <w:szCs w:val="18"/>
              </w:rPr>
              <w:t>15</w:t>
            </w:r>
          </w:p>
          <w:p w14:paraId="46AF436E" w14:textId="77777777" w:rsidR="00056AC6" w:rsidRPr="00D10074" w:rsidRDefault="00056AC6" w:rsidP="002646A2">
            <w:pPr>
              <w:pStyle w:val="TableBodyText"/>
              <w:spacing w:before="80"/>
              <w:ind w:left="113"/>
              <w:jc w:val="center"/>
              <w:rPr>
                <w:sz w:val="18"/>
                <w:szCs w:val="18"/>
              </w:rPr>
            </w:pPr>
            <w:r w:rsidRPr="00D10074">
              <w:rPr>
                <w:rFonts w:cs="Arial"/>
                <w:sz w:val="18"/>
                <w:szCs w:val="18"/>
              </w:rPr>
              <w:t xml:space="preserve">± </w:t>
            </w:r>
            <w:r w:rsidRPr="00D10074">
              <w:rPr>
                <w:sz w:val="18"/>
                <w:szCs w:val="18"/>
              </w:rPr>
              <w:t>15</w:t>
            </w:r>
          </w:p>
          <w:p w14:paraId="4CBA9C04" w14:textId="77777777" w:rsidR="00056AC6" w:rsidRPr="00D10074" w:rsidRDefault="00056AC6" w:rsidP="002646A2">
            <w:pPr>
              <w:pStyle w:val="TableBodyText"/>
              <w:spacing w:before="80"/>
              <w:ind w:left="113"/>
              <w:jc w:val="center"/>
              <w:rPr>
                <w:sz w:val="18"/>
                <w:szCs w:val="18"/>
              </w:rPr>
            </w:pPr>
            <w:r w:rsidRPr="00D10074">
              <w:rPr>
                <w:rFonts w:cs="Arial"/>
                <w:sz w:val="18"/>
                <w:szCs w:val="18"/>
              </w:rPr>
              <w:t xml:space="preserve">± </w:t>
            </w:r>
            <w:r w:rsidRPr="00D10074">
              <w:rPr>
                <w:sz w:val="18"/>
                <w:szCs w:val="18"/>
              </w:rPr>
              <w:t>10</w:t>
            </w:r>
          </w:p>
          <w:p w14:paraId="2E00231D" w14:textId="77777777" w:rsidR="00056AC6" w:rsidRPr="00D10074" w:rsidRDefault="00056AC6" w:rsidP="002646A2">
            <w:pPr>
              <w:pStyle w:val="TableBodyText"/>
              <w:spacing w:before="80"/>
              <w:ind w:left="113"/>
              <w:jc w:val="center"/>
              <w:rPr>
                <w:sz w:val="18"/>
                <w:szCs w:val="18"/>
              </w:rPr>
            </w:pPr>
            <w:r w:rsidRPr="00D10074">
              <w:rPr>
                <w:rFonts w:cs="Arial"/>
                <w:sz w:val="18"/>
                <w:szCs w:val="18"/>
              </w:rPr>
              <w:t xml:space="preserve">± </w:t>
            </w:r>
            <w:r w:rsidRPr="00D10074">
              <w:rPr>
                <w:sz w:val="18"/>
                <w:szCs w:val="18"/>
              </w:rPr>
              <w:t>5</w:t>
            </w:r>
          </w:p>
          <w:p w14:paraId="564FEB52" w14:textId="77777777" w:rsidR="00056AC6" w:rsidRPr="00D10074" w:rsidRDefault="00056AC6" w:rsidP="002646A2">
            <w:pPr>
              <w:pStyle w:val="TableBodyText"/>
              <w:spacing w:before="80"/>
              <w:ind w:left="113"/>
              <w:jc w:val="center"/>
              <w:rPr>
                <w:sz w:val="18"/>
                <w:szCs w:val="18"/>
              </w:rPr>
            </w:pPr>
            <w:r w:rsidRPr="00D10074">
              <w:rPr>
                <w:rFonts w:cs="Arial"/>
                <w:sz w:val="18"/>
                <w:szCs w:val="18"/>
              </w:rPr>
              <w:t xml:space="preserve">± </w:t>
            </w:r>
            <w:r w:rsidRPr="00D10074">
              <w:rPr>
                <w:sz w:val="18"/>
                <w:szCs w:val="18"/>
              </w:rPr>
              <w:t>5</w:t>
            </w:r>
          </w:p>
        </w:tc>
      </w:tr>
    </w:tbl>
    <w:p w14:paraId="4FEA2E85" w14:textId="77777777" w:rsidR="006279DF" w:rsidRPr="00D10074" w:rsidRDefault="006279DF" w:rsidP="006279DF">
      <w:pPr>
        <w:pStyle w:val="Bodynumbered1"/>
      </w:pPr>
      <w:r w:rsidRPr="00D10074">
        <w:lastRenderedPageBreak/>
        <w:t>Apparent particle density, dry particle density, saturated surface dry density and water absorption must be determined in accordance with AS 1141.5.</w:t>
      </w:r>
    </w:p>
    <w:p w14:paraId="66078439" w14:textId="7B21CC16" w:rsidR="006279DF" w:rsidRPr="00D10074" w:rsidRDefault="006279DF" w:rsidP="006279DF">
      <w:pPr>
        <w:pStyle w:val="Bodynumbered1"/>
      </w:pPr>
      <w:r w:rsidRPr="00D10074">
        <w:t xml:space="preserve">Aggregates </w:t>
      </w:r>
      <w:r w:rsidR="006548C6" w:rsidRPr="00D10074">
        <w:t>must</w:t>
      </w:r>
      <w:r w:rsidRPr="00D10074">
        <w:t xml:space="preserve"> be assessed for any unstable silica minerals by petrographic examination in accordance with ASTM C295.</w:t>
      </w:r>
    </w:p>
    <w:p w14:paraId="0F701941" w14:textId="09C1C012" w:rsidR="00F93C81" w:rsidRPr="00D10074" w:rsidRDefault="006279DF" w:rsidP="006279DF">
      <w:pPr>
        <w:pStyle w:val="Heading2"/>
      </w:pPr>
      <w:bookmarkStart w:id="60" w:name="_Toc153204304"/>
      <w:r w:rsidRPr="00D10074">
        <w:t>Alkali-Silica Reactivity</w:t>
      </w:r>
      <w:bookmarkEnd w:id="60"/>
    </w:p>
    <w:p w14:paraId="03B87F12" w14:textId="528F8C91" w:rsidR="000C5824" w:rsidRPr="00D10074" w:rsidRDefault="000C5824" w:rsidP="000C5824">
      <w:pPr>
        <w:pStyle w:val="Bodynumbered1"/>
      </w:pPr>
      <w:bookmarkStart w:id="61" w:name="_Ref141862083"/>
      <w:r w:rsidRPr="00D10074">
        <w:t xml:space="preserve">Unless the Principal has approved </w:t>
      </w:r>
      <w:r w:rsidR="00AF497A" w:rsidRPr="00D10074">
        <w:t xml:space="preserve">the </w:t>
      </w:r>
      <w:r w:rsidRPr="00D10074">
        <w:t>concrete mix and waived the requirement for Alkali-Silica Reactivity (ASR) testing, RCG as fine aggregate replacement must be tested in accordance with AS 1141.60.1. However, if AS1141.60.1 is not suitable for the type of aggregate being tested, or its suitability is unknown, testing in accordance with AS 1141.60.2 must be undertaken.</w:t>
      </w:r>
      <w:bookmarkEnd w:id="61"/>
    </w:p>
    <w:p w14:paraId="57EF9993" w14:textId="2EE349B4" w:rsidR="000C5824" w:rsidRPr="00D10074" w:rsidRDefault="000C5824" w:rsidP="000C5824">
      <w:pPr>
        <w:pStyle w:val="Bodynumbered1"/>
      </w:pPr>
      <w:r w:rsidRPr="00D10074">
        <w:t xml:space="preserve">If the RCG is identified as having a potential for ASR when tested in accordance with AS 1141.60.1 or AS 1141.60.2, then treatment to control the effect </w:t>
      </w:r>
      <w:r w:rsidR="006548C6" w:rsidRPr="00D10074">
        <w:t>must</w:t>
      </w:r>
      <w:r w:rsidRPr="00D10074">
        <w:t xml:space="preserve"> be in accordance with SA HB 79.</w:t>
      </w:r>
    </w:p>
    <w:p w14:paraId="0123ECAB" w14:textId="609CF08C" w:rsidR="000C4621" w:rsidRPr="00D10074" w:rsidRDefault="004D7B6F" w:rsidP="000C4621">
      <w:pPr>
        <w:pStyle w:val="Heading1"/>
      </w:pPr>
      <w:bookmarkStart w:id="62" w:name="_Ref83398091"/>
      <w:bookmarkStart w:id="63" w:name="_Toc86833458"/>
      <w:bookmarkStart w:id="64" w:name="_Toc153204305"/>
      <w:r w:rsidRPr="00D10074">
        <w:t>Testing and Conformance</w:t>
      </w:r>
      <w:bookmarkEnd w:id="62"/>
      <w:bookmarkEnd w:id="63"/>
      <w:bookmarkEnd w:id="64"/>
    </w:p>
    <w:p w14:paraId="4FD0B01B" w14:textId="37365759" w:rsidR="000518BE" w:rsidRPr="00D10074" w:rsidRDefault="000518BE" w:rsidP="000518BE">
      <w:pPr>
        <w:pStyle w:val="Bodynumbered1"/>
      </w:pPr>
      <w:r w:rsidRPr="00D10074">
        <w:t>Sampling must be carried out in accordance with AS 1141.3.1</w:t>
      </w:r>
      <w:r w:rsidR="008D4458" w:rsidRPr="00D10074">
        <w:t>.</w:t>
      </w:r>
    </w:p>
    <w:p w14:paraId="1400D294" w14:textId="247BB80E" w:rsidR="000518BE" w:rsidRPr="00D10074" w:rsidRDefault="000518BE" w:rsidP="000518BE">
      <w:pPr>
        <w:pStyle w:val="Bodynumbered1"/>
      </w:pPr>
      <w:r w:rsidRPr="00D10074">
        <w:t xml:space="preserve">The maximum Lot size is 500 tonnes, unless otherwise relaxed under Clause </w:t>
      </w:r>
      <w:r w:rsidRPr="00D10074">
        <w:fldChar w:fldCharType="begin"/>
      </w:r>
      <w:r w:rsidRPr="00D10074">
        <w:instrText xml:space="preserve"> REF _Ref83397089 \r \h </w:instrText>
      </w:r>
      <w:r w:rsidR="00273803" w:rsidRPr="00D10074">
        <w:instrText xml:space="preserve"> \* MERGEFORMAT </w:instrText>
      </w:r>
      <w:r w:rsidRPr="00D10074">
        <w:fldChar w:fldCharType="separate"/>
      </w:r>
      <w:r w:rsidR="00A30D3A">
        <w:t>9.3</w:t>
      </w:r>
      <w:r w:rsidRPr="00D10074">
        <w:fldChar w:fldCharType="end"/>
      </w:r>
      <w:r w:rsidRPr="00D10074">
        <w:t>. Nonconforming Lots must not be incorporated into the Works.</w:t>
      </w:r>
    </w:p>
    <w:p w14:paraId="5A3B0FA9" w14:textId="21D417DF" w:rsidR="002A0786" w:rsidRPr="00D10074" w:rsidRDefault="000518BE" w:rsidP="000518BE">
      <w:pPr>
        <w:pStyle w:val="Bodynumbered1"/>
      </w:pPr>
      <w:bookmarkStart w:id="65" w:name="_Ref83397089"/>
      <w:bookmarkStart w:id="66" w:name="_Ref149136772"/>
      <w:r w:rsidRPr="00D10074">
        <w:t xml:space="preserve">The Contractor may submit a </w:t>
      </w:r>
      <w:r w:rsidR="0036568E" w:rsidRPr="00D10074">
        <w:t>proposal</w:t>
      </w:r>
      <w:r w:rsidRPr="00D10074">
        <w:t xml:space="preserve"> to the </w:t>
      </w:r>
      <w:proofErr w:type="gramStart"/>
      <w:r w:rsidRPr="00D10074">
        <w:t>Principal</w:t>
      </w:r>
      <w:proofErr w:type="gramEnd"/>
      <w:r w:rsidRPr="00D10074">
        <w:t xml:space="preserve"> </w:t>
      </w:r>
      <w:r w:rsidR="006D75CF" w:rsidRPr="00D10074">
        <w:t>to increase the size of a Lot</w:t>
      </w:r>
      <w:r w:rsidR="00CC6F19" w:rsidRPr="00D10074">
        <w:t xml:space="preserve"> </w:t>
      </w:r>
      <w:r w:rsidRPr="00D10074">
        <w:t>where the process control has achieved a consistent product</w:t>
      </w:r>
      <w:r w:rsidR="00CC6F19" w:rsidRPr="00D10074">
        <w:t>,</w:t>
      </w:r>
      <w:r w:rsidRPr="00D10074">
        <w:t xml:space="preserve"> as demonstrated by 5 consecutive Lots conforming to the requirements of this Specification. The maximum Lot size may be increased as specified in Table</w:t>
      </w:r>
      <w:r w:rsidR="00B1161E" w:rsidRPr="00D10074">
        <w:t> </w:t>
      </w:r>
      <w:r w:rsidR="003D71F8" w:rsidRPr="00D10074">
        <w:fldChar w:fldCharType="begin"/>
      </w:r>
      <w:r w:rsidR="003D71F8" w:rsidRPr="00D10074">
        <w:instrText xml:space="preserve"> REF _Ref149136772 \r \h </w:instrText>
      </w:r>
      <w:r w:rsidR="00D10074">
        <w:instrText xml:space="preserve"> \* MERGEFORMAT </w:instrText>
      </w:r>
      <w:r w:rsidR="003D71F8" w:rsidRPr="00D10074">
        <w:fldChar w:fldCharType="separate"/>
      </w:r>
      <w:r w:rsidR="00A30D3A">
        <w:t>9.3</w:t>
      </w:r>
      <w:r w:rsidR="003D71F8" w:rsidRPr="00D10074">
        <w:fldChar w:fldCharType="end"/>
      </w:r>
      <w:r w:rsidRPr="00D10074">
        <w:t>.</w:t>
      </w:r>
      <w:bookmarkEnd w:id="65"/>
      <w:r w:rsidR="0036568E" w:rsidRPr="00D10074">
        <w:t xml:space="preserve"> The </w:t>
      </w:r>
      <w:proofErr w:type="gramStart"/>
      <w:r w:rsidR="0036568E" w:rsidRPr="00D10074">
        <w:t>Principal</w:t>
      </w:r>
      <w:proofErr w:type="gramEnd"/>
      <w:r w:rsidR="0036568E" w:rsidRPr="00D10074">
        <w:t xml:space="preserve"> is under no obligation to accept any such proposal.</w:t>
      </w:r>
      <w:bookmarkEnd w:id="66"/>
    </w:p>
    <w:p w14:paraId="54DD4D9D" w14:textId="17523FAC" w:rsidR="000518BE" w:rsidRPr="00D10074" w:rsidRDefault="000518BE" w:rsidP="00F17146">
      <w:pPr>
        <w:pStyle w:val="Caption"/>
      </w:pPr>
      <w:r w:rsidRPr="00D10074">
        <w:t xml:space="preserve">Table </w:t>
      </w:r>
      <w:r w:rsidR="003D71F8" w:rsidRPr="00D10074">
        <w:fldChar w:fldCharType="begin"/>
      </w:r>
      <w:r w:rsidR="003D71F8" w:rsidRPr="00D10074">
        <w:instrText xml:space="preserve"> REF _Ref149136772 \r \h </w:instrText>
      </w:r>
      <w:r w:rsidR="00D10074">
        <w:instrText xml:space="preserve"> \* MERGEFORMAT </w:instrText>
      </w:r>
      <w:r w:rsidR="003D71F8" w:rsidRPr="00D10074">
        <w:fldChar w:fldCharType="separate"/>
      </w:r>
      <w:r w:rsidR="00A30D3A">
        <w:t>9.3</w:t>
      </w:r>
      <w:r w:rsidR="003D71F8" w:rsidRPr="00D10074">
        <w:fldChar w:fldCharType="end"/>
      </w:r>
      <w:r w:rsidRPr="00D10074">
        <w:t>:</w:t>
      </w:r>
      <w:r w:rsidRPr="00D10074">
        <w:tab/>
      </w:r>
      <w:r w:rsidR="00F17146" w:rsidRPr="00D10074">
        <w:t xml:space="preserve">Revision to </w:t>
      </w:r>
      <w:r w:rsidR="00273803" w:rsidRPr="00D10074">
        <w:t xml:space="preserve">Maximum </w:t>
      </w:r>
      <w:r w:rsidR="00F17146" w:rsidRPr="00D10074">
        <w:t xml:space="preserve">Lot </w:t>
      </w:r>
      <w:r w:rsidR="00273803" w:rsidRPr="00D10074">
        <w:t>Size</w:t>
      </w:r>
    </w:p>
    <w:tbl>
      <w:tblPr>
        <w:tblW w:w="9072"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4537"/>
        <w:gridCol w:w="4535"/>
      </w:tblGrid>
      <w:tr w:rsidR="00DE1881" w:rsidRPr="00D10074" w14:paraId="5B4C2F4D" w14:textId="77777777" w:rsidTr="0097292F">
        <w:tc>
          <w:tcPr>
            <w:tcW w:w="4537" w:type="dxa"/>
            <w:shd w:val="clear" w:color="auto" w:fill="BEBEBE"/>
          </w:tcPr>
          <w:p w14:paraId="20681E68" w14:textId="219A8E87" w:rsidR="00DE1881" w:rsidRPr="00D10074" w:rsidRDefault="00DE1881" w:rsidP="0097292F">
            <w:pPr>
              <w:pStyle w:val="TableHeading"/>
              <w:ind w:left="139"/>
              <w:rPr>
                <w:rFonts w:cs="Arial"/>
                <w:color w:val="auto"/>
                <w:sz w:val="18"/>
                <w:szCs w:val="18"/>
              </w:rPr>
            </w:pPr>
            <w:r w:rsidRPr="00D10074">
              <w:rPr>
                <w:color w:val="auto"/>
                <w:sz w:val="18"/>
                <w:szCs w:val="18"/>
              </w:rPr>
              <w:t xml:space="preserve">Number of </w:t>
            </w:r>
            <w:r w:rsidR="0007228F" w:rsidRPr="00D10074">
              <w:rPr>
                <w:color w:val="auto"/>
                <w:sz w:val="18"/>
                <w:szCs w:val="18"/>
              </w:rPr>
              <w:t xml:space="preserve">Consecutive Complying </w:t>
            </w:r>
            <w:r w:rsidRPr="00D10074">
              <w:rPr>
                <w:color w:val="auto"/>
                <w:sz w:val="18"/>
                <w:szCs w:val="18"/>
              </w:rPr>
              <w:t>Lot</w:t>
            </w:r>
            <w:r w:rsidR="0007228F" w:rsidRPr="00D10074">
              <w:rPr>
                <w:color w:val="auto"/>
                <w:sz w:val="18"/>
                <w:szCs w:val="18"/>
              </w:rPr>
              <w:t>s</w:t>
            </w:r>
          </w:p>
        </w:tc>
        <w:tc>
          <w:tcPr>
            <w:tcW w:w="4535" w:type="dxa"/>
            <w:shd w:val="clear" w:color="auto" w:fill="BEBEBE"/>
          </w:tcPr>
          <w:p w14:paraId="55633DF1" w14:textId="6BA4854B" w:rsidR="00DE1881" w:rsidRPr="00D10074" w:rsidRDefault="00DE1881" w:rsidP="0097292F">
            <w:pPr>
              <w:pStyle w:val="TableHeading"/>
              <w:ind w:left="145"/>
              <w:rPr>
                <w:rFonts w:cs="Arial"/>
                <w:color w:val="auto"/>
                <w:sz w:val="18"/>
                <w:szCs w:val="18"/>
              </w:rPr>
            </w:pPr>
            <w:r w:rsidRPr="00D10074">
              <w:rPr>
                <w:color w:val="auto"/>
                <w:sz w:val="18"/>
                <w:szCs w:val="18"/>
              </w:rPr>
              <w:t xml:space="preserve">Maximum Lot </w:t>
            </w:r>
            <w:r w:rsidR="0007228F" w:rsidRPr="00D10074">
              <w:rPr>
                <w:color w:val="auto"/>
                <w:sz w:val="18"/>
                <w:szCs w:val="18"/>
              </w:rPr>
              <w:t>Size</w:t>
            </w:r>
          </w:p>
        </w:tc>
      </w:tr>
      <w:tr w:rsidR="00DE1881" w:rsidRPr="00D10074" w14:paraId="0AB655E8" w14:textId="77777777" w:rsidTr="0097292F">
        <w:tc>
          <w:tcPr>
            <w:tcW w:w="4537" w:type="dxa"/>
            <w:shd w:val="clear" w:color="auto" w:fill="D9D9D9"/>
          </w:tcPr>
          <w:p w14:paraId="14BF7444" w14:textId="77777777" w:rsidR="00DE1881" w:rsidRPr="00D10074" w:rsidRDefault="00DE1881" w:rsidP="0097292F">
            <w:pPr>
              <w:pStyle w:val="TableBodyText"/>
              <w:ind w:left="558"/>
              <w:rPr>
                <w:sz w:val="18"/>
                <w:szCs w:val="18"/>
              </w:rPr>
            </w:pPr>
            <w:r w:rsidRPr="00D10074">
              <w:rPr>
                <w:sz w:val="18"/>
                <w:szCs w:val="18"/>
              </w:rPr>
              <w:t>&lt; 5</w:t>
            </w:r>
          </w:p>
        </w:tc>
        <w:tc>
          <w:tcPr>
            <w:tcW w:w="4535" w:type="dxa"/>
            <w:shd w:val="clear" w:color="auto" w:fill="D9D9D9"/>
          </w:tcPr>
          <w:p w14:paraId="0FDC1FA2" w14:textId="77777777" w:rsidR="00DE1881" w:rsidRPr="00D10074" w:rsidRDefault="00DE1881" w:rsidP="0097292F">
            <w:pPr>
              <w:pStyle w:val="TableBodyText"/>
              <w:ind w:left="113"/>
              <w:rPr>
                <w:sz w:val="18"/>
                <w:szCs w:val="18"/>
              </w:rPr>
            </w:pPr>
            <w:r w:rsidRPr="00D10074">
              <w:rPr>
                <w:sz w:val="18"/>
                <w:szCs w:val="18"/>
              </w:rPr>
              <w:t>500 tonnes</w:t>
            </w:r>
          </w:p>
        </w:tc>
      </w:tr>
      <w:tr w:rsidR="00DE1881" w:rsidRPr="00D10074" w14:paraId="21A8D0C0" w14:textId="77777777" w:rsidTr="0097292F">
        <w:tc>
          <w:tcPr>
            <w:tcW w:w="4537" w:type="dxa"/>
            <w:shd w:val="clear" w:color="auto" w:fill="D9D9D9"/>
          </w:tcPr>
          <w:p w14:paraId="100A66C6" w14:textId="77777777" w:rsidR="00DE1881" w:rsidRPr="00D10074" w:rsidRDefault="00DE1881" w:rsidP="0097292F">
            <w:pPr>
              <w:pStyle w:val="TableBodyText"/>
              <w:ind w:left="558"/>
              <w:rPr>
                <w:sz w:val="18"/>
                <w:szCs w:val="18"/>
              </w:rPr>
            </w:pPr>
            <w:r w:rsidRPr="00D10074">
              <w:rPr>
                <w:sz w:val="18"/>
                <w:szCs w:val="18"/>
              </w:rPr>
              <w:t>≥ 5</w:t>
            </w:r>
          </w:p>
        </w:tc>
        <w:tc>
          <w:tcPr>
            <w:tcW w:w="4535" w:type="dxa"/>
            <w:shd w:val="clear" w:color="auto" w:fill="D9D9D9"/>
          </w:tcPr>
          <w:p w14:paraId="7A1563F6" w14:textId="77777777" w:rsidR="00DE1881" w:rsidRPr="00D10074" w:rsidRDefault="00DE1881" w:rsidP="0097292F">
            <w:pPr>
              <w:pStyle w:val="TableBodyText"/>
              <w:ind w:left="113"/>
              <w:rPr>
                <w:sz w:val="18"/>
                <w:szCs w:val="18"/>
              </w:rPr>
            </w:pPr>
            <w:r w:rsidRPr="00D10074">
              <w:rPr>
                <w:sz w:val="18"/>
                <w:szCs w:val="18"/>
              </w:rPr>
              <w:t>1000 tonnes</w:t>
            </w:r>
          </w:p>
        </w:tc>
      </w:tr>
    </w:tbl>
    <w:p w14:paraId="10FD611C" w14:textId="65EB28B5" w:rsidR="00F17146" w:rsidRPr="00D10074" w:rsidRDefault="008B1F80" w:rsidP="0005664A">
      <w:pPr>
        <w:pStyle w:val="Bodynumbered1"/>
      </w:pPr>
      <w:bookmarkStart w:id="67" w:name="_Ref83397347"/>
      <w:r w:rsidRPr="00D10074">
        <w:t xml:space="preserve">Unless the requirement to provide </w:t>
      </w:r>
      <w:proofErr w:type="gramStart"/>
      <w:r w:rsidRPr="00D10074">
        <w:t>test</w:t>
      </w:r>
      <w:proofErr w:type="gramEnd"/>
      <w:r w:rsidRPr="00D10074">
        <w:t xml:space="preserve"> certificates is waived by the Principal, the Contractor must submit test certificates to demonstrate compliance with the requirements of this Specification prior to Incorporation of the RCG into the Works.</w:t>
      </w:r>
      <w:bookmarkEnd w:id="67"/>
      <w:r w:rsidR="0005664A" w:rsidRPr="00D10074">
        <w:t xml:space="preserve"> The test certificates must include details about the source of the RCG</w:t>
      </w:r>
      <w:r w:rsidR="008B277E" w:rsidRPr="00D10074">
        <w:t xml:space="preserve">, test results </w:t>
      </w:r>
      <w:r w:rsidR="0005664A" w:rsidRPr="00D10074">
        <w:t>and any other relevant information.</w:t>
      </w:r>
    </w:p>
    <w:tbl>
      <w:tblPr>
        <w:tblStyle w:val="TMTable"/>
        <w:tblW w:w="9072" w:type="dxa"/>
        <w:tblInd w:w="557" w:type="dxa"/>
        <w:tblLook w:val="04A0" w:firstRow="1" w:lastRow="0" w:firstColumn="1" w:lastColumn="0" w:noHBand="0" w:noVBand="1"/>
      </w:tblPr>
      <w:tblGrid>
        <w:gridCol w:w="1985"/>
        <w:gridCol w:w="7087"/>
      </w:tblGrid>
      <w:tr w:rsidR="00A854DD" w:rsidRPr="00D10074" w14:paraId="4D3E8028" w14:textId="77777777" w:rsidTr="00A854DD">
        <w:trPr>
          <w:cnfStyle w:val="100000000000" w:firstRow="1" w:lastRow="0" w:firstColumn="0" w:lastColumn="0" w:oddVBand="0" w:evenVBand="0" w:oddHBand="0" w:evenHBand="0" w:firstRowFirstColumn="0" w:firstRowLastColumn="0" w:lastRowFirstColumn="0" w:lastRowLastColumn="0"/>
          <w:tblHeader/>
        </w:trPr>
        <w:tc>
          <w:tcPr>
            <w:tcW w:w="9072" w:type="dxa"/>
            <w:gridSpan w:val="2"/>
            <w:shd w:val="clear" w:color="auto" w:fill="004259"/>
            <w:hideMark/>
          </w:tcPr>
          <w:p w14:paraId="20C55444" w14:textId="417652B5" w:rsidR="00A854DD" w:rsidRPr="00D10074" w:rsidRDefault="00A854DD" w:rsidP="002A6075">
            <w:pPr>
              <w:pStyle w:val="TableHeading"/>
              <w:rPr>
                <w:b/>
                <w:bCs/>
              </w:rPr>
            </w:pPr>
            <w:r w:rsidRPr="00D10074">
              <w:rPr>
                <w:b/>
                <w:bCs/>
              </w:rPr>
              <w:t>HOLD POINT </w:t>
            </w:r>
            <w:r w:rsidR="0042332C" w:rsidRPr="00D10074">
              <w:rPr>
                <w:b/>
                <w:bCs/>
              </w:rPr>
              <w:t>2</w:t>
            </w:r>
          </w:p>
        </w:tc>
      </w:tr>
      <w:tr w:rsidR="00A854DD" w:rsidRPr="00D10074" w14:paraId="3F177576" w14:textId="77777777" w:rsidTr="002A6075">
        <w:tc>
          <w:tcPr>
            <w:tcW w:w="1985" w:type="dxa"/>
            <w:tcBorders>
              <w:bottom w:val="single" w:sz="4" w:space="0" w:color="FFFFFF" w:themeColor="background1"/>
            </w:tcBorders>
            <w:hideMark/>
          </w:tcPr>
          <w:p w14:paraId="71C754FF" w14:textId="77777777" w:rsidR="00A854DD" w:rsidRPr="00D10074" w:rsidRDefault="00A854DD" w:rsidP="002A6075">
            <w:pPr>
              <w:pStyle w:val="TableBodyText"/>
              <w:rPr>
                <w:rFonts w:cstheme="minorBidi"/>
                <w:b/>
              </w:rPr>
            </w:pPr>
            <w:r w:rsidRPr="00D10074">
              <w:t>Process Held</w:t>
            </w:r>
          </w:p>
        </w:tc>
        <w:tc>
          <w:tcPr>
            <w:tcW w:w="7087" w:type="dxa"/>
            <w:tcBorders>
              <w:bottom w:val="single" w:sz="4" w:space="0" w:color="FFFFFF" w:themeColor="background1"/>
            </w:tcBorders>
            <w:hideMark/>
          </w:tcPr>
          <w:p w14:paraId="0714AC02" w14:textId="77777777" w:rsidR="00A854DD" w:rsidRPr="00D10074" w:rsidRDefault="00A854DD" w:rsidP="002A6075">
            <w:pPr>
              <w:pStyle w:val="TableBodyText"/>
              <w:rPr>
                <w:b/>
              </w:rPr>
            </w:pPr>
            <w:r w:rsidRPr="00D10074">
              <w:t>Incorporation of RCG into the Works.</w:t>
            </w:r>
          </w:p>
        </w:tc>
      </w:tr>
      <w:tr w:rsidR="00A854DD" w:rsidRPr="00D10074" w14:paraId="10B3165F" w14:textId="77777777" w:rsidTr="002A6075">
        <w:tc>
          <w:tcPr>
            <w:tcW w:w="1985" w:type="dxa"/>
            <w:tcBorders>
              <w:bottom w:val="single" w:sz="4" w:space="0" w:color="FFFFFF" w:themeColor="background1"/>
            </w:tcBorders>
            <w:hideMark/>
          </w:tcPr>
          <w:p w14:paraId="0201F435" w14:textId="77777777" w:rsidR="00A854DD" w:rsidRPr="00D10074" w:rsidRDefault="00A854DD" w:rsidP="002A6075">
            <w:pPr>
              <w:pStyle w:val="TableBodyText"/>
            </w:pPr>
            <w:r w:rsidRPr="00D10074">
              <w:t>Submission Details</w:t>
            </w:r>
          </w:p>
        </w:tc>
        <w:tc>
          <w:tcPr>
            <w:tcW w:w="7087" w:type="dxa"/>
            <w:tcBorders>
              <w:bottom w:val="single" w:sz="4" w:space="0" w:color="FFFFFF" w:themeColor="background1"/>
            </w:tcBorders>
            <w:hideMark/>
          </w:tcPr>
          <w:p w14:paraId="20023B8B" w14:textId="77777777" w:rsidR="00A854DD" w:rsidRPr="00D10074" w:rsidRDefault="00A854DD" w:rsidP="002A6075">
            <w:pPr>
              <w:pStyle w:val="TableBodyText"/>
            </w:pPr>
            <w:r w:rsidRPr="00D10074">
              <w:t xml:space="preserve">The test results must be submitted to the </w:t>
            </w:r>
            <w:proofErr w:type="gramStart"/>
            <w:r w:rsidRPr="00D10074">
              <w:t>Principal</w:t>
            </w:r>
            <w:proofErr w:type="gramEnd"/>
            <w:r w:rsidRPr="00D10074">
              <w:t xml:space="preserve"> prior to the incorporation of the RCG into the Works.</w:t>
            </w:r>
          </w:p>
        </w:tc>
      </w:tr>
    </w:tbl>
    <w:p w14:paraId="26D4B625" w14:textId="77777777" w:rsidR="00A07FEF" w:rsidRPr="00D10074" w:rsidRDefault="00A07FEF" w:rsidP="00751F63">
      <w:pPr>
        <w:pStyle w:val="AnnexureHeading"/>
        <w:ind w:left="1843" w:hanging="1843"/>
      </w:pPr>
      <w:bookmarkStart w:id="68" w:name="_Toc26182495"/>
      <w:bookmarkStart w:id="69" w:name="_Toc153204306"/>
      <w:r w:rsidRPr="00D10074">
        <w:lastRenderedPageBreak/>
        <w:t>Annexure A:</w:t>
      </w:r>
      <w:r w:rsidRPr="00D10074">
        <w:tab/>
        <w:t>Summary of Hold Points, Witness Points and Records</w:t>
      </w:r>
      <w:bookmarkEnd w:id="68"/>
      <w:bookmarkEnd w:id="69"/>
    </w:p>
    <w:p w14:paraId="495C6921" w14:textId="77777777" w:rsidR="00D3735D" w:rsidRPr="00D10074" w:rsidRDefault="00CF24A6" w:rsidP="00D3735D">
      <w:pPr>
        <w:pStyle w:val="BodyText"/>
      </w:pPr>
      <w:r w:rsidRPr="00D10074">
        <w:t xml:space="preserve">The following is a summary of the Witness Points/Hold Points that apply to this specification and the Records that the Contractor must submit to the </w:t>
      </w:r>
      <w:proofErr w:type="gramStart"/>
      <w:r w:rsidRPr="00D10074">
        <w:t>Principal</w:t>
      </w:r>
      <w:proofErr w:type="gramEnd"/>
      <w:r w:rsidRPr="00D10074">
        <w:t xml:space="preserve">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29"/>
        <w:gridCol w:w="3969"/>
        <w:gridCol w:w="1985"/>
        <w:gridCol w:w="2551"/>
      </w:tblGrid>
      <w:tr w:rsidR="00A07FEF" w:rsidRPr="00D10074" w14:paraId="07F12851" w14:textId="77777777" w:rsidTr="0042332C">
        <w:trPr>
          <w:cnfStyle w:val="100000000000" w:firstRow="1" w:lastRow="0" w:firstColumn="0" w:lastColumn="0" w:oddVBand="0" w:evenVBand="0" w:oddHBand="0" w:evenHBand="0" w:firstRowFirstColumn="0" w:firstRowLastColumn="0" w:lastRowFirstColumn="0" w:lastRowLastColumn="0"/>
        </w:trPr>
        <w:tc>
          <w:tcPr>
            <w:tcW w:w="1129" w:type="dxa"/>
            <w:tcBorders>
              <w:top w:val="single" w:sz="4" w:space="0" w:color="FFFFFF" w:themeColor="background1"/>
            </w:tcBorders>
            <w:shd w:val="clear" w:color="auto" w:fill="004259"/>
          </w:tcPr>
          <w:p w14:paraId="7939FFF6" w14:textId="77777777" w:rsidR="00A07FEF" w:rsidRPr="00D10074" w:rsidRDefault="00A07FEF" w:rsidP="00A07FEF">
            <w:pPr>
              <w:pStyle w:val="TableHeading"/>
              <w:rPr>
                <w:rFonts w:eastAsia="SimSun"/>
                <w:b/>
                <w:bCs/>
              </w:rPr>
            </w:pPr>
            <w:r w:rsidRPr="00D10074">
              <w:rPr>
                <w:rFonts w:eastAsia="SimSun"/>
                <w:b/>
                <w:bCs/>
              </w:rPr>
              <w:t>C</w:t>
            </w:r>
            <w:r w:rsidR="000B1E68" w:rsidRPr="00D10074">
              <w:rPr>
                <w:rFonts w:eastAsia="SimSun"/>
                <w:b/>
                <w:bCs/>
              </w:rPr>
              <w:t>lause</w:t>
            </w:r>
          </w:p>
        </w:tc>
        <w:tc>
          <w:tcPr>
            <w:tcW w:w="3969" w:type="dxa"/>
            <w:tcBorders>
              <w:top w:val="single" w:sz="4" w:space="0" w:color="FFFFFF" w:themeColor="background1"/>
            </w:tcBorders>
            <w:shd w:val="clear" w:color="auto" w:fill="004259"/>
          </w:tcPr>
          <w:p w14:paraId="411D6C90" w14:textId="77777777" w:rsidR="00A07FEF" w:rsidRPr="00D10074" w:rsidRDefault="00A07FEF" w:rsidP="00A07FEF">
            <w:pPr>
              <w:pStyle w:val="TableHeading"/>
              <w:rPr>
                <w:rFonts w:eastAsia="SimSun"/>
                <w:b/>
                <w:bCs/>
              </w:rPr>
            </w:pPr>
            <w:r w:rsidRPr="00D10074">
              <w:rPr>
                <w:rFonts w:eastAsia="SimSun"/>
                <w:b/>
                <w:bCs/>
              </w:rPr>
              <w:t>H</w:t>
            </w:r>
            <w:r w:rsidR="000B1E68" w:rsidRPr="00D10074">
              <w:rPr>
                <w:rFonts w:eastAsia="SimSun"/>
                <w:b/>
                <w:bCs/>
              </w:rPr>
              <w:t>old point</w:t>
            </w:r>
          </w:p>
        </w:tc>
        <w:tc>
          <w:tcPr>
            <w:tcW w:w="1985" w:type="dxa"/>
            <w:tcBorders>
              <w:top w:val="single" w:sz="4" w:space="0" w:color="FFFFFF" w:themeColor="background1"/>
            </w:tcBorders>
            <w:shd w:val="clear" w:color="auto" w:fill="004259"/>
          </w:tcPr>
          <w:p w14:paraId="20DAB53E" w14:textId="77777777" w:rsidR="00A07FEF" w:rsidRPr="00D10074" w:rsidRDefault="000B1E68" w:rsidP="00A07FEF">
            <w:pPr>
              <w:pStyle w:val="TableHeading"/>
              <w:rPr>
                <w:rFonts w:eastAsia="SimSun"/>
                <w:b/>
                <w:bCs/>
              </w:rPr>
            </w:pPr>
            <w:r w:rsidRPr="00D10074">
              <w:rPr>
                <w:rFonts w:eastAsia="SimSun"/>
                <w:b/>
                <w:bCs/>
              </w:rPr>
              <w:t>Witness point</w:t>
            </w:r>
          </w:p>
        </w:tc>
        <w:tc>
          <w:tcPr>
            <w:tcW w:w="2551" w:type="dxa"/>
            <w:tcBorders>
              <w:top w:val="single" w:sz="4" w:space="0" w:color="FFFFFF" w:themeColor="background1"/>
            </w:tcBorders>
            <w:shd w:val="clear" w:color="auto" w:fill="004259"/>
          </w:tcPr>
          <w:p w14:paraId="0167D8B4" w14:textId="77777777" w:rsidR="00A07FEF" w:rsidRPr="00D10074" w:rsidRDefault="000B1E68" w:rsidP="00A07FEF">
            <w:pPr>
              <w:pStyle w:val="TableHeading"/>
              <w:rPr>
                <w:rFonts w:eastAsia="SimSun"/>
                <w:b/>
                <w:bCs/>
              </w:rPr>
            </w:pPr>
            <w:r w:rsidRPr="00D10074">
              <w:rPr>
                <w:rFonts w:eastAsia="SimSun"/>
                <w:b/>
                <w:bCs/>
              </w:rPr>
              <w:t>Record</w:t>
            </w:r>
          </w:p>
        </w:tc>
      </w:tr>
      <w:tr w:rsidR="0025035F" w:rsidRPr="00D10074" w14:paraId="2F57704C" w14:textId="77777777" w:rsidTr="0042332C">
        <w:trPr>
          <w:trHeight w:val="309"/>
        </w:trPr>
        <w:tc>
          <w:tcPr>
            <w:tcW w:w="1129" w:type="dxa"/>
            <w:shd w:val="clear" w:color="auto" w:fill="D9D9D9" w:themeFill="background1" w:themeFillShade="D9"/>
          </w:tcPr>
          <w:p w14:paraId="49A4645F" w14:textId="37B97538" w:rsidR="0025035F" w:rsidRPr="00D10074" w:rsidRDefault="003F3B0D" w:rsidP="0025035F">
            <w:pPr>
              <w:pStyle w:val="TableBodyText"/>
            </w:pPr>
            <w:r w:rsidRPr="00D10074">
              <w:fldChar w:fldCharType="begin"/>
            </w:r>
            <w:r w:rsidRPr="00D10074">
              <w:instrText xml:space="preserve"> REF _Ref92360548 \r \h </w:instrText>
            </w:r>
            <w:r w:rsidR="00273803" w:rsidRPr="00D10074">
              <w:instrText xml:space="preserve"> \* MERGEFORMAT </w:instrText>
            </w:r>
            <w:r w:rsidRPr="00D10074">
              <w:fldChar w:fldCharType="separate"/>
            </w:r>
            <w:r w:rsidR="00A30D3A">
              <w:t>4.1</w:t>
            </w:r>
            <w:r w:rsidRPr="00D10074">
              <w:fldChar w:fldCharType="end"/>
            </w:r>
          </w:p>
        </w:tc>
        <w:tc>
          <w:tcPr>
            <w:tcW w:w="3969" w:type="dxa"/>
            <w:shd w:val="clear" w:color="auto" w:fill="D9D9D9" w:themeFill="background1" w:themeFillShade="D9"/>
          </w:tcPr>
          <w:p w14:paraId="42AB77A7" w14:textId="29149BB5" w:rsidR="0025035F" w:rsidRPr="00D10074" w:rsidRDefault="0025035F" w:rsidP="005977A7">
            <w:pPr>
              <w:pStyle w:val="TableBodyText"/>
              <w:numPr>
                <w:ilvl w:val="0"/>
                <w:numId w:val="31"/>
              </w:numPr>
            </w:pPr>
            <w:r w:rsidRPr="00D10074">
              <w:t>Quality system conformance.</w:t>
            </w:r>
          </w:p>
        </w:tc>
        <w:tc>
          <w:tcPr>
            <w:tcW w:w="1985" w:type="dxa"/>
            <w:shd w:val="clear" w:color="auto" w:fill="D9D9D9" w:themeFill="background1" w:themeFillShade="D9"/>
          </w:tcPr>
          <w:p w14:paraId="471A0973" w14:textId="77777777" w:rsidR="0025035F" w:rsidRPr="00D10074" w:rsidRDefault="0025035F" w:rsidP="0025035F">
            <w:pPr>
              <w:pStyle w:val="TableBodyText"/>
            </w:pPr>
          </w:p>
        </w:tc>
        <w:tc>
          <w:tcPr>
            <w:tcW w:w="2551" w:type="dxa"/>
            <w:shd w:val="clear" w:color="auto" w:fill="D9D9D9" w:themeFill="background1" w:themeFillShade="D9"/>
          </w:tcPr>
          <w:p w14:paraId="4CE95B11" w14:textId="16CFF675" w:rsidR="0025035F" w:rsidRPr="00D10074" w:rsidRDefault="0025035F" w:rsidP="0025035F">
            <w:pPr>
              <w:pStyle w:val="TableBodyText"/>
            </w:pPr>
            <w:r w:rsidRPr="00D10074">
              <w:t>Quality Plan</w:t>
            </w:r>
          </w:p>
        </w:tc>
      </w:tr>
      <w:tr w:rsidR="005719DD" w:rsidRPr="00D10074" w14:paraId="26CFC29B" w14:textId="77777777" w:rsidTr="0042332C">
        <w:tc>
          <w:tcPr>
            <w:tcW w:w="1129" w:type="dxa"/>
            <w:shd w:val="clear" w:color="auto" w:fill="D9D9D9" w:themeFill="background1" w:themeFillShade="D9"/>
          </w:tcPr>
          <w:p w14:paraId="487BD446" w14:textId="10E05588" w:rsidR="005719DD" w:rsidRPr="00D10074" w:rsidRDefault="005719DD" w:rsidP="005719DD">
            <w:pPr>
              <w:pStyle w:val="TableBodyText"/>
            </w:pPr>
            <w:r w:rsidRPr="00D10074">
              <w:fldChar w:fldCharType="begin"/>
            </w:r>
            <w:r w:rsidRPr="00D10074">
              <w:instrText xml:space="preserve"> REF _Ref83397347 \r \h  \* MERGEFORMAT </w:instrText>
            </w:r>
            <w:r w:rsidRPr="00D10074">
              <w:fldChar w:fldCharType="separate"/>
            </w:r>
            <w:r w:rsidR="00A30D3A">
              <w:t>9.4</w:t>
            </w:r>
            <w:r w:rsidRPr="00D10074">
              <w:fldChar w:fldCharType="end"/>
            </w:r>
          </w:p>
        </w:tc>
        <w:tc>
          <w:tcPr>
            <w:tcW w:w="3969" w:type="dxa"/>
            <w:shd w:val="clear" w:color="auto" w:fill="D9D9D9" w:themeFill="background1" w:themeFillShade="D9"/>
          </w:tcPr>
          <w:p w14:paraId="518B51E7" w14:textId="4BBD6B09" w:rsidR="005719DD" w:rsidRPr="00D10074" w:rsidRDefault="005719DD" w:rsidP="005977A7">
            <w:pPr>
              <w:pStyle w:val="TableBodyText"/>
              <w:numPr>
                <w:ilvl w:val="0"/>
                <w:numId w:val="31"/>
              </w:numPr>
            </w:pPr>
            <w:r w:rsidRPr="00D10074">
              <w:t>Incorporation of RCG into the Works.</w:t>
            </w:r>
          </w:p>
        </w:tc>
        <w:tc>
          <w:tcPr>
            <w:tcW w:w="1985" w:type="dxa"/>
            <w:shd w:val="clear" w:color="auto" w:fill="D9D9D9" w:themeFill="background1" w:themeFillShade="D9"/>
          </w:tcPr>
          <w:p w14:paraId="68D1E7E7" w14:textId="77777777" w:rsidR="005719DD" w:rsidRPr="00D10074" w:rsidRDefault="005719DD" w:rsidP="005719DD">
            <w:pPr>
              <w:pStyle w:val="TableBodyText"/>
            </w:pPr>
          </w:p>
        </w:tc>
        <w:tc>
          <w:tcPr>
            <w:tcW w:w="2551" w:type="dxa"/>
            <w:shd w:val="clear" w:color="auto" w:fill="D9D9D9" w:themeFill="background1" w:themeFillShade="D9"/>
          </w:tcPr>
          <w:p w14:paraId="57BA72B7" w14:textId="26623B62" w:rsidR="005719DD" w:rsidRPr="00D10074" w:rsidRDefault="005719DD" w:rsidP="005719DD">
            <w:pPr>
              <w:pStyle w:val="TableBodyText"/>
            </w:pPr>
            <w:r w:rsidRPr="00D10074">
              <w:t>Test Certificates</w:t>
            </w:r>
          </w:p>
        </w:tc>
      </w:tr>
    </w:tbl>
    <w:p w14:paraId="3951DC49" w14:textId="77777777" w:rsidR="00A07FEF" w:rsidRPr="00D10074" w:rsidRDefault="00A07FEF" w:rsidP="00A07FEF">
      <w:pPr>
        <w:ind w:left="851"/>
      </w:pPr>
    </w:p>
    <w:p w14:paraId="147CBAEF" w14:textId="77777777" w:rsidR="00AF1D72" w:rsidRPr="00D10074" w:rsidRDefault="00AF1D72" w:rsidP="00C668F6">
      <w:pPr>
        <w:pStyle w:val="Heading1nonumber"/>
        <w:pageBreakBefore/>
      </w:pPr>
      <w:r w:rsidRPr="00D10074">
        <w:lastRenderedPageBreak/>
        <w:t>Amendment Record</w:t>
      </w:r>
    </w:p>
    <w:tbl>
      <w:tblPr>
        <w:tblStyle w:val="TMTable"/>
        <w:tblW w:w="5000" w:type="pct"/>
        <w:tblLayout w:type="fixed"/>
        <w:tblLook w:val="01E0" w:firstRow="1" w:lastRow="1" w:firstColumn="1" w:lastColumn="1" w:noHBand="0" w:noVBand="0"/>
      </w:tblPr>
      <w:tblGrid>
        <w:gridCol w:w="1551"/>
        <w:gridCol w:w="4870"/>
        <w:gridCol w:w="1649"/>
        <w:gridCol w:w="1420"/>
      </w:tblGrid>
      <w:tr w:rsidR="00AF1D72" w:rsidRPr="00D10074" w14:paraId="6FC30100" w14:textId="77777777" w:rsidTr="00944122">
        <w:trPr>
          <w:cnfStyle w:val="100000000000" w:firstRow="1" w:lastRow="0" w:firstColumn="0" w:lastColumn="0" w:oddVBand="0" w:evenVBand="0" w:oddHBand="0" w:evenHBand="0" w:firstRowFirstColumn="0" w:firstRowLastColumn="0" w:lastRowFirstColumn="0" w:lastRowLastColumn="0"/>
        </w:trPr>
        <w:tc>
          <w:tcPr>
            <w:tcW w:w="817" w:type="pct"/>
            <w:vAlign w:val="center"/>
          </w:tcPr>
          <w:p w14:paraId="101C1CAC" w14:textId="77777777" w:rsidR="00AF1D72" w:rsidRPr="00D10074" w:rsidRDefault="00AF1D72" w:rsidP="00944122">
            <w:pPr>
              <w:pStyle w:val="TableBodyText"/>
            </w:pPr>
            <w:r w:rsidRPr="00D10074">
              <w:t>Amendment no.</w:t>
            </w:r>
          </w:p>
        </w:tc>
        <w:tc>
          <w:tcPr>
            <w:tcW w:w="2566" w:type="pct"/>
            <w:vAlign w:val="center"/>
          </w:tcPr>
          <w:p w14:paraId="2184AEA7" w14:textId="77777777" w:rsidR="00AF1D72" w:rsidRPr="00D10074" w:rsidRDefault="00AF1D72" w:rsidP="00944122">
            <w:pPr>
              <w:pStyle w:val="TableBodyText"/>
            </w:pPr>
            <w:r w:rsidRPr="00D10074">
              <w:t>Clauses amended</w:t>
            </w:r>
          </w:p>
        </w:tc>
        <w:tc>
          <w:tcPr>
            <w:tcW w:w="869" w:type="pct"/>
            <w:vAlign w:val="center"/>
          </w:tcPr>
          <w:p w14:paraId="7A2D1109" w14:textId="77777777" w:rsidR="00AF1D72" w:rsidRPr="00D10074" w:rsidRDefault="00AF1D72" w:rsidP="00944122">
            <w:pPr>
              <w:pStyle w:val="TableBodyText"/>
            </w:pPr>
            <w:r w:rsidRPr="00D10074">
              <w:t>Action</w:t>
            </w:r>
          </w:p>
        </w:tc>
        <w:tc>
          <w:tcPr>
            <w:tcW w:w="748" w:type="pct"/>
            <w:vAlign w:val="center"/>
          </w:tcPr>
          <w:p w14:paraId="2DF37457" w14:textId="77777777" w:rsidR="00AF1D72" w:rsidRPr="00D10074" w:rsidRDefault="00AF1D72" w:rsidP="00944122">
            <w:pPr>
              <w:pStyle w:val="TableBodyText"/>
            </w:pPr>
            <w:r w:rsidRPr="00D10074">
              <w:t>Date</w:t>
            </w:r>
          </w:p>
        </w:tc>
      </w:tr>
      <w:tr w:rsidR="00AF1D72" w:rsidRPr="00D10074" w14:paraId="3D831797" w14:textId="77777777" w:rsidTr="00FB1221">
        <w:trPr>
          <w:trHeight w:val="349"/>
        </w:trPr>
        <w:tc>
          <w:tcPr>
            <w:tcW w:w="817" w:type="pct"/>
            <w:vAlign w:val="center"/>
          </w:tcPr>
          <w:p w14:paraId="270A3D36" w14:textId="77777777" w:rsidR="00AF1D72" w:rsidRPr="00D10074" w:rsidRDefault="00C668F6" w:rsidP="00FB1221">
            <w:pPr>
              <w:pStyle w:val="TableBodyText"/>
              <w:jc w:val="center"/>
              <w:rPr>
                <w:sz w:val="18"/>
                <w:szCs w:val="18"/>
              </w:rPr>
            </w:pPr>
            <w:r w:rsidRPr="00D10074">
              <w:rPr>
                <w:sz w:val="18"/>
                <w:szCs w:val="18"/>
              </w:rPr>
              <w:t>-</w:t>
            </w:r>
          </w:p>
        </w:tc>
        <w:tc>
          <w:tcPr>
            <w:tcW w:w="2566" w:type="pct"/>
            <w:vAlign w:val="center"/>
          </w:tcPr>
          <w:p w14:paraId="4EDAFCC9" w14:textId="77777777" w:rsidR="00AF1D72" w:rsidRPr="00D10074" w:rsidRDefault="00B23DC4" w:rsidP="00FB1221">
            <w:pPr>
              <w:pStyle w:val="TableBodyText"/>
              <w:rPr>
                <w:sz w:val="18"/>
                <w:szCs w:val="18"/>
              </w:rPr>
            </w:pPr>
            <w:r w:rsidRPr="00D10074">
              <w:rPr>
                <w:sz w:val="18"/>
                <w:szCs w:val="18"/>
              </w:rPr>
              <w:t>New specification</w:t>
            </w:r>
          </w:p>
        </w:tc>
        <w:tc>
          <w:tcPr>
            <w:tcW w:w="869" w:type="pct"/>
            <w:vAlign w:val="center"/>
          </w:tcPr>
          <w:p w14:paraId="42207F64" w14:textId="77777777" w:rsidR="00AF1D72" w:rsidRPr="00D10074" w:rsidRDefault="00C668F6" w:rsidP="00FB1221">
            <w:pPr>
              <w:pStyle w:val="TableBodyText"/>
              <w:rPr>
                <w:sz w:val="18"/>
                <w:szCs w:val="18"/>
              </w:rPr>
            </w:pPr>
            <w:r w:rsidRPr="00D10074">
              <w:rPr>
                <w:sz w:val="18"/>
                <w:szCs w:val="18"/>
              </w:rPr>
              <w:t>New</w:t>
            </w:r>
          </w:p>
        </w:tc>
        <w:tc>
          <w:tcPr>
            <w:tcW w:w="748" w:type="pct"/>
            <w:vAlign w:val="center"/>
          </w:tcPr>
          <w:p w14:paraId="73C3E708" w14:textId="526AA8FB" w:rsidR="00AF1D72" w:rsidRPr="00D10074" w:rsidRDefault="0042332C" w:rsidP="00FB1221">
            <w:pPr>
              <w:pStyle w:val="TableBodyText"/>
              <w:rPr>
                <w:sz w:val="18"/>
                <w:szCs w:val="18"/>
              </w:rPr>
            </w:pPr>
            <w:r w:rsidRPr="00D10074">
              <w:rPr>
                <w:sz w:val="18"/>
                <w:szCs w:val="18"/>
              </w:rPr>
              <w:t>January 2022</w:t>
            </w:r>
          </w:p>
        </w:tc>
      </w:tr>
      <w:tr w:rsidR="00D7293E" w:rsidRPr="00D10074" w14:paraId="469D066D" w14:textId="77777777" w:rsidTr="009E508C">
        <w:tc>
          <w:tcPr>
            <w:tcW w:w="817" w:type="pct"/>
            <w:vMerge w:val="restart"/>
          </w:tcPr>
          <w:p w14:paraId="575B6EC0" w14:textId="77777777" w:rsidR="00D7293E" w:rsidRPr="00C43979" w:rsidRDefault="00D7293E" w:rsidP="009E508C">
            <w:pPr>
              <w:pStyle w:val="TableFigureCenter"/>
              <w:rPr>
                <w:rFonts w:ascii="Arial" w:hAnsi="Arial" w:cs="Arial"/>
              </w:rPr>
            </w:pPr>
            <w:r w:rsidRPr="00C43979">
              <w:rPr>
                <w:rFonts w:ascii="Arial" w:hAnsi="Arial" w:cs="Arial"/>
              </w:rPr>
              <w:t>1</w:t>
            </w:r>
          </w:p>
        </w:tc>
        <w:tc>
          <w:tcPr>
            <w:tcW w:w="2566" w:type="pct"/>
            <w:vAlign w:val="center"/>
          </w:tcPr>
          <w:p w14:paraId="69B49237" w14:textId="702E6438" w:rsidR="00D7293E" w:rsidRPr="00C43979" w:rsidRDefault="00D7293E" w:rsidP="00D7293E">
            <w:pPr>
              <w:pStyle w:val="TableFigureLeft"/>
              <w:ind w:left="321" w:hanging="321"/>
              <w:rPr>
                <w:rFonts w:ascii="Arial" w:hAnsi="Arial" w:cs="Arial"/>
              </w:rPr>
            </w:pPr>
            <w:r w:rsidRPr="00C43979">
              <w:rPr>
                <w:rFonts w:ascii="Arial" w:hAnsi="Arial" w:cs="Arial"/>
              </w:rPr>
              <w:t xml:space="preserve">1. </w:t>
            </w:r>
            <w:r>
              <w:rPr>
                <w:rFonts w:ascii="Arial" w:hAnsi="Arial" w:cs="Arial"/>
              </w:rPr>
              <w:tab/>
            </w:r>
            <w:r w:rsidRPr="00C43979">
              <w:rPr>
                <w:rFonts w:ascii="Arial" w:hAnsi="Arial" w:cs="Arial"/>
              </w:rPr>
              <w:t>Scope clarified</w:t>
            </w:r>
            <w:r w:rsidR="0006174F">
              <w:rPr>
                <w:rFonts w:ascii="Arial" w:hAnsi="Arial" w:cs="Arial"/>
              </w:rPr>
              <w:t>.</w:t>
            </w:r>
          </w:p>
        </w:tc>
        <w:tc>
          <w:tcPr>
            <w:tcW w:w="869" w:type="pct"/>
            <w:vAlign w:val="center"/>
          </w:tcPr>
          <w:p w14:paraId="4F5A3959" w14:textId="77777777" w:rsidR="00D7293E" w:rsidRPr="00C43979" w:rsidRDefault="00D7293E" w:rsidP="004072C5">
            <w:pPr>
              <w:pStyle w:val="TableFigureCenter"/>
              <w:jc w:val="left"/>
              <w:rPr>
                <w:rFonts w:ascii="Arial" w:hAnsi="Arial" w:cs="Arial"/>
              </w:rPr>
            </w:pPr>
            <w:r w:rsidRPr="00C43979">
              <w:rPr>
                <w:rFonts w:ascii="Arial" w:hAnsi="Arial" w:cs="Arial"/>
              </w:rPr>
              <w:t>Substitution</w:t>
            </w:r>
          </w:p>
        </w:tc>
        <w:tc>
          <w:tcPr>
            <w:tcW w:w="748" w:type="pct"/>
            <w:vMerge w:val="restart"/>
          </w:tcPr>
          <w:p w14:paraId="5356DE5A" w14:textId="0ABAC975" w:rsidR="00D7293E" w:rsidRPr="00C43979" w:rsidRDefault="0097292F" w:rsidP="00012948">
            <w:pPr>
              <w:pStyle w:val="TableFigureCenter"/>
              <w:jc w:val="left"/>
              <w:rPr>
                <w:rFonts w:ascii="Arial" w:hAnsi="Arial" w:cs="Arial"/>
              </w:rPr>
            </w:pPr>
            <w:r>
              <w:rPr>
                <w:rFonts w:ascii="Arial" w:hAnsi="Arial" w:cs="Arial"/>
              </w:rPr>
              <w:t>Dece</w:t>
            </w:r>
            <w:r w:rsidR="00D7293E">
              <w:rPr>
                <w:rFonts w:ascii="Arial" w:hAnsi="Arial" w:cs="Arial"/>
              </w:rPr>
              <w:t>mber 2023</w:t>
            </w:r>
          </w:p>
        </w:tc>
      </w:tr>
      <w:tr w:rsidR="00D7293E" w:rsidRPr="00D10074" w14:paraId="709FD56A" w14:textId="77777777" w:rsidTr="00FB1221">
        <w:tc>
          <w:tcPr>
            <w:tcW w:w="817" w:type="pct"/>
            <w:vMerge/>
            <w:vAlign w:val="center"/>
          </w:tcPr>
          <w:p w14:paraId="6888D662" w14:textId="77777777" w:rsidR="00D7293E" w:rsidRPr="00C43979" w:rsidRDefault="00D7293E" w:rsidP="00FB1221">
            <w:pPr>
              <w:pStyle w:val="TableFigureCenter"/>
              <w:rPr>
                <w:rFonts w:ascii="Arial" w:hAnsi="Arial" w:cs="Arial"/>
              </w:rPr>
            </w:pPr>
          </w:p>
        </w:tc>
        <w:tc>
          <w:tcPr>
            <w:tcW w:w="2566" w:type="pct"/>
            <w:vAlign w:val="center"/>
          </w:tcPr>
          <w:p w14:paraId="649557EC" w14:textId="0CA6DFB7" w:rsidR="00D7293E" w:rsidRPr="00C43979" w:rsidRDefault="00D7293E" w:rsidP="00D7293E">
            <w:pPr>
              <w:pStyle w:val="TableFigureLeft"/>
              <w:ind w:left="321" w:hanging="321"/>
              <w:rPr>
                <w:rFonts w:ascii="Arial" w:hAnsi="Arial" w:cs="Arial"/>
              </w:rPr>
            </w:pPr>
            <w:r w:rsidRPr="00C43979">
              <w:rPr>
                <w:rFonts w:ascii="Arial" w:hAnsi="Arial" w:cs="Arial"/>
              </w:rPr>
              <w:t xml:space="preserve">6. </w:t>
            </w:r>
            <w:r>
              <w:rPr>
                <w:rFonts w:ascii="Arial" w:hAnsi="Arial" w:cs="Arial"/>
              </w:rPr>
              <w:tab/>
            </w:r>
            <w:r w:rsidR="00EF13B7">
              <w:rPr>
                <w:rFonts w:ascii="Arial" w:hAnsi="Arial" w:cs="Arial"/>
              </w:rPr>
              <w:t xml:space="preserve">Clause rewritten. </w:t>
            </w:r>
            <w:r w:rsidRPr="00C43979">
              <w:rPr>
                <w:rFonts w:ascii="Arial" w:hAnsi="Arial" w:cs="Arial"/>
              </w:rPr>
              <w:t xml:space="preserve">Table </w:t>
            </w:r>
            <w:r w:rsidR="003415FD">
              <w:rPr>
                <w:rFonts w:ascii="Arial" w:hAnsi="Arial" w:cs="Arial"/>
              </w:rPr>
              <w:t>6</w:t>
            </w:r>
            <w:r w:rsidRPr="00C43979">
              <w:rPr>
                <w:rFonts w:ascii="Arial" w:hAnsi="Arial" w:cs="Arial"/>
              </w:rPr>
              <w:t>.2 deleted and replaced with a reference to legislative requirements</w:t>
            </w:r>
            <w:r w:rsidR="0006174F">
              <w:rPr>
                <w:rFonts w:ascii="Arial" w:hAnsi="Arial" w:cs="Arial"/>
              </w:rPr>
              <w:t>.</w:t>
            </w:r>
            <w:r w:rsidRPr="00C43979">
              <w:rPr>
                <w:rFonts w:ascii="Arial" w:hAnsi="Arial" w:cs="Arial"/>
              </w:rPr>
              <w:tab/>
            </w:r>
          </w:p>
        </w:tc>
        <w:tc>
          <w:tcPr>
            <w:tcW w:w="869" w:type="pct"/>
            <w:vAlign w:val="center"/>
          </w:tcPr>
          <w:p w14:paraId="505AEF45" w14:textId="2D9FBAB3" w:rsidR="00D7293E" w:rsidRPr="00C43979" w:rsidRDefault="00D7293E" w:rsidP="00FB1221">
            <w:pPr>
              <w:pStyle w:val="TableFigureCenter"/>
              <w:jc w:val="left"/>
              <w:rPr>
                <w:rFonts w:ascii="Arial" w:hAnsi="Arial" w:cs="Arial"/>
              </w:rPr>
            </w:pPr>
            <w:r w:rsidRPr="00C43979">
              <w:rPr>
                <w:rFonts w:ascii="Arial" w:hAnsi="Arial" w:cs="Arial"/>
              </w:rPr>
              <w:t>Substitution</w:t>
            </w:r>
          </w:p>
        </w:tc>
        <w:tc>
          <w:tcPr>
            <w:tcW w:w="748" w:type="pct"/>
            <w:vMerge/>
            <w:vAlign w:val="center"/>
          </w:tcPr>
          <w:p w14:paraId="4B9A118B" w14:textId="77777777" w:rsidR="00D7293E" w:rsidRPr="00C43979" w:rsidRDefault="00D7293E" w:rsidP="00FB1221">
            <w:pPr>
              <w:pStyle w:val="TableFigureCenter"/>
              <w:jc w:val="left"/>
              <w:rPr>
                <w:rFonts w:ascii="Arial" w:hAnsi="Arial" w:cs="Arial"/>
              </w:rPr>
            </w:pPr>
          </w:p>
        </w:tc>
      </w:tr>
      <w:tr w:rsidR="00D7293E" w:rsidRPr="00D10074" w14:paraId="7C5B86FC" w14:textId="77777777" w:rsidTr="00FB1221">
        <w:tc>
          <w:tcPr>
            <w:tcW w:w="817" w:type="pct"/>
            <w:vMerge/>
            <w:vAlign w:val="center"/>
          </w:tcPr>
          <w:p w14:paraId="6C3DFA35" w14:textId="77777777" w:rsidR="00D7293E" w:rsidRPr="00C43979" w:rsidRDefault="00D7293E" w:rsidP="00FB1221">
            <w:pPr>
              <w:pStyle w:val="TableFigureCenter"/>
              <w:rPr>
                <w:rFonts w:ascii="Arial" w:hAnsi="Arial" w:cs="Arial"/>
              </w:rPr>
            </w:pPr>
          </w:p>
        </w:tc>
        <w:tc>
          <w:tcPr>
            <w:tcW w:w="2566" w:type="pct"/>
            <w:vAlign w:val="center"/>
          </w:tcPr>
          <w:p w14:paraId="20B4B11A" w14:textId="78E11B63" w:rsidR="00D7293E" w:rsidRPr="00C43979" w:rsidRDefault="00D7293E" w:rsidP="00D7293E">
            <w:pPr>
              <w:pStyle w:val="TableFigureLeft"/>
              <w:ind w:left="321" w:hanging="321"/>
              <w:rPr>
                <w:rFonts w:ascii="Arial" w:hAnsi="Arial" w:cs="Arial"/>
              </w:rPr>
            </w:pPr>
            <w:r w:rsidRPr="00C43979">
              <w:rPr>
                <w:rFonts w:ascii="Arial" w:hAnsi="Arial" w:cs="Arial"/>
              </w:rPr>
              <w:t xml:space="preserve">7. </w:t>
            </w:r>
            <w:r>
              <w:rPr>
                <w:rFonts w:ascii="Arial" w:hAnsi="Arial" w:cs="Arial"/>
              </w:rPr>
              <w:tab/>
            </w:r>
            <w:r w:rsidR="008A6AD8" w:rsidRPr="008A6AD8">
              <w:rPr>
                <w:rFonts w:ascii="Arial" w:hAnsi="Arial" w:cs="Arial"/>
              </w:rPr>
              <w:t xml:space="preserve">Clause rewritten. </w:t>
            </w:r>
            <w:r w:rsidRPr="00C43979">
              <w:rPr>
                <w:rFonts w:ascii="Arial" w:hAnsi="Arial" w:cs="Arial"/>
              </w:rPr>
              <w:t>Grading for RCG used in asphalt inserted</w:t>
            </w:r>
            <w:r w:rsidR="0006174F">
              <w:rPr>
                <w:rFonts w:ascii="Arial" w:hAnsi="Arial" w:cs="Arial"/>
              </w:rPr>
              <w:t>.</w:t>
            </w:r>
          </w:p>
        </w:tc>
        <w:tc>
          <w:tcPr>
            <w:tcW w:w="869" w:type="pct"/>
            <w:vAlign w:val="center"/>
          </w:tcPr>
          <w:p w14:paraId="4EFAF103" w14:textId="47D1055C" w:rsidR="00D7293E" w:rsidRPr="00C43979" w:rsidRDefault="00D7293E" w:rsidP="00FB1221">
            <w:pPr>
              <w:pStyle w:val="TableFigureCenter"/>
              <w:jc w:val="left"/>
              <w:rPr>
                <w:rFonts w:ascii="Arial" w:hAnsi="Arial" w:cs="Arial"/>
              </w:rPr>
            </w:pPr>
            <w:r w:rsidRPr="00C43979">
              <w:rPr>
                <w:rFonts w:ascii="Arial" w:hAnsi="Arial" w:cs="Arial"/>
              </w:rPr>
              <w:t>Substitution</w:t>
            </w:r>
          </w:p>
        </w:tc>
        <w:tc>
          <w:tcPr>
            <w:tcW w:w="748" w:type="pct"/>
            <w:vMerge/>
            <w:vAlign w:val="center"/>
          </w:tcPr>
          <w:p w14:paraId="0BFCCD45" w14:textId="77777777" w:rsidR="00D7293E" w:rsidRPr="00C43979" w:rsidRDefault="00D7293E" w:rsidP="00FB1221">
            <w:pPr>
              <w:pStyle w:val="TableFigureCenter"/>
              <w:jc w:val="left"/>
              <w:rPr>
                <w:rFonts w:ascii="Arial" w:hAnsi="Arial" w:cs="Arial"/>
              </w:rPr>
            </w:pPr>
          </w:p>
        </w:tc>
      </w:tr>
      <w:tr w:rsidR="00D7293E" w:rsidRPr="00D10074" w14:paraId="176DD2DC" w14:textId="77777777" w:rsidTr="00FB1221">
        <w:tc>
          <w:tcPr>
            <w:tcW w:w="817" w:type="pct"/>
            <w:vMerge/>
            <w:vAlign w:val="center"/>
          </w:tcPr>
          <w:p w14:paraId="4964EA4C" w14:textId="77777777" w:rsidR="00D7293E" w:rsidRPr="00C43979" w:rsidRDefault="00D7293E" w:rsidP="00FB1221">
            <w:pPr>
              <w:pStyle w:val="TableFigureCenter"/>
              <w:rPr>
                <w:rFonts w:ascii="Arial" w:hAnsi="Arial" w:cs="Arial"/>
              </w:rPr>
            </w:pPr>
          </w:p>
        </w:tc>
        <w:tc>
          <w:tcPr>
            <w:tcW w:w="2566" w:type="pct"/>
            <w:vAlign w:val="center"/>
          </w:tcPr>
          <w:p w14:paraId="3F7D4897" w14:textId="120D5C85" w:rsidR="00D7293E" w:rsidRPr="00C43979" w:rsidRDefault="00D7293E" w:rsidP="00D7293E">
            <w:pPr>
              <w:pStyle w:val="TableFigureLeft"/>
              <w:ind w:left="321" w:hanging="321"/>
              <w:rPr>
                <w:rFonts w:ascii="Arial" w:hAnsi="Arial" w:cs="Arial"/>
              </w:rPr>
            </w:pPr>
            <w:r w:rsidRPr="00C43979">
              <w:rPr>
                <w:rFonts w:ascii="Arial" w:hAnsi="Arial" w:cs="Arial"/>
              </w:rPr>
              <w:t xml:space="preserve">8. </w:t>
            </w:r>
            <w:r>
              <w:rPr>
                <w:rFonts w:ascii="Arial" w:hAnsi="Arial" w:cs="Arial"/>
              </w:rPr>
              <w:tab/>
            </w:r>
            <w:r w:rsidR="008A6AD8" w:rsidRPr="008A6AD8">
              <w:rPr>
                <w:rFonts w:ascii="Arial" w:hAnsi="Arial" w:cs="Arial"/>
              </w:rPr>
              <w:t xml:space="preserve">Clause rewritten. </w:t>
            </w:r>
            <w:r w:rsidRPr="00C43979">
              <w:rPr>
                <w:rFonts w:ascii="Arial" w:hAnsi="Arial" w:cs="Arial"/>
              </w:rPr>
              <w:t>Changes to limits o</w:t>
            </w:r>
            <w:r w:rsidR="00BE30E9">
              <w:rPr>
                <w:rFonts w:ascii="Arial" w:hAnsi="Arial" w:cs="Arial"/>
              </w:rPr>
              <w:t>f</w:t>
            </w:r>
            <w:r w:rsidRPr="00C43979">
              <w:rPr>
                <w:rFonts w:ascii="Arial" w:hAnsi="Arial" w:cs="Arial"/>
              </w:rPr>
              <w:t xml:space="preserve"> RCG incorporated into concrete</w:t>
            </w:r>
            <w:r w:rsidR="0006174F">
              <w:rPr>
                <w:rFonts w:ascii="Arial" w:hAnsi="Arial" w:cs="Arial"/>
              </w:rPr>
              <w:t>.</w:t>
            </w:r>
          </w:p>
        </w:tc>
        <w:tc>
          <w:tcPr>
            <w:tcW w:w="869" w:type="pct"/>
            <w:vAlign w:val="center"/>
          </w:tcPr>
          <w:p w14:paraId="4456AC23" w14:textId="247775FD" w:rsidR="00D7293E" w:rsidRPr="00C43979" w:rsidRDefault="00D7293E" w:rsidP="00FB1221">
            <w:pPr>
              <w:pStyle w:val="TableFigureCenter"/>
              <w:jc w:val="left"/>
              <w:rPr>
                <w:rFonts w:ascii="Arial" w:hAnsi="Arial" w:cs="Arial"/>
              </w:rPr>
            </w:pPr>
            <w:r w:rsidRPr="00C43979">
              <w:rPr>
                <w:rFonts w:ascii="Arial" w:hAnsi="Arial" w:cs="Arial"/>
              </w:rPr>
              <w:t>Substitution</w:t>
            </w:r>
          </w:p>
        </w:tc>
        <w:tc>
          <w:tcPr>
            <w:tcW w:w="748" w:type="pct"/>
            <w:vMerge/>
            <w:vAlign w:val="center"/>
          </w:tcPr>
          <w:p w14:paraId="4C16880A" w14:textId="77777777" w:rsidR="00D7293E" w:rsidRPr="00C43979" w:rsidRDefault="00D7293E" w:rsidP="00FB1221">
            <w:pPr>
              <w:pStyle w:val="TableFigureCenter"/>
              <w:jc w:val="left"/>
              <w:rPr>
                <w:rFonts w:ascii="Arial" w:hAnsi="Arial" w:cs="Arial"/>
              </w:rPr>
            </w:pPr>
          </w:p>
        </w:tc>
      </w:tr>
      <w:tr w:rsidR="001F0F13" w:rsidRPr="00D10074" w14:paraId="7DDD2133" w14:textId="77777777" w:rsidTr="00FB1221">
        <w:tc>
          <w:tcPr>
            <w:tcW w:w="817" w:type="pct"/>
            <w:vAlign w:val="center"/>
          </w:tcPr>
          <w:p w14:paraId="6DAD84F5" w14:textId="77777777" w:rsidR="001F0F13" w:rsidRDefault="001F0F13" w:rsidP="00FB1221">
            <w:pPr>
              <w:pStyle w:val="TableFigureCenter"/>
            </w:pPr>
          </w:p>
        </w:tc>
        <w:tc>
          <w:tcPr>
            <w:tcW w:w="2566" w:type="pct"/>
            <w:vAlign w:val="center"/>
          </w:tcPr>
          <w:p w14:paraId="34D2A00B" w14:textId="77777777" w:rsidR="001F0F13" w:rsidRPr="00D10074" w:rsidRDefault="001F0F13" w:rsidP="00FB1221">
            <w:pPr>
              <w:pStyle w:val="TableFigureLeft"/>
            </w:pPr>
          </w:p>
        </w:tc>
        <w:tc>
          <w:tcPr>
            <w:tcW w:w="869" w:type="pct"/>
            <w:vAlign w:val="center"/>
          </w:tcPr>
          <w:p w14:paraId="0F529559" w14:textId="77777777" w:rsidR="001F0F13" w:rsidRPr="001F0F13" w:rsidRDefault="001F0F13" w:rsidP="00FB1221">
            <w:pPr>
              <w:pStyle w:val="TableFigureCenter"/>
              <w:jc w:val="left"/>
            </w:pPr>
          </w:p>
        </w:tc>
        <w:tc>
          <w:tcPr>
            <w:tcW w:w="748" w:type="pct"/>
            <w:vAlign w:val="center"/>
          </w:tcPr>
          <w:p w14:paraId="6E383884" w14:textId="77777777" w:rsidR="001F0F13" w:rsidRPr="00D10074" w:rsidRDefault="001F0F13" w:rsidP="00FB1221">
            <w:pPr>
              <w:pStyle w:val="TableFigureCenter"/>
              <w:jc w:val="left"/>
            </w:pPr>
          </w:p>
        </w:tc>
      </w:tr>
      <w:tr w:rsidR="001F0F13" w:rsidRPr="00D10074" w14:paraId="3E286E3C" w14:textId="77777777" w:rsidTr="00FB1221">
        <w:tc>
          <w:tcPr>
            <w:tcW w:w="817" w:type="pct"/>
            <w:vAlign w:val="center"/>
          </w:tcPr>
          <w:p w14:paraId="552667FD" w14:textId="77777777" w:rsidR="001F0F13" w:rsidRDefault="001F0F13" w:rsidP="00FB1221">
            <w:pPr>
              <w:pStyle w:val="TableFigureCenter"/>
            </w:pPr>
          </w:p>
        </w:tc>
        <w:tc>
          <w:tcPr>
            <w:tcW w:w="2566" w:type="pct"/>
            <w:vAlign w:val="center"/>
          </w:tcPr>
          <w:p w14:paraId="3D702635" w14:textId="77777777" w:rsidR="001F0F13" w:rsidRPr="00D10074" w:rsidRDefault="001F0F13" w:rsidP="00FB1221">
            <w:pPr>
              <w:pStyle w:val="TableFigureLeft"/>
            </w:pPr>
          </w:p>
        </w:tc>
        <w:tc>
          <w:tcPr>
            <w:tcW w:w="869" w:type="pct"/>
            <w:vAlign w:val="center"/>
          </w:tcPr>
          <w:p w14:paraId="12769C2B" w14:textId="77777777" w:rsidR="001F0F13" w:rsidRPr="001F0F13" w:rsidRDefault="001F0F13" w:rsidP="00FB1221">
            <w:pPr>
              <w:pStyle w:val="TableFigureCenter"/>
              <w:jc w:val="left"/>
            </w:pPr>
          </w:p>
        </w:tc>
        <w:tc>
          <w:tcPr>
            <w:tcW w:w="748" w:type="pct"/>
            <w:vAlign w:val="center"/>
          </w:tcPr>
          <w:p w14:paraId="6B51DA16" w14:textId="77777777" w:rsidR="001F0F13" w:rsidRPr="00D10074" w:rsidRDefault="001F0F13" w:rsidP="00FB1221">
            <w:pPr>
              <w:pStyle w:val="TableFigureCenter"/>
              <w:jc w:val="left"/>
            </w:pPr>
          </w:p>
        </w:tc>
      </w:tr>
    </w:tbl>
    <w:p w14:paraId="44DFB54E" w14:textId="77777777" w:rsidR="00AF1D72" w:rsidRPr="00D10074" w:rsidRDefault="00AF1D72" w:rsidP="00FB1221">
      <w:pPr>
        <w:pStyle w:val="Paragraph"/>
        <w:numPr>
          <w:ilvl w:val="0"/>
          <w:numId w:val="10"/>
        </w:numPr>
        <w:jc w:val="left"/>
      </w:pPr>
    </w:p>
    <w:tbl>
      <w:tblPr>
        <w:tblW w:w="0" w:type="auto"/>
        <w:tblLook w:val="01E0" w:firstRow="1" w:lastRow="1" w:firstColumn="1" w:lastColumn="1" w:noHBand="0" w:noVBand="0"/>
      </w:tblPr>
      <w:tblGrid>
        <w:gridCol w:w="1290"/>
        <w:gridCol w:w="8220"/>
      </w:tblGrid>
      <w:tr w:rsidR="00AF1D72" w:rsidRPr="00D10074" w14:paraId="4C8D4543" w14:textId="77777777" w:rsidTr="00AF1D72">
        <w:trPr>
          <w:trHeight w:val="427"/>
        </w:trPr>
        <w:tc>
          <w:tcPr>
            <w:tcW w:w="1101" w:type="dxa"/>
            <w:shd w:val="clear" w:color="auto" w:fill="auto"/>
          </w:tcPr>
          <w:p w14:paraId="553B3F7C" w14:textId="77777777" w:rsidR="00AF1D72" w:rsidRPr="00D10074" w:rsidRDefault="00AF1D72" w:rsidP="00FB1221">
            <w:pPr>
              <w:pStyle w:val="TableBodyText"/>
              <w:spacing w:before="0"/>
              <w:rPr>
                <w:b/>
                <w:bCs w:val="0"/>
                <w:sz w:val="16"/>
              </w:rPr>
            </w:pPr>
            <w:r w:rsidRPr="00D10074">
              <w:rPr>
                <w:b/>
                <w:bCs w:val="0"/>
              </w:rPr>
              <w:t>Key</w:t>
            </w:r>
          </w:p>
        </w:tc>
        <w:tc>
          <w:tcPr>
            <w:tcW w:w="8680" w:type="dxa"/>
            <w:shd w:val="clear" w:color="auto" w:fill="auto"/>
          </w:tcPr>
          <w:p w14:paraId="5CFF6331" w14:textId="77777777" w:rsidR="00AF1D72" w:rsidRPr="00D10074" w:rsidRDefault="00AF1D72" w:rsidP="00FB1221">
            <w:pPr>
              <w:pStyle w:val="TableBodyText"/>
              <w:spacing w:before="0"/>
            </w:pPr>
          </w:p>
        </w:tc>
      </w:tr>
      <w:tr w:rsidR="00AF1D72" w:rsidRPr="00D10074" w14:paraId="37BAD443" w14:textId="77777777" w:rsidTr="00AF1D72">
        <w:tc>
          <w:tcPr>
            <w:tcW w:w="1101" w:type="dxa"/>
            <w:shd w:val="clear" w:color="auto" w:fill="auto"/>
          </w:tcPr>
          <w:p w14:paraId="62A6FBD8" w14:textId="77777777" w:rsidR="00AF1D72" w:rsidRPr="00D10074" w:rsidRDefault="00AF1D72" w:rsidP="00FB1221">
            <w:pPr>
              <w:pStyle w:val="TableBodyText"/>
              <w:spacing w:before="0"/>
            </w:pPr>
            <w:r w:rsidRPr="00D10074">
              <w:t>Format</w:t>
            </w:r>
          </w:p>
        </w:tc>
        <w:tc>
          <w:tcPr>
            <w:tcW w:w="8680" w:type="dxa"/>
            <w:shd w:val="clear" w:color="auto" w:fill="auto"/>
          </w:tcPr>
          <w:p w14:paraId="3B188BE0" w14:textId="77777777" w:rsidR="00AF1D72" w:rsidRPr="00D10074" w:rsidRDefault="00AF1D72" w:rsidP="00FB1221">
            <w:pPr>
              <w:pStyle w:val="TableBodyText"/>
              <w:spacing w:before="0"/>
            </w:pPr>
            <w:r w:rsidRPr="00D10074">
              <w:t>Change in format</w:t>
            </w:r>
          </w:p>
        </w:tc>
      </w:tr>
      <w:tr w:rsidR="00AF1D72" w:rsidRPr="00D10074" w14:paraId="4CCBFB43" w14:textId="77777777" w:rsidTr="00AF1D72">
        <w:tc>
          <w:tcPr>
            <w:tcW w:w="1101" w:type="dxa"/>
            <w:shd w:val="clear" w:color="auto" w:fill="auto"/>
          </w:tcPr>
          <w:p w14:paraId="156DD78C" w14:textId="77777777" w:rsidR="00AF1D72" w:rsidRPr="00D10074" w:rsidRDefault="00AF1D72" w:rsidP="00FB1221">
            <w:pPr>
              <w:pStyle w:val="TableBodyText"/>
              <w:spacing w:before="0"/>
            </w:pPr>
            <w:r w:rsidRPr="00D10074">
              <w:t>Substitution</w:t>
            </w:r>
          </w:p>
        </w:tc>
        <w:tc>
          <w:tcPr>
            <w:tcW w:w="8680" w:type="dxa"/>
            <w:shd w:val="clear" w:color="auto" w:fill="auto"/>
          </w:tcPr>
          <w:p w14:paraId="31F2DB18" w14:textId="77777777" w:rsidR="00AF1D72" w:rsidRPr="00D10074" w:rsidRDefault="00AF1D72" w:rsidP="00FB1221">
            <w:pPr>
              <w:pStyle w:val="TableBodyText"/>
              <w:spacing w:before="0"/>
            </w:pPr>
            <w:r w:rsidRPr="00D10074">
              <w:t>Old clause removed and replaced with new clause</w:t>
            </w:r>
          </w:p>
        </w:tc>
      </w:tr>
      <w:tr w:rsidR="00AF1D72" w:rsidRPr="00D10074" w14:paraId="1F33AA5D" w14:textId="77777777" w:rsidTr="00AF1D72">
        <w:tc>
          <w:tcPr>
            <w:tcW w:w="1101" w:type="dxa"/>
            <w:shd w:val="clear" w:color="auto" w:fill="auto"/>
          </w:tcPr>
          <w:p w14:paraId="4873277C" w14:textId="77777777" w:rsidR="00AF1D72" w:rsidRPr="00D10074" w:rsidRDefault="00AF1D72" w:rsidP="00FB1221">
            <w:pPr>
              <w:pStyle w:val="TableBodyText"/>
              <w:spacing w:before="0"/>
            </w:pPr>
            <w:r w:rsidRPr="00D10074">
              <w:t>New</w:t>
            </w:r>
          </w:p>
        </w:tc>
        <w:tc>
          <w:tcPr>
            <w:tcW w:w="8680" w:type="dxa"/>
            <w:shd w:val="clear" w:color="auto" w:fill="auto"/>
          </w:tcPr>
          <w:p w14:paraId="04BE9A57" w14:textId="77777777" w:rsidR="00AF1D72" w:rsidRPr="00D10074" w:rsidRDefault="00AF1D72" w:rsidP="00FB1221">
            <w:pPr>
              <w:pStyle w:val="TableBodyText"/>
              <w:spacing w:before="0"/>
            </w:pPr>
            <w:r w:rsidRPr="00D10074">
              <w:t>Insertion of new clause</w:t>
            </w:r>
          </w:p>
        </w:tc>
      </w:tr>
      <w:tr w:rsidR="00AF1D72" w14:paraId="4D7F523C" w14:textId="77777777" w:rsidTr="00AF1D72">
        <w:tc>
          <w:tcPr>
            <w:tcW w:w="1101" w:type="dxa"/>
            <w:shd w:val="clear" w:color="auto" w:fill="auto"/>
          </w:tcPr>
          <w:p w14:paraId="1C1B7273" w14:textId="77777777" w:rsidR="00AF1D72" w:rsidRPr="00D10074" w:rsidRDefault="00AF1D72" w:rsidP="00FB1221">
            <w:pPr>
              <w:pStyle w:val="TableBodyText"/>
              <w:spacing w:before="0"/>
            </w:pPr>
            <w:r w:rsidRPr="00D10074">
              <w:t>Removed</w:t>
            </w:r>
          </w:p>
        </w:tc>
        <w:tc>
          <w:tcPr>
            <w:tcW w:w="8680" w:type="dxa"/>
            <w:shd w:val="clear" w:color="auto" w:fill="auto"/>
          </w:tcPr>
          <w:p w14:paraId="64027640" w14:textId="77777777" w:rsidR="00AF1D72" w:rsidRPr="00E6543E" w:rsidRDefault="00AF1D72" w:rsidP="00FB1221">
            <w:pPr>
              <w:pStyle w:val="TableBodyText"/>
              <w:spacing w:before="0"/>
            </w:pPr>
            <w:r w:rsidRPr="00D10074">
              <w:t>Old clauses removed</w:t>
            </w:r>
          </w:p>
        </w:tc>
      </w:tr>
    </w:tbl>
    <w:p w14:paraId="2882B199" w14:textId="77777777" w:rsidR="002372EC" w:rsidRPr="00462624" w:rsidRDefault="002372EC" w:rsidP="00462624">
      <w:pPr>
        <w:pStyle w:val="Paragraph"/>
        <w:tabs>
          <w:tab w:val="clear" w:pos="1134"/>
        </w:tabs>
        <w:ind w:left="0" w:firstLine="0"/>
      </w:pPr>
    </w:p>
    <w:sectPr w:rsidR="002372EC" w:rsidRPr="00462624" w:rsidSect="00AE427D">
      <w:headerReference w:type="even" r:id="rId12"/>
      <w:headerReference w:type="default" r:id="rId13"/>
      <w:footerReference w:type="even" r:id="rId14"/>
      <w:footerReference w:type="default" r:id="rId15"/>
      <w:headerReference w:type="first" r:id="rId16"/>
      <w:footerReference w:type="first" r:id="rId1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FAC4" w14:textId="77777777" w:rsidR="00071402" w:rsidRDefault="00071402">
      <w:r>
        <w:separator/>
      </w:r>
    </w:p>
  </w:endnote>
  <w:endnote w:type="continuationSeparator" w:id="0">
    <w:p w14:paraId="7BA6C145" w14:textId="77777777" w:rsidR="00071402" w:rsidRDefault="00071402">
      <w:r>
        <w:continuationSeparator/>
      </w:r>
    </w:p>
  </w:endnote>
  <w:endnote w:type="continuationNotice" w:id="1">
    <w:p w14:paraId="19BB5A44" w14:textId="77777777" w:rsidR="00071402" w:rsidRDefault="00071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D231" w14:textId="77777777"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51DD7327" wp14:editId="37976EBE">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02008"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4780451E" wp14:editId="1EE85E6D">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A5AD"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0451E"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1416A5AD"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537B3CDC" wp14:editId="39DAA5C7">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12E1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B3CDC"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4F512E1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F527" w14:textId="77777777" w:rsidR="00064F5A" w:rsidRDefault="00064F5A">
    <w:pPr>
      <w:pStyle w:val="Footer"/>
    </w:pPr>
  </w:p>
  <w:p w14:paraId="44D7CF68" w14:textId="4770ADAD"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944122">
      <w:rPr>
        <w:rFonts w:ascii="Arial" w:eastAsia="SimSun" w:hAnsi="Arial" w:cs="Arial"/>
        <w:bCs/>
        <w:sz w:val="16"/>
        <w:szCs w:val="16"/>
        <w:lang w:eastAsia="ja-JP"/>
      </w:rPr>
      <w:t xml:space="preserve">Edition 2.0 December </w:t>
    </w:r>
    <w:r w:rsidR="00120F58">
      <w:rPr>
        <w:rFonts w:ascii="Arial" w:eastAsia="SimSun" w:hAnsi="Arial" w:cs="Arial"/>
        <w:bCs/>
        <w:sz w:val="16"/>
        <w:szCs w:val="16"/>
        <w:lang w:eastAsia="ja-JP"/>
      </w:rPr>
      <w:t>2023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C201" w14:textId="77777777" w:rsidR="00064F5A" w:rsidRDefault="00064F5A">
    <w:pPr>
      <w:pStyle w:val="Footer"/>
    </w:pPr>
  </w:p>
  <w:p w14:paraId="752A8DAE" w14:textId="2AC3CDF9"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DD2779">
      <w:rPr>
        <w:rFonts w:ascii="Arial" w:eastAsia="SimSun" w:hAnsi="Arial" w:cs="Arial"/>
        <w:bCs/>
        <w:sz w:val="16"/>
        <w:szCs w:val="16"/>
        <w:lang w:eastAsia="ja-JP"/>
      </w:rPr>
      <w:t>Edition 2.0 December 2023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3804" w14:textId="77777777" w:rsidR="00071402" w:rsidRDefault="00071402">
      <w:r>
        <w:separator/>
      </w:r>
    </w:p>
  </w:footnote>
  <w:footnote w:type="continuationSeparator" w:id="0">
    <w:p w14:paraId="356DF96E" w14:textId="77777777" w:rsidR="00071402" w:rsidRDefault="00071402">
      <w:r>
        <w:continuationSeparator/>
      </w:r>
    </w:p>
  </w:footnote>
  <w:footnote w:type="continuationNotice" w:id="1">
    <w:p w14:paraId="3806EA05" w14:textId="77777777" w:rsidR="00071402" w:rsidRDefault="00071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4569" w14:textId="77777777" w:rsidR="00DD2779" w:rsidRDefault="00DD2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3057" w14:textId="730D39C1"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5719DD">
      <w:rPr>
        <w:rFonts w:ascii="Arial" w:eastAsia="SimSun" w:hAnsi="Arial" w:cs="Arial"/>
        <w:b/>
        <w:sz w:val="16"/>
        <w:szCs w:val="16"/>
        <w:lang w:eastAsia="ja-JP"/>
      </w:rPr>
      <w:t>3050</w:t>
    </w:r>
    <w:r w:rsidRPr="003F7623">
      <w:rPr>
        <w:rFonts w:ascii="Arial" w:eastAsia="SimSun" w:hAnsi="Arial" w:cs="Arial"/>
        <w:b/>
        <w:sz w:val="16"/>
        <w:szCs w:val="16"/>
        <w:lang w:eastAsia="ja-JP"/>
      </w:rPr>
      <w:t xml:space="preserve"> </w:t>
    </w:r>
    <w:r w:rsidR="005719DD">
      <w:rPr>
        <w:rFonts w:ascii="Arial" w:eastAsia="SimSun" w:hAnsi="Arial" w:cs="Arial"/>
        <w:b/>
        <w:sz w:val="16"/>
        <w:szCs w:val="16"/>
        <w:lang w:eastAsia="ja-JP"/>
      </w:rPr>
      <w:t>Supply of Recycled Crushed Glass</w:t>
    </w:r>
    <w:r w:rsidR="008205FE">
      <w:rPr>
        <w:rFonts w:ascii="Arial" w:eastAsia="SimSun" w:hAnsi="Arial" w:cs="Arial"/>
        <w:b/>
        <w:sz w:val="16"/>
        <w:szCs w:val="16"/>
        <w:lang w:eastAsia="ja-JP"/>
      </w:rPr>
      <w:t xml:space="preserve"> Sand</w:t>
    </w:r>
  </w:p>
  <w:p w14:paraId="4B4672FD" w14:textId="77777777" w:rsidR="00064F5A" w:rsidRPr="00AE427D" w:rsidRDefault="00064F5A" w:rsidP="00AE427D">
    <w:pPr>
      <w:pStyle w:val="Header"/>
      <w:jc w:val="right"/>
      <w:rPr>
        <w:rFonts w:ascii="Arial" w:hAnsi="Arial" w:cs="Arial"/>
        <w:sz w:val="18"/>
        <w:szCs w:val="18"/>
      </w:rPr>
    </w:pPr>
  </w:p>
  <w:p w14:paraId="68B637A3" w14:textId="77777777" w:rsidR="00064F5A" w:rsidRPr="00AE427D" w:rsidRDefault="00064F5A" w:rsidP="00AE427D">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17BE" w14:textId="77777777" w:rsidR="00064F5A" w:rsidRDefault="00064F5A">
    <w:pPr>
      <w:pStyle w:val="Header"/>
    </w:pPr>
  </w:p>
  <w:p w14:paraId="136ADB46"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16E83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3605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E45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1EA9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5675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9852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182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27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4AB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0091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6A60438"/>
    <w:multiLevelType w:val="hybridMultilevel"/>
    <w:tmpl w:val="B1DCBDD4"/>
    <w:lvl w:ilvl="0" w:tplc="3B52330C">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90BAA9C0"/>
    <w:lvl w:ilvl="0">
      <w:start w:val="1"/>
      <w:numFmt w:val="decimal"/>
      <w:pStyle w:val="Notes"/>
      <w:lvlText w:val="%1."/>
      <w:lvlJc w:val="left"/>
      <w:pPr>
        <w:ind w:left="993" w:hanging="284"/>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1.%3"/>
      <w:lvlJc w:val="left"/>
      <w:pPr>
        <w:tabs>
          <w:tab w:val="num" w:pos="1276"/>
        </w:tabs>
        <w:ind w:left="1276" w:hanging="425"/>
      </w:pPr>
      <w:rPr>
        <w:rFonts w:hint="default"/>
      </w:rPr>
    </w:lvl>
    <w:lvl w:ilvl="3">
      <w:start w:val="1"/>
      <w:numFmt w:val="decimal"/>
      <w:lvlText w:val="%1.%4"/>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127"/>
        </w:tabs>
        <w:ind w:left="2127" w:hanging="426"/>
      </w:pPr>
      <w:rPr>
        <w:rFonts w:hint="default"/>
      </w:rPr>
    </w:lvl>
    <w:lvl w:ilvl="5">
      <w:start w:val="1"/>
      <w:numFmt w:val="decimal"/>
      <w:lvlText w:val="%1.%6"/>
      <w:lvlJc w:val="left"/>
      <w:pPr>
        <w:tabs>
          <w:tab w:val="num" w:pos="2552"/>
        </w:tabs>
        <w:ind w:left="2552" w:hanging="425"/>
      </w:pPr>
      <w:rPr>
        <w:rFonts w:hint="default"/>
      </w:rPr>
    </w:lvl>
    <w:lvl w:ilvl="6">
      <w:start w:val="1"/>
      <w:numFmt w:val="none"/>
      <w:lvlText w:val="%1"/>
      <w:lvlJc w:val="left"/>
      <w:pPr>
        <w:tabs>
          <w:tab w:val="num" w:pos="3544"/>
        </w:tabs>
        <w:ind w:left="3544" w:hanging="425"/>
      </w:pPr>
      <w:rPr>
        <w:rFonts w:hint="default"/>
      </w:rPr>
    </w:lvl>
    <w:lvl w:ilvl="7">
      <w:start w:val="1"/>
      <w:numFmt w:val="none"/>
      <w:lvlText w:val="%1"/>
      <w:lvlJc w:val="left"/>
      <w:pPr>
        <w:tabs>
          <w:tab w:val="num" w:pos="4111"/>
        </w:tabs>
        <w:ind w:left="4111" w:hanging="425"/>
      </w:pPr>
      <w:rPr>
        <w:rFonts w:hint="default"/>
      </w:rPr>
    </w:lvl>
    <w:lvl w:ilvl="8">
      <w:start w:val="1"/>
      <w:numFmt w:val="none"/>
      <w:lvlText w:val="%1%9"/>
      <w:lvlJc w:val="left"/>
      <w:pPr>
        <w:tabs>
          <w:tab w:val="num" w:pos="4973"/>
        </w:tabs>
        <w:ind w:left="4678"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5E08F3"/>
    <w:multiLevelType w:val="hybridMultilevel"/>
    <w:tmpl w:val="609240F0"/>
    <w:lvl w:ilvl="0" w:tplc="4E8826D0">
      <w:start w:val="1"/>
      <w:numFmt w:val="decimal"/>
      <w:lvlText w:val="%1."/>
      <w:lvlJc w:val="left"/>
      <w:pPr>
        <w:ind w:left="321" w:hanging="360"/>
      </w:pPr>
      <w:rPr>
        <w:rFonts w:hint="default"/>
      </w:rPr>
    </w:lvl>
    <w:lvl w:ilvl="1" w:tplc="0C090019" w:tentative="1">
      <w:start w:val="1"/>
      <w:numFmt w:val="lowerLetter"/>
      <w:lvlText w:val="%2."/>
      <w:lvlJc w:val="left"/>
      <w:pPr>
        <w:ind w:left="1041" w:hanging="360"/>
      </w:pPr>
    </w:lvl>
    <w:lvl w:ilvl="2" w:tplc="0C09001B" w:tentative="1">
      <w:start w:val="1"/>
      <w:numFmt w:val="lowerRoman"/>
      <w:lvlText w:val="%3."/>
      <w:lvlJc w:val="right"/>
      <w:pPr>
        <w:ind w:left="1761" w:hanging="180"/>
      </w:pPr>
    </w:lvl>
    <w:lvl w:ilvl="3" w:tplc="0C09000F" w:tentative="1">
      <w:start w:val="1"/>
      <w:numFmt w:val="decimal"/>
      <w:lvlText w:val="%4."/>
      <w:lvlJc w:val="left"/>
      <w:pPr>
        <w:ind w:left="2481" w:hanging="360"/>
      </w:pPr>
    </w:lvl>
    <w:lvl w:ilvl="4" w:tplc="0C090019" w:tentative="1">
      <w:start w:val="1"/>
      <w:numFmt w:val="lowerLetter"/>
      <w:lvlText w:val="%5."/>
      <w:lvlJc w:val="left"/>
      <w:pPr>
        <w:ind w:left="3201" w:hanging="360"/>
      </w:pPr>
    </w:lvl>
    <w:lvl w:ilvl="5" w:tplc="0C09001B" w:tentative="1">
      <w:start w:val="1"/>
      <w:numFmt w:val="lowerRoman"/>
      <w:lvlText w:val="%6."/>
      <w:lvlJc w:val="right"/>
      <w:pPr>
        <w:ind w:left="3921" w:hanging="180"/>
      </w:pPr>
    </w:lvl>
    <w:lvl w:ilvl="6" w:tplc="0C09000F" w:tentative="1">
      <w:start w:val="1"/>
      <w:numFmt w:val="decimal"/>
      <w:lvlText w:val="%7."/>
      <w:lvlJc w:val="left"/>
      <w:pPr>
        <w:ind w:left="4641" w:hanging="360"/>
      </w:pPr>
    </w:lvl>
    <w:lvl w:ilvl="7" w:tplc="0C090019" w:tentative="1">
      <w:start w:val="1"/>
      <w:numFmt w:val="lowerLetter"/>
      <w:lvlText w:val="%8."/>
      <w:lvlJc w:val="left"/>
      <w:pPr>
        <w:ind w:left="5361" w:hanging="360"/>
      </w:pPr>
    </w:lvl>
    <w:lvl w:ilvl="8" w:tplc="0C09001B" w:tentative="1">
      <w:start w:val="1"/>
      <w:numFmt w:val="lowerRoman"/>
      <w:lvlText w:val="%9."/>
      <w:lvlJc w:val="right"/>
      <w:pPr>
        <w:ind w:left="6081" w:hanging="180"/>
      </w:pPr>
    </w:lvl>
  </w:abstractNum>
  <w:abstractNum w:abstractNumId="21"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E455653"/>
    <w:multiLevelType w:val="multilevel"/>
    <w:tmpl w:val="1320092E"/>
    <w:lvl w:ilvl="0">
      <w:start w:val="1"/>
      <w:numFmt w:val="decimal"/>
      <w:pStyle w:val="Heading1"/>
      <w:lvlText w:val="%1."/>
      <w:lvlJc w:val="left"/>
      <w:pPr>
        <w:ind w:left="999" w:hanging="432"/>
      </w:pPr>
      <w:rPr>
        <w:specVanish w: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6" w15:restartNumberingAfterBreak="0">
    <w:nsid w:val="661E5A89"/>
    <w:multiLevelType w:val="hybridMultilevel"/>
    <w:tmpl w:val="877AF5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9" w15:restartNumberingAfterBreak="0">
    <w:nsid w:val="75E535F4"/>
    <w:multiLevelType w:val="hybridMultilevel"/>
    <w:tmpl w:val="080C2EF6"/>
    <w:lvl w:ilvl="0" w:tplc="C7ACA17E">
      <w:start w:val="1"/>
      <w:numFmt w:val="lowerRoman"/>
      <w:pStyle w:val="Bodynumbered3"/>
      <w:lvlText w:val="%1)"/>
      <w:lvlJc w:val="left"/>
      <w:pPr>
        <w:tabs>
          <w:tab w:val="num" w:pos="1418"/>
        </w:tabs>
        <w:ind w:left="1418" w:hanging="42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2" w15:restartNumberingAfterBreak="0">
    <w:nsid w:val="7AD101E3"/>
    <w:multiLevelType w:val="hybridMultilevel"/>
    <w:tmpl w:val="C2141A80"/>
    <w:lvl w:ilvl="0" w:tplc="E1983B34">
      <w:start w:val="1"/>
      <w:numFmt w:val="lowerLetter"/>
      <w:pStyle w:val="Bodynumbered2"/>
      <w:lvlText w:val="%1)"/>
      <w:lvlJc w:val="left"/>
      <w:pPr>
        <w:tabs>
          <w:tab w:val="num" w:pos="992"/>
        </w:tabs>
        <w:ind w:left="992" w:hanging="425"/>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3" w15:restartNumberingAfterBreak="0">
    <w:nsid w:val="7C4120D4"/>
    <w:multiLevelType w:val="hybridMultilevel"/>
    <w:tmpl w:val="E79607B0"/>
    <w:lvl w:ilvl="0" w:tplc="336C02FC">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16cid:durableId="394275924">
    <w:abstractNumId w:val="31"/>
  </w:num>
  <w:num w:numId="2" w16cid:durableId="1021669402">
    <w:abstractNumId w:val="22"/>
  </w:num>
  <w:num w:numId="3" w16cid:durableId="644549469">
    <w:abstractNumId w:val="28"/>
  </w:num>
  <w:num w:numId="4" w16cid:durableId="976492755">
    <w:abstractNumId w:val="18"/>
  </w:num>
  <w:num w:numId="5" w16cid:durableId="769740271">
    <w:abstractNumId w:val="11"/>
  </w:num>
  <w:num w:numId="6" w16cid:durableId="1793867376">
    <w:abstractNumId w:val="27"/>
  </w:num>
  <w:num w:numId="7" w16cid:durableId="448470568">
    <w:abstractNumId w:val="19"/>
  </w:num>
  <w:num w:numId="8" w16cid:durableId="928736968">
    <w:abstractNumId w:val="25"/>
  </w:num>
  <w:num w:numId="9" w16cid:durableId="659503093">
    <w:abstractNumId w:val="15"/>
  </w:num>
  <w:num w:numId="10" w16cid:durableId="1148783525">
    <w:abstractNumId w:val="12"/>
  </w:num>
  <w:num w:numId="11" w16cid:durableId="70272230">
    <w:abstractNumId w:val="24"/>
  </w:num>
  <w:num w:numId="12" w16cid:durableId="837304861">
    <w:abstractNumId w:val="30"/>
  </w:num>
  <w:num w:numId="13" w16cid:durableId="1395854857">
    <w:abstractNumId w:val="29"/>
  </w:num>
  <w:num w:numId="14" w16cid:durableId="198055971">
    <w:abstractNumId w:val="17"/>
  </w:num>
  <w:num w:numId="15" w16cid:durableId="1510869405">
    <w:abstractNumId w:val="10"/>
  </w:num>
  <w:num w:numId="16" w16cid:durableId="1944070834">
    <w:abstractNumId w:val="13"/>
  </w:num>
  <w:num w:numId="17" w16cid:durableId="320161866">
    <w:abstractNumId w:val="16"/>
  </w:num>
  <w:num w:numId="18" w16cid:durableId="267666163">
    <w:abstractNumId w:val="21"/>
  </w:num>
  <w:num w:numId="19" w16cid:durableId="1850018655">
    <w:abstractNumId w:val="32"/>
  </w:num>
  <w:num w:numId="20" w16cid:durableId="1401446069">
    <w:abstractNumId w:val="23"/>
  </w:num>
  <w:num w:numId="21" w16cid:durableId="395906641">
    <w:abstractNumId w:val="32"/>
    <w:lvlOverride w:ilvl="0">
      <w:startOverride w:val="1"/>
    </w:lvlOverride>
  </w:num>
  <w:num w:numId="22" w16cid:durableId="14880838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376188">
    <w:abstractNumId w:val="32"/>
    <w:lvlOverride w:ilvl="0">
      <w:startOverride w:val="1"/>
    </w:lvlOverride>
  </w:num>
  <w:num w:numId="24" w16cid:durableId="1853454270">
    <w:abstractNumId w:val="32"/>
    <w:lvlOverride w:ilvl="0">
      <w:startOverride w:val="1"/>
    </w:lvlOverride>
  </w:num>
  <w:num w:numId="25" w16cid:durableId="1640961847">
    <w:abstractNumId w:val="32"/>
    <w:lvlOverride w:ilvl="0">
      <w:startOverride w:val="1"/>
    </w:lvlOverride>
  </w:num>
  <w:num w:numId="26" w16cid:durableId="579600725">
    <w:abstractNumId w:val="17"/>
  </w:num>
  <w:num w:numId="27" w16cid:durableId="1240405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0583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3567790">
    <w:abstractNumId w:val="32"/>
    <w:lvlOverride w:ilvl="0">
      <w:startOverride w:val="1"/>
    </w:lvlOverride>
  </w:num>
  <w:num w:numId="30" w16cid:durableId="1090855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22009">
    <w:abstractNumId w:val="14"/>
  </w:num>
  <w:num w:numId="32" w16cid:durableId="1461217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7005803">
    <w:abstractNumId w:val="9"/>
  </w:num>
  <w:num w:numId="34" w16cid:durableId="1211921374">
    <w:abstractNumId w:val="7"/>
  </w:num>
  <w:num w:numId="35" w16cid:durableId="81724084">
    <w:abstractNumId w:val="6"/>
  </w:num>
  <w:num w:numId="36" w16cid:durableId="1631008868">
    <w:abstractNumId w:val="5"/>
  </w:num>
  <w:num w:numId="37" w16cid:durableId="1185172127">
    <w:abstractNumId w:val="4"/>
  </w:num>
  <w:num w:numId="38" w16cid:durableId="1550797141">
    <w:abstractNumId w:val="8"/>
  </w:num>
  <w:num w:numId="39" w16cid:durableId="855079646">
    <w:abstractNumId w:val="3"/>
  </w:num>
  <w:num w:numId="40" w16cid:durableId="369917487">
    <w:abstractNumId w:val="2"/>
  </w:num>
  <w:num w:numId="41" w16cid:durableId="1454902601">
    <w:abstractNumId w:val="1"/>
  </w:num>
  <w:num w:numId="42" w16cid:durableId="189801862">
    <w:abstractNumId w:val="0"/>
  </w:num>
  <w:num w:numId="43" w16cid:durableId="1013145905">
    <w:abstractNumId w:val="29"/>
    <w:lvlOverride w:ilvl="0">
      <w:startOverride w:val="1"/>
    </w:lvlOverride>
  </w:num>
  <w:num w:numId="44" w16cid:durableId="1427270451">
    <w:abstractNumId w:val="32"/>
    <w:lvlOverride w:ilvl="0">
      <w:startOverride w:val="1"/>
    </w:lvlOverride>
  </w:num>
  <w:num w:numId="45" w16cid:durableId="166020569">
    <w:abstractNumId w:val="32"/>
    <w:lvlOverride w:ilvl="0">
      <w:startOverride w:val="1"/>
    </w:lvlOverride>
  </w:num>
  <w:num w:numId="46" w16cid:durableId="1563756527">
    <w:abstractNumId w:val="33"/>
  </w:num>
  <w:num w:numId="47" w16cid:durableId="777719236">
    <w:abstractNumId w:val="26"/>
  </w:num>
  <w:num w:numId="48" w16cid:durableId="121046170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AE"/>
    <w:rsid w:val="00000EAF"/>
    <w:rsid w:val="00003330"/>
    <w:rsid w:val="00006D2F"/>
    <w:rsid w:val="000074BA"/>
    <w:rsid w:val="00010315"/>
    <w:rsid w:val="00010DBC"/>
    <w:rsid w:val="00011356"/>
    <w:rsid w:val="000115DE"/>
    <w:rsid w:val="00012880"/>
    <w:rsid w:val="00012948"/>
    <w:rsid w:val="0001371F"/>
    <w:rsid w:val="0001456B"/>
    <w:rsid w:val="00017D92"/>
    <w:rsid w:val="00020BB3"/>
    <w:rsid w:val="00024A09"/>
    <w:rsid w:val="00025460"/>
    <w:rsid w:val="00025D9A"/>
    <w:rsid w:val="000304D1"/>
    <w:rsid w:val="0003240C"/>
    <w:rsid w:val="00037DFF"/>
    <w:rsid w:val="00040E58"/>
    <w:rsid w:val="00042467"/>
    <w:rsid w:val="00043BBD"/>
    <w:rsid w:val="000446AC"/>
    <w:rsid w:val="00045CDF"/>
    <w:rsid w:val="00046F07"/>
    <w:rsid w:val="00050542"/>
    <w:rsid w:val="000518BE"/>
    <w:rsid w:val="00052840"/>
    <w:rsid w:val="000561B6"/>
    <w:rsid w:val="0005664A"/>
    <w:rsid w:val="00056AC6"/>
    <w:rsid w:val="00057CE9"/>
    <w:rsid w:val="0006174F"/>
    <w:rsid w:val="00062399"/>
    <w:rsid w:val="00063175"/>
    <w:rsid w:val="00063F76"/>
    <w:rsid w:val="00064F5A"/>
    <w:rsid w:val="00066FF7"/>
    <w:rsid w:val="00071402"/>
    <w:rsid w:val="0007228F"/>
    <w:rsid w:val="00073A3D"/>
    <w:rsid w:val="00075012"/>
    <w:rsid w:val="000750A5"/>
    <w:rsid w:val="00077815"/>
    <w:rsid w:val="000800F3"/>
    <w:rsid w:val="00080AB7"/>
    <w:rsid w:val="00082B1B"/>
    <w:rsid w:val="00083DD0"/>
    <w:rsid w:val="00085392"/>
    <w:rsid w:val="00085F35"/>
    <w:rsid w:val="00086747"/>
    <w:rsid w:val="000900DB"/>
    <w:rsid w:val="000904BD"/>
    <w:rsid w:val="00090BB5"/>
    <w:rsid w:val="000934BE"/>
    <w:rsid w:val="000940DD"/>
    <w:rsid w:val="00095B6D"/>
    <w:rsid w:val="00095C96"/>
    <w:rsid w:val="000A4160"/>
    <w:rsid w:val="000A4BE4"/>
    <w:rsid w:val="000A51A0"/>
    <w:rsid w:val="000A5626"/>
    <w:rsid w:val="000A6357"/>
    <w:rsid w:val="000A7CAC"/>
    <w:rsid w:val="000B046D"/>
    <w:rsid w:val="000B1E68"/>
    <w:rsid w:val="000B262B"/>
    <w:rsid w:val="000B2831"/>
    <w:rsid w:val="000B3CF1"/>
    <w:rsid w:val="000B5520"/>
    <w:rsid w:val="000C089A"/>
    <w:rsid w:val="000C0F20"/>
    <w:rsid w:val="000C1C06"/>
    <w:rsid w:val="000C4621"/>
    <w:rsid w:val="000C5824"/>
    <w:rsid w:val="000D76D6"/>
    <w:rsid w:val="000D79CC"/>
    <w:rsid w:val="000D79DC"/>
    <w:rsid w:val="000E3FD7"/>
    <w:rsid w:val="000E508E"/>
    <w:rsid w:val="000E5A77"/>
    <w:rsid w:val="000E5E53"/>
    <w:rsid w:val="000E66B7"/>
    <w:rsid w:val="000E6E2F"/>
    <w:rsid w:val="000F09D1"/>
    <w:rsid w:val="000F1AB8"/>
    <w:rsid w:val="000F600D"/>
    <w:rsid w:val="000F633D"/>
    <w:rsid w:val="000F76C4"/>
    <w:rsid w:val="00101D52"/>
    <w:rsid w:val="0010568B"/>
    <w:rsid w:val="001058EC"/>
    <w:rsid w:val="00106602"/>
    <w:rsid w:val="00106951"/>
    <w:rsid w:val="00107CDA"/>
    <w:rsid w:val="00110D92"/>
    <w:rsid w:val="001119AB"/>
    <w:rsid w:val="0011467B"/>
    <w:rsid w:val="0011479C"/>
    <w:rsid w:val="00114D7E"/>
    <w:rsid w:val="00116F61"/>
    <w:rsid w:val="0011774C"/>
    <w:rsid w:val="00120F58"/>
    <w:rsid w:val="001216A8"/>
    <w:rsid w:val="00121877"/>
    <w:rsid w:val="00121FED"/>
    <w:rsid w:val="00122548"/>
    <w:rsid w:val="00124AAE"/>
    <w:rsid w:val="0012515A"/>
    <w:rsid w:val="00125972"/>
    <w:rsid w:val="00126E9F"/>
    <w:rsid w:val="00127345"/>
    <w:rsid w:val="00127621"/>
    <w:rsid w:val="00132AA3"/>
    <w:rsid w:val="00134076"/>
    <w:rsid w:val="001344CC"/>
    <w:rsid w:val="00136B2D"/>
    <w:rsid w:val="00136BB5"/>
    <w:rsid w:val="00140C1C"/>
    <w:rsid w:val="0014109A"/>
    <w:rsid w:val="00143F5C"/>
    <w:rsid w:val="00144616"/>
    <w:rsid w:val="00145118"/>
    <w:rsid w:val="0014592C"/>
    <w:rsid w:val="001474AB"/>
    <w:rsid w:val="00147797"/>
    <w:rsid w:val="00147802"/>
    <w:rsid w:val="00151296"/>
    <w:rsid w:val="00151CD8"/>
    <w:rsid w:val="00151D07"/>
    <w:rsid w:val="0015399F"/>
    <w:rsid w:val="0015411B"/>
    <w:rsid w:val="00155A1F"/>
    <w:rsid w:val="001608C7"/>
    <w:rsid w:val="00163BA1"/>
    <w:rsid w:val="0016403A"/>
    <w:rsid w:val="00167824"/>
    <w:rsid w:val="00170376"/>
    <w:rsid w:val="0017138E"/>
    <w:rsid w:val="00172B8B"/>
    <w:rsid w:val="001745D5"/>
    <w:rsid w:val="00174BC5"/>
    <w:rsid w:val="00176137"/>
    <w:rsid w:val="00176931"/>
    <w:rsid w:val="0017727E"/>
    <w:rsid w:val="0018067B"/>
    <w:rsid w:val="0018259B"/>
    <w:rsid w:val="001827DC"/>
    <w:rsid w:val="001852C3"/>
    <w:rsid w:val="001872B3"/>
    <w:rsid w:val="00191F45"/>
    <w:rsid w:val="0019230C"/>
    <w:rsid w:val="00193DE3"/>
    <w:rsid w:val="00193ECF"/>
    <w:rsid w:val="001970AC"/>
    <w:rsid w:val="001A1792"/>
    <w:rsid w:val="001A2692"/>
    <w:rsid w:val="001A2BE5"/>
    <w:rsid w:val="001A3BE4"/>
    <w:rsid w:val="001A3C09"/>
    <w:rsid w:val="001A517A"/>
    <w:rsid w:val="001A5DF5"/>
    <w:rsid w:val="001B0059"/>
    <w:rsid w:val="001B0B59"/>
    <w:rsid w:val="001B0E77"/>
    <w:rsid w:val="001B1016"/>
    <w:rsid w:val="001B45FD"/>
    <w:rsid w:val="001B7C82"/>
    <w:rsid w:val="001B7F72"/>
    <w:rsid w:val="001C200A"/>
    <w:rsid w:val="001C2754"/>
    <w:rsid w:val="001C3674"/>
    <w:rsid w:val="001C3AF9"/>
    <w:rsid w:val="001C5350"/>
    <w:rsid w:val="001C7621"/>
    <w:rsid w:val="001D0B84"/>
    <w:rsid w:val="001E7290"/>
    <w:rsid w:val="001F0F13"/>
    <w:rsid w:val="001F1124"/>
    <w:rsid w:val="001F256F"/>
    <w:rsid w:val="001F44D9"/>
    <w:rsid w:val="00202253"/>
    <w:rsid w:val="002034F5"/>
    <w:rsid w:val="00205A11"/>
    <w:rsid w:val="0020725E"/>
    <w:rsid w:val="00210C8D"/>
    <w:rsid w:val="00211052"/>
    <w:rsid w:val="002118F2"/>
    <w:rsid w:val="00214EB5"/>
    <w:rsid w:val="00215DF6"/>
    <w:rsid w:val="00217BA1"/>
    <w:rsid w:val="0022180D"/>
    <w:rsid w:val="0022279F"/>
    <w:rsid w:val="00225248"/>
    <w:rsid w:val="002302F3"/>
    <w:rsid w:val="00231867"/>
    <w:rsid w:val="002324E0"/>
    <w:rsid w:val="0023633C"/>
    <w:rsid w:val="002364A3"/>
    <w:rsid w:val="002372EC"/>
    <w:rsid w:val="002423B2"/>
    <w:rsid w:val="002448AF"/>
    <w:rsid w:val="00245CF3"/>
    <w:rsid w:val="0025035F"/>
    <w:rsid w:val="00250A0B"/>
    <w:rsid w:val="00254990"/>
    <w:rsid w:val="00256ECC"/>
    <w:rsid w:val="002579C5"/>
    <w:rsid w:val="002616C5"/>
    <w:rsid w:val="002646A2"/>
    <w:rsid w:val="00264B4E"/>
    <w:rsid w:val="00264FB7"/>
    <w:rsid w:val="002652B9"/>
    <w:rsid w:val="002653E9"/>
    <w:rsid w:val="002654CE"/>
    <w:rsid w:val="00265C46"/>
    <w:rsid w:val="00265E28"/>
    <w:rsid w:val="00267144"/>
    <w:rsid w:val="00267202"/>
    <w:rsid w:val="00272EF7"/>
    <w:rsid w:val="002731C6"/>
    <w:rsid w:val="00273803"/>
    <w:rsid w:val="0027453C"/>
    <w:rsid w:val="0027586A"/>
    <w:rsid w:val="002821E6"/>
    <w:rsid w:val="002822D7"/>
    <w:rsid w:val="0028284E"/>
    <w:rsid w:val="00282B2D"/>
    <w:rsid w:val="002852C2"/>
    <w:rsid w:val="00285302"/>
    <w:rsid w:val="00292D3B"/>
    <w:rsid w:val="002951CB"/>
    <w:rsid w:val="002951E2"/>
    <w:rsid w:val="002A01BE"/>
    <w:rsid w:val="002A03F6"/>
    <w:rsid w:val="002A0786"/>
    <w:rsid w:val="002A13EF"/>
    <w:rsid w:val="002A1D93"/>
    <w:rsid w:val="002A4000"/>
    <w:rsid w:val="002A5934"/>
    <w:rsid w:val="002A5FE2"/>
    <w:rsid w:val="002B1188"/>
    <w:rsid w:val="002B1BEB"/>
    <w:rsid w:val="002B3553"/>
    <w:rsid w:val="002B4A84"/>
    <w:rsid w:val="002C0B4C"/>
    <w:rsid w:val="002C13AF"/>
    <w:rsid w:val="002C381F"/>
    <w:rsid w:val="002C3A6D"/>
    <w:rsid w:val="002C46FD"/>
    <w:rsid w:val="002C5250"/>
    <w:rsid w:val="002C74E9"/>
    <w:rsid w:val="002D09CA"/>
    <w:rsid w:val="002D17E9"/>
    <w:rsid w:val="002D1BA4"/>
    <w:rsid w:val="002D38E3"/>
    <w:rsid w:val="002D6C9F"/>
    <w:rsid w:val="002D7743"/>
    <w:rsid w:val="002E4E55"/>
    <w:rsid w:val="002E5D4C"/>
    <w:rsid w:val="002E643F"/>
    <w:rsid w:val="002E7480"/>
    <w:rsid w:val="002E7870"/>
    <w:rsid w:val="002E7CDE"/>
    <w:rsid w:val="002F0386"/>
    <w:rsid w:val="002F1D4A"/>
    <w:rsid w:val="002F1F20"/>
    <w:rsid w:val="002F2D3C"/>
    <w:rsid w:val="002F4AA6"/>
    <w:rsid w:val="002F6570"/>
    <w:rsid w:val="00300679"/>
    <w:rsid w:val="00301089"/>
    <w:rsid w:val="00302829"/>
    <w:rsid w:val="00303261"/>
    <w:rsid w:val="00303332"/>
    <w:rsid w:val="00303A16"/>
    <w:rsid w:val="00305F4B"/>
    <w:rsid w:val="003072DE"/>
    <w:rsid w:val="003101BA"/>
    <w:rsid w:val="00310369"/>
    <w:rsid w:val="003131DA"/>
    <w:rsid w:val="003163AC"/>
    <w:rsid w:val="003173C9"/>
    <w:rsid w:val="0031779C"/>
    <w:rsid w:val="00321170"/>
    <w:rsid w:val="00321208"/>
    <w:rsid w:val="003215D5"/>
    <w:rsid w:val="00323181"/>
    <w:rsid w:val="003244CB"/>
    <w:rsid w:val="00324618"/>
    <w:rsid w:val="003273C9"/>
    <w:rsid w:val="00333742"/>
    <w:rsid w:val="00333FDE"/>
    <w:rsid w:val="00335811"/>
    <w:rsid w:val="00335CFE"/>
    <w:rsid w:val="003415FD"/>
    <w:rsid w:val="0034353E"/>
    <w:rsid w:val="003447F6"/>
    <w:rsid w:val="00353D1F"/>
    <w:rsid w:val="00356525"/>
    <w:rsid w:val="00361BB4"/>
    <w:rsid w:val="0036499C"/>
    <w:rsid w:val="00364DE9"/>
    <w:rsid w:val="0036568E"/>
    <w:rsid w:val="0037122F"/>
    <w:rsid w:val="003722CC"/>
    <w:rsid w:val="00372FE5"/>
    <w:rsid w:val="003753A4"/>
    <w:rsid w:val="00376104"/>
    <w:rsid w:val="003772BF"/>
    <w:rsid w:val="0037734A"/>
    <w:rsid w:val="003825DE"/>
    <w:rsid w:val="003828D4"/>
    <w:rsid w:val="00382D26"/>
    <w:rsid w:val="00383EA0"/>
    <w:rsid w:val="003851D2"/>
    <w:rsid w:val="003859D0"/>
    <w:rsid w:val="00387A4A"/>
    <w:rsid w:val="00393EDA"/>
    <w:rsid w:val="003948FD"/>
    <w:rsid w:val="00396510"/>
    <w:rsid w:val="003A1F38"/>
    <w:rsid w:val="003A36BB"/>
    <w:rsid w:val="003B4784"/>
    <w:rsid w:val="003B51CD"/>
    <w:rsid w:val="003B76B8"/>
    <w:rsid w:val="003B7DCB"/>
    <w:rsid w:val="003D2A92"/>
    <w:rsid w:val="003D30B9"/>
    <w:rsid w:val="003D5B90"/>
    <w:rsid w:val="003D71F8"/>
    <w:rsid w:val="003D7B9E"/>
    <w:rsid w:val="003E0011"/>
    <w:rsid w:val="003E0DCC"/>
    <w:rsid w:val="003E1278"/>
    <w:rsid w:val="003E1EC5"/>
    <w:rsid w:val="003E292B"/>
    <w:rsid w:val="003E31BA"/>
    <w:rsid w:val="003E5B66"/>
    <w:rsid w:val="003E7B6B"/>
    <w:rsid w:val="003F2CC2"/>
    <w:rsid w:val="003F3B0D"/>
    <w:rsid w:val="003F3BBE"/>
    <w:rsid w:val="003F4149"/>
    <w:rsid w:val="003F4501"/>
    <w:rsid w:val="003F7623"/>
    <w:rsid w:val="003F7CD0"/>
    <w:rsid w:val="00400F6C"/>
    <w:rsid w:val="004014BB"/>
    <w:rsid w:val="00401B70"/>
    <w:rsid w:val="00401E9A"/>
    <w:rsid w:val="00402097"/>
    <w:rsid w:val="00402E39"/>
    <w:rsid w:val="004039E5"/>
    <w:rsid w:val="00404030"/>
    <w:rsid w:val="004079E4"/>
    <w:rsid w:val="00407BC8"/>
    <w:rsid w:val="0041075A"/>
    <w:rsid w:val="00411FBE"/>
    <w:rsid w:val="0041349A"/>
    <w:rsid w:val="0041743B"/>
    <w:rsid w:val="00417EAC"/>
    <w:rsid w:val="00423186"/>
    <w:rsid w:val="0042332C"/>
    <w:rsid w:val="004237A6"/>
    <w:rsid w:val="00426C2C"/>
    <w:rsid w:val="004327F8"/>
    <w:rsid w:val="004330D7"/>
    <w:rsid w:val="00435EDE"/>
    <w:rsid w:val="0043661F"/>
    <w:rsid w:val="00437C48"/>
    <w:rsid w:val="0044311C"/>
    <w:rsid w:val="0044402B"/>
    <w:rsid w:val="0044570B"/>
    <w:rsid w:val="00450C88"/>
    <w:rsid w:val="00450F14"/>
    <w:rsid w:val="00451D6C"/>
    <w:rsid w:val="00452C54"/>
    <w:rsid w:val="00453734"/>
    <w:rsid w:val="004555A0"/>
    <w:rsid w:val="004561B8"/>
    <w:rsid w:val="00456BAA"/>
    <w:rsid w:val="00461A2B"/>
    <w:rsid w:val="00462624"/>
    <w:rsid w:val="0046275D"/>
    <w:rsid w:val="00463D9C"/>
    <w:rsid w:val="00471AF6"/>
    <w:rsid w:val="0047210C"/>
    <w:rsid w:val="00475F56"/>
    <w:rsid w:val="00476FFD"/>
    <w:rsid w:val="0048264D"/>
    <w:rsid w:val="004845D9"/>
    <w:rsid w:val="00485544"/>
    <w:rsid w:val="00485E41"/>
    <w:rsid w:val="004860D5"/>
    <w:rsid w:val="004868FA"/>
    <w:rsid w:val="004875AD"/>
    <w:rsid w:val="004905F8"/>
    <w:rsid w:val="00492622"/>
    <w:rsid w:val="00492F96"/>
    <w:rsid w:val="00495509"/>
    <w:rsid w:val="00496983"/>
    <w:rsid w:val="00496A7E"/>
    <w:rsid w:val="00496EE6"/>
    <w:rsid w:val="004973A9"/>
    <w:rsid w:val="004A2083"/>
    <w:rsid w:val="004A2379"/>
    <w:rsid w:val="004A480C"/>
    <w:rsid w:val="004A6039"/>
    <w:rsid w:val="004A7182"/>
    <w:rsid w:val="004A7CAA"/>
    <w:rsid w:val="004B10CB"/>
    <w:rsid w:val="004B1FEA"/>
    <w:rsid w:val="004B213E"/>
    <w:rsid w:val="004B2367"/>
    <w:rsid w:val="004B32BE"/>
    <w:rsid w:val="004B3AA9"/>
    <w:rsid w:val="004B3ACF"/>
    <w:rsid w:val="004B5660"/>
    <w:rsid w:val="004B629B"/>
    <w:rsid w:val="004C0A60"/>
    <w:rsid w:val="004C0DEA"/>
    <w:rsid w:val="004C3B9E"/>
    <w:rsid w:val="004C50CF"/>
    <w:rsid w:val="004D6973"/>
    <w:rsid w:val="004D7B6F"/>
    <w:rsid w:val="004E0C55"/>
    <w:rsid w:val="004E0E51"/>
    <w:rsid w:val="004E2059"/>
    <w:rsid w:val="004E293C"/>
    <w:rsid w:val="004E2D48"/>
    <w:rsid w:val="004E4E46"/>
    <w:rsid w:val="004F0472"/>
    <w:rsid w:val="004F200B"/>
    <w:rsid w:val="004F22E9"/>
    <w:rsid w:val="004F2C7D"/>
    <w:rsid w:val="004F39EE"/>
    <w:rsid w:val="004F3C82"/>
    <w:rsid w:val="004F48F2"/>
    <w:rsid w:val="004F7216"/>
    <w:rsid w:val="00501BD1"/>
    <w:rsid w:val="00502381"/>
    <w:rsid w:val="005060D1"/>
    <w:rsid w:val="00510256"/>
    <w:rsid w:val="005113F9"/>
    <w:rsid w:val="00512B0B"/>
    <w:rsid w:val="00514D64"/>
    <w:rsid w:val="0051540A"/>
    <w:rsid w:val="005154B9"/>
    <w:rsid w:val="00516861"/>
    <w:rsid w:val="005169E6"/>
    <w:rsid w:val="00517C2B"/>
    <w:rsid w:val="0052098C"/>
    <w:rsid w:val="00522C55"/>
    <w:rsid w:val="005230B1"/>
    <w:rsid w:val="00524C34"/>
    <w:rsid w:val="005252CA"/>
    <w:rsid w:val="00526E2C"/>
    <w:rsid w:val="00526F85"/>
    <w:rsid w:val="00531C8A"/>
    <w:rsid w:val="00532EC1"/>
    <w:rsid w:val="005337D9"/>
    <w:rsid w:val="00534755"/>
    <w:rsid w:val="005366E4"/>
    <w:rsid w:val="005369B9"/>
    <w:rsid w:val="00537A89"/>
    <w:rsid w:val="00540242"/>
    <w:rsid w:val="00540A85"/>
    <w:rsid w:val="00541015"/>
    <w:rsid w:val="005417E9"/>
    <w:rsid w:val="00543EF6"/>
    <w:rsid w:val="00545DF6"/>
    <w:rsid w:val="005468C4"/>
    <w:rsid w:val="00546A4D"/>
    <w:rsid w:val="00546A7E"/>
    <w:rsid w:val="00547389"/>
    <w:rsid w:val="00554653"/>
    <w:rsid w:val="00556793"/>
    <w:rsid w:val="00557601"/>
    <w:rsid w:val="00560858"/>
    <w:rsid w:val="00560D94"/>
    <w:rsid w:val="0056195E"/>
    <w:rsid w:val="00563273"/>
    <w:rsid w:val="00563305"/>
    <w:rsid w:val="00563984"/>
    <w:rsid w:val="00564CBD"/>
    <w:rsid w:val="00565DFA"/>
    <w:rsid w:val="005675C1"/>
    <w:rsid w:val="005719DD"/>
    <w:rsid w:val="00573696"/>
    <w:rsid w:val="005739C7"/>
    <w:rsid w:val="00575444"/>
    <w:rsid w:val="005764D1"/>
    <w:rsid w:val="00577A85"/>
    <w:rsid w:val="00580551"/>
    <w:rsid w:val="00581416"/>
    <w:rsid w:val="00582820"/>
    <w:rsid w:val="0058543E"/>
    <w:rsid w:val="00586E7A"/>
    <w:rsid w:val="0059043A"/>
    <w:rsid w:val="00592A38"/>
    <w:rsid w:val="005935AE"/>
    <w:rsid w:val="00597374"/>
    <w:rsid w:val="005977A7"/>
    <w:rsid w:val="00597AEB"/>
    <w:rsid w:val="005A0FB0"/>
    <w:rsid w:val="005A1104"/>
    <w:rsid w:val="005A3D67"/>
    <w:rsid w:val="005A3DFC"/>
    <w:rsid w:val="005A3E5F"/>
    <w:rsid w:val="005A3EEA"/>
    <w:rsid w:val="005A70E2"/>
    <w:rsid w:val="005A72AE"/>
    <w:rsid w:val="005A78BD"/>
    <w:rsid w:val="005B0FCB"/>
    <w:rsid w:val="005B1171"/>
    <w:rsid w:val="005B20A5"/>
    <w:rsid w:val="005B2F6C"/>
    <w:rsid w:val="005B3CEF"/>
    <w:rsid w:val="005B4D72"/>
    <w:rsid w:val="005B4DF1"/>
    <w:rsid w:val="005B59EE"/>
    <w:rsid w:val="005B67EA"/>
    <w:rsid w:val="005C0086"/>
    <w:rsid w:val="005C0923"/>
    <w:rsid w:val="005C1D9E"/>
    <w:rsid w:val="005C24F8"/>
    <w:rsid w:val="005C663F"/>
    <w:rsid w:val="005C6E96"/>
    <w:rsid w:val="005C730A"/>
    <w:rsid w:val="005C732A"/>
    <w:rsid w:val="005D2099"/>
    <w:rsid w:val="005D26A2"/>
    <w:rsid w:val="005D34E3"/>
    <w:rsid w:val="005D70CD"/>
    <w:rsid w:val="005D7851"/>
    <w:rsid w:val="005E0E5B"/>
    <w:rsid w:val="005E42A6"/>
    <w:rsid w:val="005F034C"/>
    <w:rsid w:val="005F122E"/>
    <w:rsid w:val="005F2F98"/>
    <w:rsid w:val="00601022"/>
    <w:rsid w:val="00601E10"/>
    <w:rsid w:val="00602587"/>
    <w:rsid w:val="00603712"/>
    <w:rsid w:val="00606011"/>
    <w:rsid w:val="0060703A"/>
    <w:rsid w:val="006072FF"/>
    <w:rsid w:val="006075DD"/>
    <w:rsid w:val="0061151F"/>
    <w:rsid w:val="00612591"/>
    <w:rsid w:val="00612948"/>
    <w:rsid w:val="0061511A"/>
    <w:rsid w:val="0061717F"/>
    <w:rsid w:val="00620535"/>
    <w:rsid w:val="00620A30"/>
    <w:rsid w:val="006226ED"/>
    <w:rsid w:val="00622B75"/>
    <w:rsid w:val="00623C18"/>
    <w:rsid w:val="00624966"/>
    <w:rsid w:val="006258D4"/>
    <w:rsid w:val="0062648A"/>
    <w:rsid w:val="00627255"/>
    <w:rsid w:val="006279DF"/>
    <w:rsid w:val="00627CFE"/>
    <w:rsid w:val="00627FA4"/>
    <w:rsid w:val="00632C58"/>
    <w:rsid w:val="006340D1"/>
    <w:rsid w:val="00637261"/>
    <w:rsid w:val="00637A34"/>
    <w:rsid w:val="00642444"/>
    <w:rsid w:val="0064731F"/>
    <w:rsid w:val="0065153A"/>
    <w:rsid w:val="006528BC"/>
    <w:rsid w:val="006548C6"/>
    <w:rsid w:val="00662554"/>
    <w:rsid w:val="006627ED"/>
    <w:rsid w:val="00662EAC"/>
    <w:rsid w:val="006653CE"/>
    <w:rsid w:val="0066731C"/>
    <w:rsid w:val="006706B6"/>
    <w:rsid w:val="006708E9"/>
    <w:rsid w:val="00671F69"/>
    <w:rsid w:val="00672833"/>
    <w:rsid w:val="006733A2"/>
    <w:rsid w:val="0067345E"/>
    <w:rsid w:val="00675FB3"/>
    <w:rsid w:val="00676D46"/>
    <w:rsid w:val="0067705E"/>
    <w:rsid w:val="0067737B"/>
    <w:rsid w:val="006776C5"/>
    <w:rsid w:val="00680436"/>
    <w:rsid w:val="00680A68"/>
    <w:rsid w:val="006815E1"/>
    <w:rsid w:val="006830DD"/>
    <w:rsid w:val="00685987"/>
    <w:rsid w:val="00691855"/>
    <w:rsid w:val="00692658"/>
    <w:rsid w:val="00692A79"/>
    <w:rsid w:val="006A3505"/>
    <w:rsid w:val="006A4A97"/>
    <w:rsid w:val="006A4C68"/>
    <w:rsid w:val="006A6DF3"/>
    <w:rsid w:val="006A7BE0"/>
    <w:rsid w:val="006B49B7"/>
    <w:rsid w:val="006B6DEF"/>
    <w:rsid w:val="006B6F9C"/>
    <w:rsid w:val="006C183A"/>
    <w:rsid w:val="006C3744"/>
    <w:rsid w:val="006C3B3F"/>
    <w:rsid w:val="006C497B"/>
    <w:rsid w:val="006C55D5"/>
    <w:rsid w:val="006C5BE9"/>
    <w:rsid w:val="006C66E9"/>
    <w:rsid w:val="006C77EE"/>
    <w:rsid w:val="006C7FE8"/>
    <w:rsid w:val="006D0BC5"/>
    <w:rsid w:val="006D0CD8"/>
    <w:rsid w:val="006D487B"/>
    <w:rsid w:val="006D4A3B"/>
    <w:rsid w:val="006D5825"/>
    <w:rsid w:val="006D6F11"/>
    <w:rsid w:val="006D75CF"/>
    <w:rsid w:val="006E16A7"/>
    <w:rsid w:val="006E17EB"/>
    <w:rsid w:val="006E2495"/>
    <w:rsid w:val="006E2B0F"/>
    <w:rsid w:val="006E4368"/>
    <w:rsid w:val="006E5888"/>
    <w:rsid w:val="006E602A"/>
    <w:rsid w:val="006E6067"/>
    <w:rsid w:val="006E71F2"/>
    <w:rsid w:val="006F4B8A"/>
    <w:rsid w:val="006F5E62"/>
    <w:rsid w:val="006F78DA"/>
    <w:rsid w:val="00700A13"/>
    <w:rsid w:val="00703242"/>
    <w:rsid w:val="00704FB2"/>
    <w:rsid w:val="00705977"/>
    <w:rsid w:val="0070605F"/>
    <w:rsid w:val="00706D3A"/>
    <w:rsid w:val="00706D9C"/>
    <w:rsid w:val="00712F29"/>
    <w:rsid w:val="007130DF"/>
    <w:rsid w:val="00714595"/>
    <w:rsid w:val="0071512A"/>
    <w:rsid w:val="00715F90"/>
    <w:rsid w:val="00716130"/>
    <w:rsid w:val="00722D93"/>
    <w:rsid w:val="00722F83"/>
    <w:rsid w:val="007261D3"/>
    <w:rsid w:val="00733163"/>
    <w:rsid w:val="0073440A"/>
    <w:rsid w:val="00736509"/>
    <w:rsid w:val="00736C68"/>
    <w:rsid w:val="00740269"/>
    <w:rsid w:val="00741372"/>
    <w:rsid w:val="00741C11"/>
    <w:rsid w:val="00745214"/>
    <w:rsid w:val="0074545A"/>
    <w:rsid w:val="007501E1"/>
    <w:rsid w:val="00751F63"/>
    <w:rsid w:val="00752524"/>
    <w:rsid w:val="007576FC"/>
    <w:rsid w:val="00760A37"/>
    <w:rsid w:val="00760D5D"/>
    <w:rsid w:val="00761330"/>
    <w:rsid w:val="00764B75"/>
    <w:rsid w:val="00765197"/>
    <w:rsid w:val="0076643A"/>
    <w:rsid w:val="00770ACC"/>
    <w:rsid w:val="00771612"/>
    <w:rsid w:val="0077187D"/>
    <w:rsid w:val="00773BD5"/>
    <w:rsid w:val="00773D0B"/>
    <w:rsid w:val="007750D1"/>
    <w:rsid w:val="007753C2"/>
    <w:rsid w:val="00776284"/>
    <w:rsid w:val="00776E79"/>
    <w:rsid w:val="00781035"/>
    <w:rsid w:val="007828D9"/>
    <w:rsid w:val="00783F83"/>
    <w:rsid w:val="00787F76"/>
    <w:rsid w:val="007904F3"/>
    <w:rsid w:val="00790815"/>
    <w:rsid w:val="00790BF6"/>
    <w:rsid w:val="00792D9C"/>
    <w:rsid w:val="00795981"/>
    <w:rsid w:val="00795BF2"/>
    <w:rsid w:val="007A0CDE"/>
    <w:rsid w:val="007A15F5"/>
    <w:rsid w:val="007A1E2F"/>
    <w:rsid w:val="007A37FA"/>
    <w:rsid w:val="007B18F2"/>
    <w:rsid w:val="007B1B19"/>
    <w:rsid w:val="007B25A5"/>
    <w:rsid w:val="007B4B5C"/>
    <w:rsid w:val="007B4C3C"/>
    <w:rsid w:val="007C1E97"/>
    <w:rsid w:val="007C2D09"/>
    <w:rsid w:val="007C4230"/>
    <w:rsid w:val="007C5DC9"/>
    <w:rsid w:val="007D0410"/>
    <w:rsid w:val="007D3448"/>
    <w:rsid w:val="007D3748"/>
    <w:rsid w:val="007D5E65"/>
    <w:rsid w:val="007E1B97"/>
    <w:rsid w:val="007E43D5"/>
    <w:rsid w:val="007E50B4"/>
    <w:rsid w:val="007E74F7"/>
    <w:rsid w:val="007F1B48"/>
    <w:rsid w:val="007F25E1"/>
    <w:rsid w:val="007F5AC3"/>
    <w:rsid w:val="007F6C82"/>
    <w:rsid w:val="007F6DDA"/>
    <w:rsid w:val="00802250"/>
    <w:rsid w:val="00805E9C"/>
    <w:rsid w:val="00811495"/>
    <w:rsid w:val="00817CE2"/>
    <w:rsid w:val="008205FE"/>
    <w:rsid w:val="008213B3"/>
    <w:rsid w:val="00821A90"/>
    <w:rsid w:val="00821F86"/>
    <w:rsid w:val="00824C0E"/>
    <w:rsid w:val="008263FE"/>
    <w:rsid w:val="00827FCF"/>
    <w:rsid w:val="00830BD5"/>
    <w:rsid w:val="0083703A"/>
    <w:rsid w:val="00840382"/>
    <w:rsid w:val="008405F7"/>
    <w:rsid w:val="008409A1"/>
    <w:rsid w:val="00840A04"/>
    <w:rsid w:val="00841D5F"/>
    <w:rsid w:val="00843508"/>
    <w:rsid w:val="00844765"/>
    <w:rsid w:val="00845113"/>
    <w:rsid w:val="0084536A"/>
    <w:rsid w:val="00845940"/>
    <w:rsid w:val="00846925"/>
    <w:rsid w:val="00847E7D"/>
    <w:rsid w:val="00850666"/>
    <w:rsid w:val="00850C28"/>
    <w:rsid w:val="008545AF"/>
    <w:rsid w:val="00855665"/>
    <w:rsid w:val="00862130"/>
    <w:rsid w:val="0086443D"/>
    <w:rsid w:val="008658A8"/>
    <w:rsid w:val="0086612A"/>
    <w:rsid w:val="00870482"/>
    <w:rsid w:val="00872A67"/>
    <w:rsid w:val="008746BE"/>
    <w:rsid w:val="0087479A"/>
    <w:rsid w:val="008748E4"/>
    <w:rsid w:val="0087697A"/>
    <w:rsid w:val="00877BB2"/>
    <w:rsid w:val="00882342"/>
    <w:rsid w:val="00883612"/>
    <w:rsid w:val="00883BAC"/>
    <w:rsid w:val="00885442"/>
    <w:rsid w:val="008864B3"/>
    <w:rsid w:val="00887E19"/>
    <w:rsid w:val="00887EC6"/>
    <w:rsid w:val="00890348"/>
    <w:rsid w:val="00890C98"/>
    <w:rsid w:val="00890D14"/>
    <w:rsid w:val="008920DD"/>
    <w:rsid w:val="0089319A"/>
    <w:rsid w:val="008931D4"/>
    <w:rsid w:val="00894A14"/>
    <w:rsid w:val="00895BAD"/>
    <w:rsid w:val="00897B04"/>
    <w:rsid w:val="00897DC5"/>
    <w:rsid w:val="008A5F43"/>
    <w:rsid w:val="008A6099"/>
    <w:rsid w:val="008A6AD8"/>
    <w:rsid w:val="008B1F80"/>
    <w:rsid w:val="008B2679"/>
    <w:rsid w:val="008B277E"/>
    <w:rsid w:val="008B2FCF"/>
    <w:rsid w:val="008B40CA"/>
    <w:rsid w:val="008B424E"/>
    <w:rsid w:val="008B726F"/>
    <w:rsid w:val="008C0DE3"/>
    <w:rsid w:val="008C1A66"/>
    <w:rsid w:val="008C209E"/>
    <w:rsid w:val="008C22D7"/>
    <w:rsid w:val="008C35AE"/>
    <w:rsid w:val="008C41A3"/>
    <w:rsid w:val="008C5383"/>
    <w:rsid w:val="008C555A"/>
    <w:rsid w:val="008D01EF"/>
    <w:rsid w:val="008D2926"/>
    <w:rsid w:val="008D4458"/>
    <w:rsid w:val="008D6532"/>
    <w:rsid w:val="008D694B"/>
    <w:rsid w:val="008D6F81"/>
    <w:rsid w:val="008D7E39"/>
    <w:rsid w:val="008E215E"/>
    <w:rsid w:val="008E2A7B"/>
    <w:rsid w:val="008E55A8"/>
    <w:rsid w:val="008F2BA6"/>
    <w:rsid w:val="008F2BE8"/>
    <w:rsid w:val="008F36C7"/>
    <w:rsid w:val="008F445D"/>
    <w:rsid w:val="008F4467"/>
    <w:rsid w:val="008F472B"/>
    <w:rsid w:val="008F56ED"/>
    <w:rsid w:val="008F672B"/>
    <w:rsid w:val="008F6DD8"/>
    <w:rsid w:val="00900F1D"/>
    <w:rsid w:val="00901458"/>
    <w:rsid w:val="0090207A"/>
    <w:rsid w:val="009031ED"/>
    <w:rsid w:val="00903C54"/>
    <w:rsid w:val="00905096"/>
    <w:rsid w:val="0090536E"/>
    <w:rsid w:val="0090559B"/>
    <w:rsid w:val="00906646"/>
    <w:rsid w:val="00914333"/>
    <w:rsid w:val="00914EAD"/>
    <w:rsid w:val="009206B9"/>
    <w:rsid w:val="00920B43"/>
    <w:rsid w:val="009235DC"/>
    <w:rsid w:val="009247C2"/>
    <w:rsid w:val="00933C96"/>
    <w:rsid w:val="00935E20"/>
    <w:rsid w:val="00937B27"/>
    <w:rsid w:val="00940C1B"/>
    <w:rsid w:val="00940D87"/>
    <w:rsid w:val="009420CF"/>
    <w:rsid w:val="00943992"/>
    <w:rsid w:val="00944122"/>
    <w:rsid w:val="0094489A"/>
    <w:rsid w:val="00945044"/>
    <w:rsid w:val="00946365"/>
    <w:rsid w:val="00947689"/>
    <w:rsid w:val="00950912"/>
    <w:rsid w:val="00955722"/>
    <w:rsid w:val="00957C9F"/>
    <w:rsid w:val="009623A7"/>
    <w:rsid w:val="009646AB"/>
    <w:rsid w:val="00964FC4"/>
    <w:rsid w:val="009665B4"/>
    <w:rsid w:val="00966D0C"/>
    <w:rsid w:val="00971602"/>
    <w:rsid w:val="00972027"/>
    <w:rsid w:val="009720F2"/>
    <w:rsid w:val="0097292F"/>
    <w:rsid w:val="00973AFF"/>
    <w:rsid w:val="00975DFD"/>
    <w:rsid w:val="00977519"/>
    <w:rsid w:val="009815B3"/>
    <w:rsid w:val="00982032"/>
    <w:rsid w:val="009840D4"/>
    <w:rsid w:val="00987628"/>
    <w:rsid w:val="009914EB"/>
    <w:rsid w:val="00991F4D"/>
    <w:rsid w:val="009A4F89"/>
    <w:rsid w:val="009A5139"/>
    <w:rsid w:val="009A64EC"/>
    <w:rsid w:val="009B005D"/>
    <w:rsid w:val="009B1195"/>
    <w:rsid w:val="009B22CC"/>
    <w:rsid w:val="009B5547"/>
    <w:rsid w:val="009B5834"/>
    <w:rsid w:val="009C1D78"/>
    <w:rsid w:val="009C38B6"/>
    <w:rsid w:val="009C4B72"/>
    <w:rsid w:val="009C5AB2"/>
    <w:rsid w:val="009D179E"/>
    <w:rsid w:val="009D4FB9"/>
    <w:rsid w:val="009D5C43"/>
    <w:rsid w:val="009D6280"/>
    <w:rsid w:val="009D6F5B"/>
    <w:rsid w:val="009E0204"/>
    <w:rsid w:val="009E11E2"/>
    <w:rsid w:val="009E1699"/>
    <w:rsid w:val="009E1F92"/>
    <w:rsid w:val="009E26BE"/>
    <w:rsid w:val="009E42DF"/>
    <w:rsid w:val="009E508C"/>
    <w:rsid w:val="009E521D"/>
    <w:rsid w:val="009E6F16"/>
    <w:rsid w:val="009E7768"/>
    <w:rsid w:val="009F08ED"/>
    <w:rsid w:val="009F1982"/>
    <w:rsid w:val="009F28F9"/>
    <w:rsid w:val="009F2965"/>
    <w:rsid w:val="009F2ECD"/>
    <w:rsid w:val="009F41DB"/>
    <w:rsid w:val="009F4B86"/>
    <w:rsid w:val="009F666E"/>
    <w:rsid w:val="00A01247"/>
    <w:rsid w:val="00A016F3"/>
    <w:rsid w:val="00A03E89"/>
    <w:rsid w:val="00A05F6E"/>
    <w:rsid w:val="00A068B6"/>
    <w:rsid w:val="00A069C9"/>
    <w:rsid w:val="00A070F3"/>
    <w:rsid w:val="00A07FEF"/>
    <w:rsid w:val="00A11E91"/>
    <w:rsid w:val="00A13A70"/>
    <w:rsid w:val="00A17BC6"/>
    <w:rsid w:val="00A23D9B"/>
    <w:rsid w:val="00A24134"/>
    <w:rsid w:val="00A251CE"/>
    <w:rsid w:val="00A25FB3"/>
    <w:rsid w:val="00A27029"/>
    <w:rsid w:val="00A30CF2"/>
    <w:rsid w:val="00A30D3A"/>
    <w:rsid w:val="00A31CCA"/>
    <w:rsid w:val="00A32A8B"/>
    <w:rsid w:val="00A335C8"/>
    <w:rsid w:val="00A34119"/>
    <w:rsid w:val="00A34A45"/>
    <w:rsid w:val="00A36D99"/>
    <w:rsid w:val="00A37766"/>
    <w:rsid w:val="00A37B7E"/>
    <w:rsid w:val="00A37EC3"/>
    <w:rsid w:val="00A460F1"/>
    <w:rsid w:val="00A50483"/>
    <w:rsid w:val="00A51383"/>
    <w:rsid w:val="00A53022"/>
    <w:rsid w:val="00A54C0A"/>
    <w:rsid w:val="00A54DA7"/>
    <w:rsid w:val="00A60E59"/>
    <w:rsid w:val="00A610D2"/>
    <w:rsid w:val="00A61AC9"/>
    <w:rsid w:val="00A61EA9"/>
    <w:rsid w:val="00A628AF"/>
    <w:rsid w:val="00A62D33"/>
    <w:rsid w:val="00A64438"/>
    <w:rsid w:val="00A64AA3"/>
    <w:rsid w:val="00A65212"/>
    <w:rsid w:val="00A701C4"/>
    <w:rsid w:val="00A73EEE"/>
    <w:rsid w:val="00A77DF0"/>
    <w:rsid w:val="00A83A53"/>
    <w:rsid w:val="00A851FE"/>
    <w:rsid w:val="00A854DD"/>
    <w:rsid w:val="00A86B82"/>
    <w:rsid w:val="00A86C4A"/>
    <w:rsid w:val="00A9007F"/>
    <w:rsid w:val="00A93327"/>
    <w:rsid w:val="00A94A45"/>
    <w:rsid w:val="00A96A6D"/>
    <w:rsid w:val="00A972AD"/>
    <w:rsid w:val="00AA1678"/>
    <w:rsid w:val="00AA2454"/>
    <w:rsid w:val="00AA3B1B"/>
    <w:rsid w:val="00AA5053"/>
    <w:rsid w:val="00AA54AB"/>
    <w:rsid w:val="00AA5FCF"/>
    <w:rsid w:val="00AA642B"/>
    <w:rsid w:val="00AA7263"/>
    <w:rsid w:val="00AA7568"/>
    <w:rsid w:val="00AB0254"/>
    <w:rsid w:val="00AB107D"/>
    <w:rsid w:val="00AB7863"/>
    <w:rsid w:val="00AC14F8"/>
    <w:rsid w:val="00AC1D62"/>
    <w:rsid w:val="00AC4084"/>
    <w:rsid w:val="00AC5D4D"/>
    <w:rsid w:val="00AC7490"/>
    <w:rsid w:val="00AC7D06"/>
    <w:rsid w:val="00AD1BAC"/>
    <w:rsid w:val="00AD2384"/>
    <w:rsid w:val="00AD2C4F"/>
    <w:rsid w:val="00AD41AD"/>
    <w:rsid w:val="00AD613A"/>
    <w:rsid w:val="00AE17EB"/>
    <w:rsid w:val="00AE2F6F"/>
    <w:rsid w:val="00AE30AE"/>
    <w:rsid w:val="00AE34C9"/>
    <w:rsid w:val="00AE427D"/>
    <w:rsid w:val="00AE43B9"/>
    <w:rsid w:val="00AE57ED"/>
    <w:rsid w:val="00AE6938"/>
    <w:rsid w:val="00AE6F16"/>
    <w:rsid w:val="00AE7626"/>
    <w:rsid w:val="00AE7EB7"/>
    <w:rsid w:val="00AF1D72"/>
    <w:rsid w:val="00AF219E"/>
    <w:rsid w:val="00AF2CE3"/>
    <w:rsid w:val="00AF4051"/>
    <w:rsid w:val="00AF446E"/>
    <w:rsid w:val="00AF497A"/>
    <w:rsid w:val="00AF5456"/>
    <w:rsid w:val="00AF60AC"/>
    <w:rsid w:val="00AF709B"/>
    <w:rsid w:val="00B05AA3"/>
    <w:rsid w:val="00B069D0"/>
    <w:rsid w:val="00B1161E"/>
    <w:rsid w:val="00B14381"/>
    <w:rsid w:val="00B162A1"/>
    <w:rsid w:val="00B20DC3"/>
    <w:rsid w:val="00B20F29"/>
    <w:rsid w:val="00B21CC0"/>
    <w:rsid w:val="00B22DD3"/>
    <w:rsid w:val="00B230D1"/>
    <w:rsid w:val="00B23DC4"/>
    <w:rsid w:val="00B3086E"/>
    <w:rsid w:val="00B3135A"/>
    <w:rsid w:val="00B315A4"/>
    <w:rsid w:val="00B31A7B"/>
    <w:rsid w:val="00B3316B"/>
    <w:rsid w:val="00B36C44"/>
    <w:rsid w:val="00B36C8E"/>
    <w:rsid w:val="00B403DB"/>
    <w:rsid w:val="00B440B0"/>
    <w:rsid w:val="00B442F4"/>
    <w:rsid w:val="00B44670"/>
    <w:rsid w:val="00B467EE"/>
    <w:rsid w:val="00B50A4D"/>
    <w:rsid w:val="00B50FA0"/>
    <w:rsid w:val="00B51FDE"/>
    <w:rsid w:val="00B5652C"/>
    <w:rsid w:val="00B57303"/>
    <w:rsid w:val="00B600E8"/>
    <w:rsid w:val="00B71310"/>
    <w:rsid w:val="00B74D06"/>
    <w:rsid w:val="00B75258"/>
    <w:rsid w:val="00B772A4"/>
    <w:rsid w:val="00B83813"/>
    <w:rsid w:val="00B83B9C"/>
    <w:rsid w:val="00B84426"/>
    <w:rsid w:val="00B87214"/>
    <w:rsid w:val="00B9000E"/>
    <w:rsid w:val="00B90AC6"/>
    <w:rsid w:val="00B93D9E"/>
    <w:rsid w:val="00B940D4"/>
    <w:rsid w:val="00BA034C"/>
    <w:rsid w:val="00BA195A"/>
    <w:rsid w:val="00BA2A2D"/>
    <w:rsid w:val="00BA3C01"/>
    <w:rsid w:val="00BA4492"/>
    <w:rsid w:val="00BA45C9"/>
    <w:rsid w:val="00BA4EF6"/>
    <w:rsid w:val="00BA5854"/>
    <w:rsid w:val="00BA623A"/>
    <w:rsid w:val="00BA6EFE"/>
    <w:rsid w:val="00BA7296"/>
    <w:rsid w:val="00BB1468"/>
    <w:rsid w:val="00BB5705"/>
    <w:rsid w:val="00BB5BD5"/>
    <w:rsid w:val="00BB6F79"/>
    <w:rsid w:val="00BC275A"/>
    <w:rsid w:val="00BC785F"/>
    <w:rsid w:val="00BC7D3F"/>
    <w:rsid w:val="00BD2C0B"/>
    <w:rsid w:val="00BD3A7F"/>
    <w:rsid w:val="00BD7CAD"/>
    <w:rsid w:val="00BE3093"/>
    <w:rsid w:val="00BE3095"/>
    <w:rsid w:val="00BE30E9"/>
    <w:rsid w:val="00BE3D99"/>
    <w:rsid w:val="00BE4D04"/>
    <w:rsid w:val="00BF05B1"/>
    <w:rsid w:val="00BF1AF4"/>
    <w:rsid w:val="00BF2861"/>
    <w:rsid w:val="00BF71E2"/>
    <w:rsid w:val="00C0206C"/>
    <w:rsid w:val="00C04ECB"/>
    <w:rsid w:val="00C054EA"/>
    <w:rsid w:val="00C06BE2"/>
    <w:rsid w:val="00C103A7"/>
    <w:rsid w:val="00C10D9F"/>
    <w:rsid w:val="00C12910"/>
    <w:rsid w:val="00C17520"/>
    <w:rsid w:val="00C179D5"/>
    <w:rsid w:val="00C2036C"/>
    <w:rsid w:val="00C2045A"/>
    <w:rsid w:val="00C23008"/>
    <w:rsid w:val="00C24E01"/>
    <w:rsid w:val="00C24FEA"/>
    <w:rsid w:val="00C2746C"/>
    <w:rsid w:val="00C276F9"/>
    <w:rsid w:val="00C32017"/>
    <w:rsid w:val="00C323F4"/>
    <w:rsid w:val="00C32C62"/>
    <w:rsid w:val="00C35C17"/>
    <w:rsid w:val="00C40007"/>
    <w:rsid w:val="00C411E5"/>
    <w:rsid w:val="00C41F00"/>
    <w:rsid w:val="00C427EC"/>
    <w:rsid w:val="00C43979"/>
    <w:rsid w:val="00C443A9"/>
    <w:rsid w:val="00C45558"/>
    <w:rsid w:val="00C472D1"/>
    <w:rsid w:val="00C540D7"/>
    <w:rsid w:val="00C5556F"/>
    <w:rsid w:val="00C6531D"/>
    <w:rsid w:val="00C65440"/>
    <w:rsid w:val="00C668F6"/>
    <w:rsid w:val="00C66D1B"/>
    <w:rsid w:val="00C72B5B"/>
    <w:rsid w:val="00C73AEB"/>
    <w:rsid w:val="00C741C0"/>
    <w:rsid w:val="00C76C3A"/>
    <w:rsid w:val="00C80945"/>
    <w:rsid w:val="00C83A4C"/>
    <w:rsid w:val="00C86E96"/>
    <w:rsid w:val="00C90F9A"/>
    <w:rsid w:val="00C96A56"/>
    <w:rsid w:val="00CA223C"/>
    <w:rsid w:val="00CA485B"/>
    <w:rsid w:val="00CA4A84"/>
    <w:rsid w:val="00CA5A1C"/>
    <w:rsid w:val="00CA62F4"/>
    <w:rsid w:val="00CB1275"/>
    <w:rsid w:val="00CB2E3A"/>
    <w:rsid w:val="00CB31D4"/>
    <w:rsid w:val="00CB5FAF"/>
    <w:rsid w:val="00CB63DA"/>
    <w:rsid w:val="00CB771B"/>
    <w:rsid w:val="00CB7BD9"/>
    <w:rsid w:val="00CC09E7"/>
    <w:rsid w:val="00CC202C"/>
    <w:rsid w:val="00CC509B"/>
    <w:rsid w:val="00CC58A6"/>
    <w:rsid w:val="00CC6F19"/>
    <w:rsid w:val="00CD2CAC"/>
    <w:rsid w:val="00CD58C8"/>
    <w:rsid w:val="00CD58E1"/>
    <w:rsid w:val="00CD5ED6"/>
    <w:rsid w:val="00CD6F15"/>
    <w:rsid w:val="00CD726C"/>
    <w:rsid w:val="00CE116A"/>
    <w:rsid w:val="00CE19AD"/>
    <w:rsid w:val="00CE31C5"/>
    <w:rsid w:val="00CE3298"/>
    <w:rsid w:val="00CE6502"/>
    <w:rsid w:val="00CE737B"/>
    <w:rsid w:val="00CF04B9"/>
    <w:rsid w:val="00CF1EC2"/>
    <w:rsid w:val="00CF24A6"/>
    <w:rsid w:val="00CF5ED4"/>
    <w:rsid w:val="00CF6805"/>
    <w:rsid w:val="00D007E0"/>
    <w:rsid w:val="00D00B38"/>
    <w:rsid w:val="00D0567E"/>
    <w:rsid w:val="00D065D1"/>
    <w:rsid w:val="00D06C37"/>
    <w:rsid w:val="00D10074"/>
    <w:rsid w:val="00D10EC7"/>
    <w:rsid w:val="00D14898"/>
    <w:rsid w:val="00D15A6E"/>
    <w:rsid w:val="00D1608A"/>
    <w:rsid w:val="00D16EF4"/>
    <w:rsid w:val="00D20104"/>
    <w:rsid w:val="00D24F7A"/>
    <w:rsid w:val="00D265DB"/>
    <w:rsid w:val="00D30F4E"/>
    <w:rsid w:val="00D316EA"/>
    <w:rsid w:val="00D31754"/>
    <w:rsid w:val="00D3244D"/>
    <w:rsid w:val="00D32834"/>
    <w:rsid w:val="00D344F4"/>
    <w:rsid w:val="00D357E2"/>
    <w:rsid w:val="00D3619B"/>
    <w:rsid w:val="00D36F10"/>
    <w:rsid w:val="00D37191"/>
    <w:rsid w:val="00D3735D"/>
    <w:rsid w:val="00D402EC"/>
    <w:rsid w:val="00D41738"/>
    <w:rsid w:val="00D43977"/>
    <w:rsid w:val="00D51473"/>
    <w:rsid w:val="00D51813"/>
    <w:rsid w:val="00D53F84"/>
    <w:rsid w:val="00D55501"/>
    <w:rsid w:val="00D55931"/>
    <w:rsid w:val="00D55CD5"/>
    <w:rsid w:val="00D57ED8"/>
    <w:rsid w:val="00D60D6E"/>
    <w:rsid w:val="00D63A5E"/>
    <w:rsid w:val="00D63EE7"/>
    <w:rsid w:val="00D6747C"/>
    <w:rsid w:val="00D678E0"/>
    <w:rsid w:val="00D70C11"/>
    <w:rsid w:val="00D725F8"/>
    <w:rsid w:val="00D7293E"/>
    <w:rsid w:val="00D73323"/>
    <w:rsid w:val="00D733BE"/>
    <w:rsid w:val="00D75B2C"/>
    <w:rsid w:val="00D76C55"/>
    <w:rsid w:val="00D80282"/>
    <w:rsid w:val="00D81AF4"/>
    <w:rsid w:val="00D81E4F"/>
    <w:rsid w:val="00D82F8D"/>
    <w:rsid w:val="00D84292"/>
    <w:rsid w:val="00D851D9"/>
    <w:rsid w:val="00D85ED1"/>
    <w:rsid w:val="00D86FC6"/>
    <w:rsid w:val="00D876D6"/>
    <w:rsid w:val="00D8793B"/>
    <w:rsid w:val="00D917AD"/>
    <w:rsid w:val="00D9206B"/>
    <w:rsid w:val="00D92271"/>
    <w:rsid w:val="00D93ACA"/>
    <w:rsid w:val="00DA21E3"/>
    <w:rsid w:val="00DA4CD1"/>
    <w:rsid w:val="00DA4DEE"/>
    <w:rsid w:val="00DA5A3D"/>
    <w:rsid w:val="00DA5B5E"/>
    <w:rsid w:val="00DA68DA"/>
    <w:rsid w:val="00DA7B84"/>
    <w:rsid w:val="00DB030F"/>
    <w:rsid w:val="00DB1AB8"/>
    <w:rsid w:val="00DC0123"/>
    <w:rsid w:val="00DC02AA"/>
    <w:rsid w:val="00DC0992"/>
    <w:rsid w:val="00DC0DC8"/>
    <w:rsid w:val="00DC1702"/>
    <w:rsid w:val="00DC26A9"/>
    <w:rsid w:val="00DD15C5"/>
    <w:rsid w:val="00DD26AA"/>
    <w:rsid w:val="00DD2779"/>
    <w:rsid w:val="00DD35F9"/>
    <w:rsid w:val="00DD662D"/>
    <w:rsid w:val="00DD699F"/>
    <w:rsid w:val="00DE1881"/>
    <w:rsid w:val="00DE2530"/>
    <w:rsid w:val="00DE3A31"/>
    <w:rsid w:val="00DE4010"/>
    <w:rsid w:val="00DF1218"/>
    <w:rsid w:val="00DF1C58"/>
    <w:rsid w:val="00DF26C5"/>
    <w:rsid w:val="00DF2D84"/>
    <w:rsid w:val="00DF3981"/>
    <w:rsid w:val="00DF3AC1"/>
    <w:rsid w:val="00DF4166"/>
    <w:rsid w:val="00DF72D5"/>
    <w:rsid w:val="00DF77CF"/>
    <w:rsid w:val="00DF783F"/>
    <w:rsid w:val="00E01A9D"/>
    <w:rsid w:val="00E0455A"/>
    <w:rsid w:val="00E070FA"/>
    <w:rsid w:val="00E0799A"/>
    <w:rsid w:val="00E12001"/>
    <w:rsid w:val="00E12562"/>
    <w:rsid w:val="00E13BFA"/>
    <w:rsid w:val="00E13CBF"/>
    <w:rsid w:val="00E17243"/>
    <w:rsid w:val="00E17F77"/>
    <w:rsid w:val="00E20D50"/>
    <w:rsid w:val="00E2158E"/>
    <w:rsid w:val="00E21AE4"/>
    <w:rsid w:val="00E24594"/>
    <w:rsid w:val="00E25184"/>
    <w:rsid w:val="00E25AA9"/>
    <w:rsid w:val="00E27757"/>
    <w:rsid w:val="00E30294"/>
    <w:rsid w:val="00E31159"/>
    <w:rsid w:val="00E31531"/>
    <w:rsid w:val="00E32D1F"/>
    <w:rsid w:val="00E33032"/>
    <w:rsid w:val="00E374BF"/>
    <w:rsid w:val="00E37A0C"/>
    <w:rsid w:val="00E40242"/>
    <w:rsid w:val="00E43E4A"/>
    <w:rsid w:val="00E50E67"/>
    <w:rsid w:val="00E5240A"/>
    <w:rsid w:val="00E562B0"/>
    <w:rsid w:val="00E61B85"/>
    <w:rsid w:val="00E630C9"/>
    <w:rsid w:val="00E635CA"/>
    <w:rsid w:val="00E64D04"/>
    <w:rsid w:val="00E656C6"/>
    <w:rsid w:val="00E667BC"/>
    <w:rsid w:val="00E66A60"/>
    <w:rsid w:val="00E70C3E"/>
    <w:rsid w:val="00E7235E"/>
    <w:rsid w:val="00E7240A"/>
    <w:rsid w:val="00E724D8"/>
    <w:rsid w:val="00E72AE5"/>
    <w:rsid w:val="00E80CDA"/>
    <w:rsid w:val="00E82F96"/>
    <w:rsid w:val="00E83B1F"/>
    <w:rsid w:val="00E85EFD"/>
    <w:rsid w:val="00E87B52"/>
    <w:rsid w:val="00E9022B"/>
    <w:rsid w:val="00E9254E"/>
    <w:rsid w:val="00E937F1"/>
    <w:rsid w:val="00E93F23"/>
    <w:rsid w:val="00E9467E"/>
    <w:rsid w:val="00E94792"/>
    <w:rsid w:val="00E952A8"/>
    <w:rsid w:val="00E95870"/>
    <w:rsid w:val="00E95B09"/>
    <w:rsid w:val="00E95F72"/>
    <w:rsid w:val="00E9646A"/>
    <w:rsid w:val="00E96927"/>
    <w:rsid w:val="00EA36B7"/>
    <w:rsid w:val="00EA3A0F"/>
    <w:rsid w:val="00EA4FF4"/>
    <w:rsid w:val="00EA62D5"/>
    <w:rsid w:val="00EA6890"/>
    <w:rsid w:val="00EA7390"/>
    <w:rsid w:val="00EB2E75"/>
    <w:rsid w:val="00EB31D6"/>
    <w:rsid w:val="00EC012E"/>
    <w:rsid w:val="00EC12EE"/>
    <w:rsid w:val="00EC2A2F"/>
    <w:rsid w:val="00EC650E"/>
    <w:rsid w:val="00EC74E8"/>
    <w:rsid w:val="00ED0DFB"/>
    <w:rsid w:val="00ED23DB"/>
    <w:rsid w:val="00ED3212"/>
    <w:rsid w:val="00ED3A2A"/>
    <w:rsid w:val="00EE00E0"/>
    <w:rsid w:val="00EE023B"/>
    <w:rsid w:val="00EE094F"/>
    <w:rsid w:val="00EE0B53"/>
    <w:rsid w:val="00EE18D6"/>
    <w:rsid w:val="00EE3BE9"/>
    <w:rsid w:val="00EF13B7"/>
    <w:rsid w:val="00EF1B29"/>
    <w:rsid w:val="00EF4F9C"/>
    <w:rsid w:val="00EF5C98"/>
    <w:rsid w:val="00EF71F8"/>
    <w:rsid w:val="00EF74BD"/>
    <w:rsid w:val="00F00F6B"/>
    <w:rsid w:val="00F023D7"/>
    <w:rsid w:val="00F02507"/>
    <w:rsid w:val="00F037A6"/>
    <w:rsid w:val="00F055A0"/>
    <w:rsid w:val="00F07550"/>
    <w:rsid w:val="00F11589"/>
    <w:rsid w:val="00F17146"/>
    <w:rsid w:val="00F2054C"/>
    <w:rsid w:val="00F20783"/>
    <w:rsid w:val="00F23C5E"/>
    <w:rsid w:val="00F24339"/>
    <w:rsid w:val="00F264AC"/>
    <w:rsid w:val="00F3173A"/>
    <w:rsid w:val="00F31FE0"/>
    <w:rsid w:val="00F33FD4"/>
    <w:rsid w:val="00F3534A"/>
    <w:rsid w:val="00F36B08"/>
    <w:rsid w:val="00F40305"/>
    <w:rsid w:val="00F408B1"/>
    <w:rsid w:val="00F40C61"/>
    <w:rsid w:val="00F40FDE"/>
    <w:rsid w:val="00F42331"/>
    <w:rsid w:val="00F4347E"/>
    <w:rsid w:val="00F43FE8"/>
    <w:rsid w:val="00F440CC"/>
    <w:rsid w:val="00F44B44"/>
    <w:rsid w:val="00F45888"/>
    <w:rsid w:val="00F46E34"/>
    <w:rsid w:val="00F47090"/>
    <w:rsid w:val="00F5038F"/>
    <w:rsid w:val="00F50716"/>
    <w:rsid w:val="00F50F65"/>
    <w:rsid w:val="00F536E0"/>
    <w:rsid w:val="00F53952"/>
    <w:rsid w:val="00F53955"/>
    <w:rsid w:val="00F57E52"/>
    <w:rsid w:val="00F61C30"/>
    <w:rsid w:val="00F622F1"/>
    <w:rsid w:val="00F630BA"/>
    <w:rsid w:val="00F645B0"/>
    <w:rsid w:val="00F66BD3"/>
    <w:rsid w:val="00F71560"/>
    <w:rsid w:val="00F71B98"/>
    <w:rsid w:val="00F75503"/>
    <w:rsid w:val="00F75B6E"/>
    <w:rsid w:val="00F77275"/>
    <w:rsid w:val="00F819E1"/>
    <w:rsid w:val="00F8235E"/>
    <w:rsid w:val="00F8435C"/>
    <w:rsid w:val="00F9045E"/>
    <w:rsid w:val="00F90D3B"/>
    <w:rsid w:val="00F9209C"/>
    <w:rsid w:val="00F93C81"/>
    <w:rsid w:val="00F95938"/>
    <w:rsid w:val="00F95A0D"/>
    <w:rsid w:val="00F96469"/>
    <w:rsid w:val="00F96FCE"/>
    <w:rsid w:val="00F97BCF"/>
    <w:rsid w:val="00FA2F9E"/>
    <w:rsid w:val="00FA360E"/>
    <w:rsid w:val="00FB025A"/>
    <w:rsid w:val="00FB1221"/>
    <w:rsid w:val="00FB2E65"/>
    <w:rsid w:val="00FB3D03"/>
    <w:rsid w:val="00FB3D8D"/>
    <w:rsid w:val="00FB5264"/>
    <w:rsid w:val="00FB651B"/>
    <w:rsid w:val="00FB686D"/>
    <w:rsid w:val="00FB7993"/>
    <w:rsid w:val="00FC0193"/>
    <w:rsid w:val="00FC057E"/>
    <w:rsid w:val="00FC0F6B"/>
    <w:rsid w:val="00FC14EA"/>
    <w:rsid w:val="00FC1DD6"/>
    <w:rsid w:val="00FC6427"/>
    <w:rsid w:val="00FC7E77"/>
    <w:rsid w:val="00FD1834"/>
    <w:rsid w:val="00FD294A"/>
    <w:rsid w:val="00FD2E43"/>
    <w:rsid w:val="00FD42FC"/>
    <w:rsid w:val="00FD665D"/>
    <w:rsid w:val="00FD6FB3"/>
    <w:rsid w:val="00FD7F36"/>
    <w:rsid w:val="00FE2278"/>
    <w:rsid w:val="00FE2297"/>
    <w:rsid w:val="00FE3474"/>
    <w:rsid w:val="00FE4F58"/>
    <w:rsid w:val="00FE5E22"/>
    <w:rsid w:val="00FE5FF9"/>
    <w:rsid w:val="00FE6B4C"/>
    <w:rsid w:val="00FE7C2B"/>
    <w:rsid w:val="00FF0769"/>
    <w:rsid w:val="00FF2F2C"/>
    <w:rsid w:val="00FF3BDC"/>
    <w:rsid w:val="00FF5E1A"/>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E7220"/>
  <w15:docId w15:val="{47780F0C-4867-448D-A3A2-3FA9685C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E374BF"/>
    <w:pPr>
      <w:numPr>
        <w:ilvl w:val="0"/>
        <w:numId w:val="19"/>
      </w:numPr>
      <w:spacing w:before="120"/>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31C8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31C8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2332C"/>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2332C"/>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3131DA"/>
    <w:pPr>
      <w:keepLines/>
      <w:widowControl/>
      <w:tabs>
        <w:tab w:val="left" w:pos="1276"/>
      </w:tabs>
      <w:autoSpaceDE/>
      <w:autoSpaceDN/>
      <w:spacing w:before="240"/>
      <w:ind w:left="567"/>
    </w:pPr>
    <w:rPr>
      <w:rFonts w:ascii="Arial" w:hAnsi="Arial" w:cs="Arial"/>
      <w:b/>
      <w:bCs/>
      <w:i/>
      <w:iCs/>
      <w:sz w:val="18"/>
      <w:szCs w:val="18"/>
    </w:rPr>
  </w:style>
  <w:style w:type="character" w:customStyle="1" w:styleId="NoteHeadingChar">
    <w:name w:val="Note Heading Char"/>
    <w:basedOn w:val="DefaultParagraphFont"/>
    <w:link w:val="NoteHeading"/>
    <w:uiPriority w:val="99"/>
    <w:rsid w:val="003131DA"/>
    <w:rPr>
      <w:rFonts w:ascii="Arial" w:eastAsia="Times New Roman" w:hAnsi="Arial" w:cs="Arial"/>
      <w:b/>
      <w:bCs/>
      <w:i/>
      <w:iCs/>
      <w:sz w:val="18"/>
      <w:szCs w:val="18"/>
      <w:lang w:val="en-AU"/>
    </w:rPr>
  </w:style>
  <w:style w:type="paragraph" w:customStyle="1" w:styleId="Notes">
    <w:name w:val="Notes"/>
    <w:basedOn w:val="ListParagraph"/>
    <w:uiPriority w:val="1"/>
    <w:qFormat/>
    <w:rsid w:val="003131DA"/>
    <w:pPr>
      <w:keepLines/>
      <w:widowControl/>
      <w:numPr>
        <w:numId w:val="26"/>
      </w:numPr>
      <w:tabs>
        <w:tab w:val="left" w:pos="851"/>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e85daaf6-55f8-4e64-9dc5-0f62b5e2d7b1"/>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2947</Words>
  <Characters>15533</Characters>
  <Application>Microsoft Office Word</Application>
  <DocSecurity>0</DocSecurity>
  <Lines>575</Lines>
  <Paragraphs>439</Paragraphs>
  <ScaleCrop>false</ScaleCrop>
  <HeadingPairs>
    <vt:vector size="2" baseType="variant">
      <vt:variant>
        <vt:lpstr>Title</vt:lpstr>
      </vt:variant>
      <vt:variant>
        <vt:i4>1</vt:i4>
      </vt:variant>
    </vt:vector>
  </HeadingPairs>
  <TitlesOfParts>
    <vt:vector size="1" baseType="lpstr">
      <vt:lpstr>ATS 3050 Supply of Recycled Crushed Glass</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3050 Supply of Recycled Crushed Glass</dc:title>
  <dc:subject>Austroads Technical Specification ATS 3050 sets out the requirements for the manufacture and supply of recycled crushed glass (RCG) as a sand aggregate replacement in certain types of road infrastructure.</dc:subject>
  <dc:creator>Austroads</dc:creator>
  <cp:keywords/>
  <cp:lastModifiedBy>Elaena Gardner</cp:lastModifiedBy>
  <cp:revision>5</cp:revision>
  <cp:lastPrinted>2023-12-11T07:25:00Z</cp:lastPrinted>
  <dcterms:created xsi:type="dcterms:W3CDTF">2023-12-11T07:31:00Z</dcterms:created>
  <dcterms:modified xsi:type="dcterms:W3CDTF">2023-12-11T07:45:00Z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