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E156D" w14:textId="3FEAC8B8" w:rsidR="00DC02AA" w:rsidRPr="003E1278" w:rsidRDefault="00DC02AA" w:rsidP="004E4E46">
      <w:pPr>
        <w:spacing w:before="120"/>
        <w:ind w:left="993"/>
        <w:rPr>
          <w:rFonts w:ascii="Arial" w:hAnsi="Arial"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14381" w14:paraId="409B9E7B" w14:textId="77777777" w:rsidTr="00AF1D72">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tcPr>
          <w:p w14:paraId="1CF1C729" w14:textId="77777777" w:rsidR="00AF1D72" w:rsidRDefault="00AF1D72" w:rsidP="00AF1D72">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35B3759E" w14:textId="5DB756B9" w:rsidR="00AF1D72" w:rsidRPr="006B49B7" w:rsidRDefault="00AF1D72" w:rsidP="00AF1D72">
            <w:pPr>
              <w:tabs>
                <w:tab w:val="center" w:pos="4513"/>
                <w:tab w:val="right" w:pos="9026"/>
              </w:tabs>
              <w:rPr>
                <w:rFonts w:ascii="Arial" w:eastAsia="SimSun" w:hAnsi="Arial" w:cs="Arial"/>
                <w:color w:val="004259"/>
                <w:sz w:val="28"/>
                <w:szCs w:val="28"/>
              </w:rPr>
            </w:pPr>
            <w:r w:rsidRPr="006B49B7">
              <w:rPr>
                <w:rFonts w:ascii="Arial" w:eastAsia="SimSun" w:hAnsi="Arial" w:cs="Arial"/>
                <w:color w:val="004259"/>
                <w:sz w:val="28"/>
                <w:szCs w:val="28"/>
              </w:rPr>
              <w:t xml:space="preserve">AUSTROADS </w:t>
            </w:r>
            <w:r w:rsidRPr="003B7DCB">
              <w:rPr>
                <w:rFonts w:ascii="Arial" w:eastAsia="SimSun" w:hAnsi="Arial" w:cs="Arial"/>
                <w:color w:val="004259"/>
                <w:sz w:val="28"/>
                <w:szCs w:val="28"/>
              </w:rPr>
              <w:t>TECHNICA</w:t>
            </w:r>
            <w:r w:rsidRPr="006B49B7">
              <w:rPr>
                <w:rFonts w:ascii="Arial" w:eastAsia="SimSun" w:hAnsi="Arial" w:cs="Arial"/>
                <w:color w:val="004259"/>
                <w:sz w:val="28"/>
                <w:szCs w:val="28"/>
              </w:rPr>
              <w:t>L SPECIFICATION ATS</w:t>
            </w:r>
            <w:r w:rsidR="003B7DCB">
              <w:rPr>
                <w:rFonts w:ascii="Arial" w:eastAsia="SimSun" w:hAnsi="Arial" w:cs="Arial"/>
                <w:color w:val="004259"/>
                <w:sz w:val="28"/>
                <w:szCs w:val="28"/>
              </w:rPr>
              <w:t>34</w:t>
            </w:r>
            <w:r w:rsidR="006E4368">
              <w:rPr>
                <w:rFonts w:ascii="Arial" w:eastAsia="SimSun" w:hAnsi="Arial" w:cs="Arial"/>
                <w:color w:val="004259"/>
                <w:sz w:val="28"/>
                <w:szCs w:val="28"/>
              </w:rPr>
              <w:t>8</w:t>
            </w:r>
            <w:r w:rsidR="003B7DCB">
              <w:rPr>
                <w:rFonts w:ascii="Arial" w:eastAsia="SimSun" w:hAnsi="Arial" w:cs="Arial"/>
                <w:color w:val="004259"/>
                <w:sz w:val="28"/>
                <w:szCs w:val="28"/>
              </w:rPr>
              <w:t>0</w:t>
            </w:r>
          </w:p>
          <w:p w14:paraId="40B3F116" w14:textId="77777777" w:rsidR="00AF1D72" w:rsidRPr="006B49B7" w:rsidRDefault="00AF1D72" w:rsidP="00AF1D72">
            <w:pPr>
              <w:tabs>
                <w:tab w:val="left" w:pos="2940"/>
              </w:tabs>
              <w:rPr>
                <w:rFonts w:ascii="Arial" w:eastAsia="SimSun" w:hAnsi="Arial" w:cs="Arial"/>
                <w:b w:val="0"/>
                <w:color w:val="004259"/>
                <w:sz w:val="20"/>
                <w:szCs w:val="20"/>
              </w:rPr>
            </w:pPr>
            <w:r w:rsidRPr="006B49B7">
              <w:rPr>
                <w:rFonts w:ascii="Arial" w:eastAsia="SimSun" w:hAnsi="Arial" w:cs="Arial"/>
                <w:b w:val="0"/>
                <w:color w:val="004259"/>
                <w:sz w:val="20"/>
                <w:szCs w:val="20"/>
              </w:rPr>
              <w:tab/>
            </w:r>
          </w:p>
          <w:p w14:paraId="48C93D8E" w14:textId="4E1960E9" w:rsidR="00AF1D72" w:rsidRPr="003B7DCB" w:rsidRDefault="003B7DCB" w:rsidP="00A31CCA">
            <w:pPr>
              <w:tabs>
                <w:tab w:val="center" w:pos="4513"/>
                <w:tab w:val="right" w:pos="9026"/>
              </w:tabs>
              <w:rPr>
                <w:rFonts w:ascii="Arial" w:eastAsia="SimSun" w:hAnsi="Arial" w:cs="Arial"/>
                <w:b w:val="0"/>
                <w:bCs/>
                <w:color w:val="6F7C87"/>
                <w:sz w:val="32"/>
                <w:szCs w:val="32"/>
              </w:rPr>
            </w:pPr>
            <w:r w:rsidRPr="003B7DCB">
              <w:rPr>
                <w:rFonts w:ascii="Arial" w:hAnsi="Arial" w:cs="Arial"/>
                <w:b w:val="0"/>
                <w:bCs/>
                <w:color w:val="004259"/>
                <w:sz w:val="32"/>
                <w:szCs w:val="32"/>
              </w:rPr>
              <w:t xml:space="preserve">Bituminous </w:t>
            </w:r>
            <w:r w:rsidR="006E4368" w:rsidRPr="006E4368">
              <w:rPr>
                <w:rFonts w:ascii="Arial" w:hAnsi="Arial" w:cs="Arial"/>
                <w:b w:val="0"/>
                <w:color w:val="004259"/>
                <w:sz w:val="32"/>
                <w:szCs w:val="32"/>
              </w:rPr>
              <w:t>Surface Retexturing</w:t>
            </w:r>
          </w:p>
        </w:tc>
        <w:tc>
          <w:tcPr>
            <w:tcW w:w="1366" w:type="dxa"/>
            <w:shd w:val="clear" w:color="auto" w:fill="auto"/>
            <w:vAlign w:val="bottom"/>
          </w:tcPr>
          <w:p w14:paraId="6B4B3E22" w14:textId="5D8903C4" w:rsidR="00AF1D72" w:rsidRPr="00B14381" w:rsidRDefault="00AF1D72" w:rsidP="00AF1D7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6B49B7" w:rsidRDefault="00AF1D72" w:rsidP="006B49B7">
                <w:pPr>
                  <w:pStyle w:val="Heading1nonumber"/>
                </w:pPr>
                <w:r w:rsidRPr="006B49B7">
                  <w:t>Contents</w:t>
                </w:r>
              </w:p>
              <w:p w14:paraId="06DF810C" w14:textId="7C7E3DA2" w:rsidR="007501E1" w:rsidRDefault="00B23DC4">
                <w:pPr>
                  <w:pStyle w:val="TOC1"/>
                  <w:rPr>
                    <w:rFonts w:asciiTheme="minorHAnsi" w:eastAsiaTheme="minorEastAsia" w:hAnsiTheme="minorHAnsi" w:cstheme="minorBidi"/>
                    <w:b w:val="0"/>
                    <w:noProof/>
                    <w:sz w:val="22"/>
                    <w:szCs w:val="22"/>
                    <w:lang w:eastAsia="en-AU"/>
                  </w:rPr>
                </w:pPr>
                <w:r w:rsidRPr="00E562B0">
                  <w:rPr>
                    <w:rFonts w:cs="Arial"/>
                    <w:b w:val="0"/>
                    <w:bCs/>
                  </w:rPr>
                  <w:fldChar w:fldCharType="begin"/>
                </w:r>
                <w:r w:rsidRPr="00E562B0">
                  <w:rPr>
                    <w:rFonts w:cs="Arial"/>
                    <w:b w:val="0"/>
                    <w:bCs/>
                  </w:rPr>
                  <w:instrText xml:space="preserve"> TOC \h \z \t "Heading 1,1,Heading 2,2,Annexure Heading,1" </w:instrText>
                </w:r>
                <w:r w:rsidRPr="00E562B0">
                  <w:rPr>
                    <w:rFonts w:cs="Arial"/>
                    <w:b w:val="0"/>
                    <w:bCs/>
                  </w:rPr>
                  <w:fldChar w:fldCharType="separate"/>
                </w:r>
                <w:hyperlink w:anchor="_Toc39841880" w:history="1">
                  <w:r w:rsidR="007501E1" w:rsidRPr="008E0415">
                    <w:rPr>
                      <w:rStyle w:val="Hyperlink"/>
                      <w:rFonts w:eastAsia="SimSun"/>
                      <w:noProof/>
                    </w:rPr>
                    <w:t>1.</w:t>
                  </w:r>
                  <w:r w:rsidR="007501E1">
                    <w:rPr>
                      <w:rFonts w:asciiTheme="minorHAnsi" w:eastAsiaTheme="minorEastAsia" w:hAnsiTheme="minorHAnsi" w:cstheme="minorBidi"/>
                      <w:b w:val="0"/>
                      <w:noProof/>
                      <w:sz w:val="22"/>
                      <w:szCs w:val="22"/>
                      <w:lang w:eastAsia="en-AU"/>
                    </w:rPr>
                    <w:tab/>
                  </w:r>
                  <w:r w:rsidR="007501E1" w:rsidRPr="008E0415">
                    <w:rPr>
                      <w:rStyle w:val="Hyperlink"/>
                      <w:rFonts w:eastAsia="SimSun"/>
                      <w:noProof/>
                    </w:rPr>
                    <w:t>Scope</w:t>
                  </w:r>
                  <w:r w:rsidR="007501E1">
                    <w:rPr>
                      <w:noProof/>
                      <w:webHidden/>
                    </w:rPr>
                    <w:tab/>
                  </w:r>
                  <w:r w:rsidR="007501E1">
                    <w:rPr>
                      <w:noProof/>
                      <w:webHidden/>
                    </w:rPr>
                    <w:fldChar w:fldCharType="begin"/>
                  </w:r>
                  <w:r w:rsidR="007501E1">
                    <w:rPr>
                      <w:noProof/>
                      <w:webHidden/>
                    </w:rPr>
                    <w:instrText xml:space="preserve"> PAGEREF _Toc39841880 \h </w:instrText>
                  </w:r>
                  <w:r w:rsidR="007501E1">
                    <w:rPr>
                      <w:noProof/>
                      <w:webHidden/>
                    </w:rPr>
                  </w:r>
                  <w:r w:rsidR="007501E1">
                    <w:rPr>
                      <w:noProof/>
                      <w:webHidden/>
                    </w:rPr>
                    <w:fldChar w:fldCharType="separate"/>
                  </w:r>
                  <w:r w:rsidR="007501E1">
                    <w:rPr>
                      <w:noProof/>
                      <w:webHidden/>
                    </w:rPr>
                    <w:t>1</w:t>
                  </w:r>
                  <w:r w:rsidR="007501E1">
                    <w:rPr>
                      <w:noProof/>
                      <w:webHidden/>
                    </w:rPr>
                    <w:fldChar w:fldCharType="end"/>
                  </w:r>
                </w:hyperlink>
              </w:p>
              <w:p w14:paraId="47665F88" w14:textId="6C0F1D8C" w:rsidR="007501E1" w:rsidRDefault="007501E1">
                <w:pPr>
                  <w:pStyle w:val="TOC1"/>
                  <w:rPr>
                    <w:rFonts w:asciiTheme="minorHAnsi" w:eastAsiaTheme="minorEastAsia" w:hAnsiTheme="minorHAnsi" w:cstheme="minorBidi"/>
                    <w:b w:val="0"/>
                    <w:noProof/>
                    <w:sz w:val="22"/>
                    <w:szCs w:val="22"/>
                    <w:lang w:eastAsia="en-AU"/>
                  </w:rPr>
                </w:pPr>
                <w:hyperlink w:anchor="_Toc39841881" w:history="1">
                  <w:r w:rsidRPr="008E0415">
                    <w:rPr>
                      <w:rStyle w:val="Hyperlink"/>
                      <w:rFonts w:eastAsiaTheme="majorEastAsia"/>
                      <w:noProof/>
                    </w:rPr>
                    <w:t>2.</w:t>
                  </w:r>
                  <w:r>
                    <w:rPr>
                      <w:rFonts w:asciiTheme="minorHAnsi" w:eastAsiaTheme="minorEastAsia" w:hAnsiTheme="minorHAnsi" w:cstheme="minorBidi"/>
                      <w:b w:val="0"/>
                      <w:noProof/>
                      <w:sz w:val="22"/>
                      <w:szCs w:val="22"/>
                      <w:lang w:eastAsia="en-AU"/>
                    </w:rPr>
                    <w:tab/>
                  </w:r>
                  <w:r w:rsidRPr="008E0415">
                    <w:rPr>
                      <w:rStyle w:val="Hyperlink"/>
                      <w:rFonts w:eastAsia="SimSun"/>
                      <w:noProof/>
                    </w:rPr>
                    <w:t>Definitions</w:t>
                  </w:r>
                  <w:r>
                    <w:rPr>
                      <w:noProof/>
                      <w:webHidden/>
                    </w:rPr>
                    <w:tab/>
                  </w:r>
                  <w:r>
                    <w:rPr>
                      <w:noProof/>
                      <w:webHidden/>
                    </w:rPr>
                    <w:fldChar w:fldCharType="begin"/>
                  </w:r>
                  <w:r>
                    <w:rPr>
                      <w:noProof/>
                      <w:webHidden/>
                    </w:rPr>
                    <w:instrText xml:space="preserve"> PAGEREF _Toc39841881 \h </w:instrText>
                  </w:r>
                  <w:r>
                    <w:rPr>
                      <w:noProof/>
                      <w:webHidden/>
                    </w:rPr>
                  </w:r>
                  <w:r>
                    <w:rPr>
                      <w:noProof/>
                      <w:webHidden/>
                    </w:rPr>
                    <w:fldChar w:fldCharType="separate"/>
                  </w:r>
                  <w:r>
                    <w:rPr>
                      <w:noProof/>
                      <w:webHidden/>
                    </w:rPr>
                    <w:t>1</w:t>
                  </w:r>
                  <w:r>
                    <w:rPr>
                      <w:noProof/>
                      <w:webHidden/>
                    </w:rPr>
                    <w:fldChar w:fldCharType="end"/>
                  </w:r>
                </w:hyperlink>
              </w:p>
              <w:p w14:paraId="3D6BCAC2" w14:textId="51FB4481" w:rsidR="007501E1" w:rsidRDefault="007501E1">
                <w:pPr>
                  <w:pStyle w:val="TOC1"/>
                  <w:rPr>
                    <w:rFonts w:asciiTheme="minorHAnsi" w:eastAsiaTheme="minorEastAsia" w:hAnsiTheme="minorHAnsi" w:cstheme="minorBidi"/>
                    <w:b w:val="0"/>
                    <w:noProof/>
                    <w:sz w:val="22"/>
                    <w:szCs w:val="22"/>
                    <w:lang w:eastAsia="en-AU"/>
                  </w:rPr>
                </w:pPr>
                <w:hyperlink w:anchor="_Toc39841882" w:history="1">
                  <w:r w:rsidRPr="008E0415">
                    <w:rPr>
                      <w:rStyle w:val="Hyperlink"/>
                      <w:rFonts w:eastAsia="SimSun"/>
                      <w:noProof/>
                    </w:rPr>
                    <w:t>3.</w:t>
                  </w:r>
                  <w:r>
                    <w:rPr>
                      <w:rFonts w:asciiTheme="minorHAnsi" w:eastAsiaTheme="minorEastAsia" w:hAnsiTheme="minorHAnsi" w:cstheme="minorBidi"/>
                      <w:b w:val="0"/>
                      <w:noProof/>
                      <w:sz w:val="22"/>
                      <w:szCs w:val="22"/>
                      <w:lang w:eastAsia="en-AU"/>
                    </w:rPr>
                    <w:tab/>
                  </w:r>
                  <w:r w:rsidRPr="008E0415">
                    <w:rPr>
                      <w:rStyle w:val="Hyperlink"/>
                      <w:rFonts w:eastAsia="SimSun"/>
                      <w:noProof/>
                    </w:rPr>
                    <w:t>Referenced Documents</w:t>
                  </w:r>
                  <w:r>
                    <w:rPr>
                      <w:noProof/>
                      <w:webHidden/>
                    </w:rPr>
                    <w:tab/>
                  </w:r>
                  <w:r>
                    <w:rPr>
                      <w:noProof/>
                      <w:webHidden/>
                    </w:rPr>
                    <w:fldChar w:fldCharType="begin"/>
                  </w:r>
                  <w:r>
                    <w:rPr>
                      <w:noProof/>
                      <w:webHidden/>
                    </w:rPr>
                    <w:instrText xml:space="preserve"> PAGEREF _Toc39841882 \h </w:instrText>
                  </w:r>
                  <w:r>
                    <w:rPr>
                      <w:noProof/>
                      <w:webHidden/>
                    </w:rPr>
                  </w:r>
                  <w:r>
                    <w:rPr>
                      <w:noProof/>
                      <w:webHidden/>
                    </w:rPr>
                    <w:fldChar w:fldCharType="separate"/>
                  </w:r>
                  <w:r>
                    <w:rPr>
                      <w:noProof/>
                      <w:webHidden/>
                    </w:rPr>
                    <w:t>2</w:t>
                  </w:r>
                  <w:r>
                    <w:rPr>
                      <w:noProof/>
                      <w:webHidden/>
                    </w:rPr>
                    <w:fldChar w:fldCharType="end"/>
                  </w:r>
                </w:hyperlink>
              </w:p>
              <w:p w14:paraId="6B4E52F5" w14:textId="74660939" w:rsidR="007501E1" w:rsidRDefault="007501E1">
                <w:pPr>
                  <w:pStyle w:val="TOC1"/>
                  <w:rPr>
                    <w:rFonts w:asciiTheme="minorHAnsi" w:eastAsiaTheme="minorEastAsia" w:hAnsiTheme="minorHAnsi" w:cstheme="minorBidi"/>
                    <w:b w:val="0"/>
                    <w:noProof/>
                    <w:sz w:val="22"/>
                    <w:szCs w:val="22"/>
                    <w:lang w:eastAsia="en-AU"/>
                  </w:rPr>
                </w:pPr>
                <w:hyperlink w:anchor="_Toc39841883" w:history="1">
                  <w:r w:rsidRPr="008E0415">
                    <w:rPr>
                      <w:rStyle w:val="Hyperlink"/>
                      <w:rFonts w:eastAsia="SimSun"/>
                      <w:noProof/>
                    </w:rPr>
                    <w:t>4.</w:t>
                  </w:r>
                  <w:r>
                    <w:rPr>
                      <w:rFonts w:asciiTheme="minorHAnsi" w:eastAsiaTheme="minorEastAsia" w:hAnsiTheme="minorHAnsi" w:cstheme="minorBidi"/>
                      <w:b w:val="0"/>
                      <w:noProof/>
                      <w:sz w:val="22"/>
                      <w:szCs w:val="22"/>
                      <w:lang w:eastAsia="en-AU"/>
                    </w:rPr>
                    <w:tab/>
                  </w:r>
                  <w:r w:rsidRPr="008E0415">
                    <w:rPr>
                      <w:rStyle w:val="Hyperlink"/>
                      <w:rFonts w:eastAsia="SimSun"/>
                      <w:noProof/>
                    </w:rPr>
                    <w:t>Quality System Requirements</w:t>
                  </w:r>
                  <w:r>
                    <w:rPr>
                      <w:noProof/>
                      <w:webHidden/>
                    </w:rPr>
                    <w:tab/>
                  </w:r>
                  <w:r>
                    <w:rPr>
                      <w:noProof/>
                      <w:webHidden/>
                    </w:rPr>
                    <w:fldChar w:fldCharType="begin"/>
                  </w:r>
                  <w:r>
                    <w:rPr>
                      <w:noProof/>
                      <w:webHidden/>
                    </w:rPr>
                    <w:instrText xml:space="preserve"> PAGEREF _Toc39841883 \h </w:instrText>
                  </w:r>
                  <w:r>
                    <w:rPr>
                      <w:noProof/>
                      <w:webHidden/>
                    </w:rPr>
                  </w:r>
                  <w:r>
                    <w:rPr>
                      <w:noProof/>
                      <w:webHidden/>
                    </w:rPr>
                    <w:fldChar w:fldCharType="separate"/>
                  </w:r>
                  <w:r>
                    <w:rPr>
                      <w:noProof/>
                      <w:webHidden/>
                    </w:rPr>
                    <w:t>2</w:t>
                  </w:r>
                  <w:r>
                    <w:rPr>
                      <w:noProof/>
                      <w:webHidden/>
                    </w:rPr>
                    <w:fldChar w:fldCharType="end"/>
                  </w:r>
                </w:hyperlink>
              </w:p>
              <w:p w14:paraId="36D18315" w14:textId="2D73FDF8" w:rsidR="007501E1" w:rsidRDefault="007501E1">
                <w:pPr>
                  <w:pStyle w:val="TOC1"/>
                  <w:rPr>
                    <w:rFonts w:asciiTheme="minorHAnsi" w:eastAsiaTheme="minorEastAsia" w:hAnsiTheme="minorHAnsi" w:cstheme="minorBidi"/>
                    <w:b w:val="0"/>
                    <w:noProof/>
                    <w:sz w:val="22"/>
                    <w:szCs w:val="22"/>
                    <w:lang w:eastAsia="en-AU"/>
                  </w:rPr>
                </w:pPr>
                <w:hyperlink w:anchor="_Toc39841884" w:history="1">
                  <w:r w:rsidRPr="008E0415">
                    <w:rPr>
                      <w:rStyle w:val="Hyperlink"/>
                      <w:rFonts w:eastAsia="SimSun"/>
                      <w:noProof/>
                    </w:rPr>
                    <w:t>5.</w:t>
                  </w:r>
                  <w:r>
                    <w:rPr>
                      <w:rFonts w:asciiTheme="minorHAnsi" w:eastAsiaTheme="minorEastAsia" w:hAnsiTheme="minorHAnsi" w:cstheme="minorBidi"/>
                      <w:b w:val="0"/>
                      <w:noProof/>
                      <w:sz w:val="22"/>
                      <w:szCs w:val="22"/>
                      <w:lang w:eastAsia="en-AU"/>
                    </w:rPr>
                    <w:tab/>
                  </w:r>
                  <w:r w:rsidRPr="008E0415">
                    <w:rPr>
                      <w:rStyle w:val="Hyperlink"/>
                      <w:rFonts w:eastAsia="SimSun"/>
                      <w:noProof/>
                    </w:rPr>
                    <w:t>Plant and Materials</w:t>
                  </w:r>
                  <w:r>
                    <w:rPr>
                      <w:noProof/>
                      <w:webHidden/>
                    </w:rPr>
                    <w:tab/>
                  </w:r>
                  <w:r>
                    <w:rPr>
                      <w:noProof/>
                      <w:webHidden/>
                    </w:rPr>
                    <w:fldChar w:fldCharType="begin"/>
                  </w:r>
                  <w:r>
                    <w:rPr>
                      <w:noProof/>
                      <w:webHidden/>
                    </w:rPr>
                    <w:instrText xml:space="preserve"> PAGEREF _Toc39841884 \h </w:instrText>
                  </w:r>
                  <w:r>
                    <w:rPr>
                      <w:noProof/>
                      <w:webHidden/>
                    </w:rPr>
                  </w:r>
                  <w:r>
                    <w:rPr>
                      <w:noProof/>
                      <w:webHidden/>
                    </w:rPr>
                    <w:fldChar w:fldCharType="separate"/>
                  </w:r>
                  <w:r>
                    <w:rPr>
                      <w:noProof/>
                      <w:webHidden/>
                    </w:rPr>
                    <w:t>2</w:t>
                  </w:r>
                  <w:r>
                    <w:rPr>
                      <w:noProof/>
                      <w:webHidden/>
                    </w:rPr>
                    <w:fldChar w:fldCharType="end"/>
                  </w:r>
                </w:hyperlink>
              </w:p>
              <w:p w14:paraId="1E9E7CB2" w14:textId="44619897" w:rsidR="007501E1" w:rsidRDefault="007501E1">
                <w:pPr>
                  <w:pStyle w:val="TOC1"/>
                  <w:rPr>
                    <w:rFonts w:asciiTheme="minorHAnsi" w:eastAsiaTheme="minorEastAsia" w:hAnsiTheme="minorHAnsi" w:cstheme="minorBidi"/>
                    <w:b w:val="0"/>
                    <w:noProof/>
                    <w:sz w:val="22"/>
                    <w:szCs w:val="22"/>
                    <w:lang w:eastAsia="en-AU"/>
                  </w:rPr>
                </w:pPr>
                <w:hyperlink w:anchor="_Toc39841885" w:history="1">
                  <w:r w:rsidRPr="008E0415">
                    <w:rPr>
                      <w:rStyle w:val="Hyperlink"/>
                      <w:rFonts w:eastAsia="SimSun"/>
                      <w:noProof/>
                    </w:rPr>
                    <w:t>6.</w:t>
                  </w:r>
                  <w:r>
                    <w:rPr>
                      <w:rFonts w:asciiTheme="minorHAnsi" w:eastAsiaTheme="minorEastAsia" w:hAnsiTheme="minorHAnsi" w:cstheme="minorBidi"/>
                      <w:b w:val="0"/>
                      <w:noProof/>
                      <w:sz w:val="22"/>
                      <w:szCs w:val="22"/>
                      <w:lang w:eastAsia="en-AU"/>
                    </w:rPr>
                    <w:tab/>
                  </w:r>
                  <w:r w:rsidRPr="008E0415">
                    <w:rPr>
                      <w:rStyle w:val="Hyperlink"/>
                      <w:rFonts w:eastAsia="SimSun"/>
                      <w:noProof/>
                    </w:rPr>
                    <w:t>Trial Retexturing Treatment</w:t>
                  </w:r>
                  <w:r>
                    <w:rPr>
                      <w:noProof/>
                      <w:webHidden/>
                    </w:rPr>
                    <w:tab/>
                  </w:r>
                  <w:r>
                    <w:rPr>
                      <w:noProof/>
                      <w:webHidden/>
                    </w:rPr>
                    <w:fldChar w:fldCharType="begin"/>
                  </w:r>
                  <w:r>
                    <w:rPr>
                      <w:noProof/>
                      <w:webHidden/>
                    </w:rPr>
                    <w:instrText xml:space="preserve"> PAGEREF _Toc39841885 \h </w:instrText>
                  </w:r>
                  <w:r>
                    <w:rPr>
                      <w:noProof/>
                      <w:webHidden/>
                    </w:rPr>
                  </w:r>
                  <w:r>
                    <w:rPr>
                      <w:noProof/>
                      <w:webHidden/>
                    </w:rPr>
                    <w:fldChar w:fldCharType="separate"/>
                  </w:r>
                  <w:r>
                    <w:rPr>
                      <w:noProof/>
                      <w:webHidden/>
                    </w:rPr>
                    <w:t>3</w:t>
                  </w:r>
                  <w:r>
                    <w:rPr>
                      <w:noProof/>
                      <w:webHidden/>
                    </w:rPr>
                    <w:fldChar w:fldCharType="end"/>
                  </w:r>
                </w:hyperlink>
              </w:p>
              <w:p w14:paraId="412277C1" w14:textId="48D3BB55" w:rsidR="007501E1" w:rsidRDefault="007501E1">
                <w:pPr>
                  <w:pStyle w:val="TOC1"/>
                  <w:rPr>
                    <w:rFonts w:asciiTheme="minorHAnsi" w:eastAsiaTheme="minorEastAsia" w:hAnsiTheme="minorHAnsi" w:cstheme="minorBidi"/>
                    <w:b w:val="0"/>
                    <w:noProof/>
                    <w:sz w:val="22"/>
                    <w:szCs w:val="22"/>
                    <w:lang w:eastAsia="en-AU"/>
                  </w:rPr>
                </w:pPr>
                <w:hyperlink w:anchor="_Toc39841886" w:history="1">
                  <w:r w:rsidRPr="008E0415">
                    <w:rPr>
                      <w:rStyle w:val="Hyperlink"/>
                      <w:rFonts w:eastAsia="SimSun"/>
                      <w:noProof/>
                    </w:rPr>
                    <w:t>7.</w:t>
                  </w:r>
                  <w:r>
                    <w:rPr>
                      <w:rFonts w:asciiTheme="minorHAnsi" w:eastAsiaTheme="minorEastAsia" w:hAnsiTheme="minorHAnsi" w:cstheme="minorBidi"/>
                      <w:b w:val="0"/>
                      <w:noProof/>
                      <w:sz w:val="22"/>
                      <w:szCs w:val="22"/>
                      <w:lang w:eastAsia="en-AU"/>
                    </w:rPr>
                    <w:tab/>
                  </w:r>
                  <w:r w:rsidRPr="008E0415">
                    <w:rPr>
                      <w:rStyle w:val="Hyperlink"/>
                      <w:rFonts w:eastAsia="SimSun"/>
                      <w:noProof/>
                    </w:rPr>
                    <w:t>Testing and Conformance</w:t>
                  </w:r>
                  <w:r>
                    <w:rPr>
                      <w:noProof/>
                      <w:webHidden/>
                    </w:rPr>
                    <w:tab/>
                  </w:r>
                  <w:r>
                    <w:rPr>
                      <w:noProof/>
                      <w:webHidden/>
                    </w:rPr>
                    <w:fldChar w:fldCharType="begin"/>
                  </w:r>
                  <w:r>
                    <w:rPr>
                      <w:noProof/>
                      <w:webHidden/>
                    </w:rPr>
                    <w:instrText xml:space="preserve"> PAGEREF _Toc39841886 \h </w:instrText>
                  </w:r>
                  <w:r>
                    <w:rPr>
                      <w:noProof/>
                      <w:webHidden/>
                    </w:rPr>
                  </w:r>
                  <w:r>
                    <w:rPr>
                      <w:noProof/>
                      <w:webHidden/>
                    </w:rPr>
                    <w:fldChar w:fldCharType="separate"/>
                  </w:r>
                  <w:r>
                    <w:rPr>
                      <w:noProof/>
                      <w:webHidden/>
                    </w:rPr>
                    <w:t>3</w:t>
                  </w:r>
                  <w:r>
                    <w:rPr>
                      <w:noProof/>
                      <w:webHidden/>
                    </w:rPr>
                    <w:fldChar w:fldCharType="end"/>
                  </w:r>
                </w:hyperlink>
              </w:p>
              <w:p w14:paraId="6258FEB4" w14:textId="37AC086C" w:rsidR="007501E1" w:rsidRDefault="007501E1">
                <w:pPr>
                  <w:pStyle w:val="TOC2"/>
                  <w:rPr>
                    <w:rFonts w:asciiTheme="minorHAnsi" w:eastAsiaTheme="minorEastAsia" w:hAnsiTheme="minorHAnsi" w:cstheme="minorBidi"/>
                    <w:bCs w:val="0"/>
                    <w:noProof/>
                    <w:sz w:val="22"/>
                    <w:lang w:eastAsia="en-AU"/>
                  </w:rPr>
                </w:pPr>
                <w:hyperlink w:anchor="_Toc39841887" w:history="1">
                  <w:r w:rsidRPr="008E0415">
                    <w:rPr>
                      <w:rStyle w:val="Hyperlink"/>
                      <w:rFonts w:eastAsia="SimSun"/>
                      <w:noProof/>
                    </w:rPr>
                    <w:t>General</w:t>
                  </w:r>
                  <w:r>
                    <w:rPr>
                      <w:noProof/>
                      <w:webHidden/>
                    </w:rPr>
                    <w:tab/>
                  </w:r>
                  <w:r>
                    <w:rPr>
                      <w:noProof/>
                      <w:webHidden/>
                    </w:rPr>
                    <w:fldChar w:fldCharType="begin"/>
                  </w:r>
                  <w:r>
                    <w:rPr>
                      <w:noProof/>
                      <w:webHidden/>
                    </w:rPr>
                    <w:instrText xml:space="preserve"> PAGEREF _Toc39841887 \h </w:instrText>
                  </w:r>
                  <w:r>
                    <w:rPr>
                      <w:noProof/>
                      <w:webHidden/>
                    </w:rPr>
                  </w:r>
                  <w:r>
                    <w:rPr>
                      <w:noProof/>
                      <w:webHidden/>
                    </w:rPr>
                    <w:fldChar w:fldCharType="separate"/>
                  </w:r>
                  <w:r>
                    <w:rPr>
                      <w:noProof/>
                      <w:webHidden/>
                    </w:rPr>
                    <w:t>3</w:t>
                  </w:r>
                  <w:r>
                    <w:rPr>
                      <w:noProof/>
                      <w:webHidden/>
                    </w:rPr>
                    <w:fldChar w:fldCharType="end"/>
                  </w:r>
                </w:hyperlink>
              </w:p>
              <w:p w14:paraId="0B302632" w14:textId="47D21CB6" w:rsidR="007501E1" w:rsidRDefault="007501E1">
                <w:pPr>
                  <w:pStyle w:val="TOC2"/>
                  <w:rPr>
                    <w:rFonts w:asciiTheme="minorHAnsi" w:eastAsiaTheme="minorEastAsia" w:hAnsiTheme="minorHAnsi" w:cstheme="minorBidi"/>
                    <w:bCs w:val="0"/>
                    <w:noProof/>
                    <w:sz w:val="22"/>
                    <w:lang w:eastAsia="en-AU"/>
                  </w:rPr>
                </w:pPr>
                <w:hyperlink w:anchor="_Toc39841888" w:history="1">
                  <w:r w:rsidRPr="008E0415">
                    <w:rPr>
                      <w:rStyle w:val="Hyperlink"/>
                      <w:rFonts w:eastAsia="SimSun"/>
                      <w:noProof/>
                    </w:rPr>
                    <w:t>Texture Depth</w:t>
                  </w:r>
                  <w:r>
                    <w:rPr>
                      <w:noProof/>
                      <w:webHidden/>
                    </w:rPr>
                    <w:tab/>
                  </w:r>
                  <w:r>
                    <w:rPr>
                      <w:noProof/>
                      <w:webHidden/>
                    </w:rPr>
                    <w:fldChar w:fldCharType="begin"/>
                  </w:r>
                  <w:r>
                    <w:rPr>
                      <w:noProof/>
                      <w:webHidden/>
                    </w:rPr>
                    <w:instrText xml:space="preserve"> PAGEREF _Toc39841888 \h </w:instrText>
                  </w:r>
                  <w:r>
                    <w:rPr>
                      <w:noProof/>
                      <w:webHidden/>
                    </w:rPr>
                  </w:r>
                  <w:r>
                    <w:rPr>
                      <w:noProof/>
                      <w:webHidden/>
                    </w:rPr>
                    <w:fldChar w:fldCharType="separate"/>
                  </w:r>
                  <w:r>
                    <w:rPr>
                      <w:noProof/>
                      <w:webHidden/>
                    </w:rPr>
                    <w:t>4</w:t>
                  </w:r>
                  <w:r>
                    <w:rPr>
                      <w:noProof/>
                      <w:webHidden/>
                    </w:rPr>
                    <w:fldChar w:fldCharType="end"/>
                  </w:r>
                </w:hyperlink>
              </w:p>
              <w:p w14:paraId="513607BB" w14:textId="63496A15" w:rsidR="007501E1" w:rsidRDefault="007501E1">
                <w:pPr>
                  <w:pStyle w:val="TOC2"/>
                  <w:rPr>
                    <w:rFonts w:asciiTheme="minorHAnsi" w:eastAsiaTheme="minorEastAsia" w:hAnsiTheme="minorHAnsi" w:cstheme="minorBidi"/>
                    <w:bCs w:val="0"/>
                    <w:noProof/>
                    <w:sz w:val="22"/>
                    <w:lang w:eastAsia="en-AU"/>
                  </w:rPr>
                </w:pPr>
                <w:hyperlink w:anchor="_Toc39841889" w:history="1">
                  <w:r w:rsidRPr="008E0415">
                    <w:rPr>
                      <w:rStyle w:val="Hyperlink"/>
                      <w:rFonts w:eastAsia="SimSun"/>
                      <w:noProof/>
                    </w:rPr>
                    <w:t>Aggregate Retention</w:t>
                  </w:r>
                  <w:r>
                    <w:rPr>
                      <w:noProof/>
                      <w:webHidden/>
                    </w:rPr>
                    <w:tab/>
                  </w:r>
                  <w:r>
                    <w:rPr>
                      <w:noProof/>
                      <w:webHidden/>
                    </w:rPr>
                    <w:fldChar w:fldCharType="begin"/>
                  </w:r>
                  <w:r>
                    <w:rPr>
                      <w:noProof/>
                      <w:webHidden/>
                    </w:rPr>
                    <w:instrText xml:space="preserve"> PAGEREF _Toc39841889 \h </w:instrText>
                  </w:r>
                  <w:r>
                    <w:rPr>
                      <w:noProof/>
                      <w:webHidden/>
                    </w:rPr>
                  </w:r>
                  <w:r>
                    <w:rPr>
                      <w:noProof/>
                      <w:webHidden/>
                    </w:rPr>
                    <w:fldChar w:fldCharType="separate"/>
                  </w:r>
                  <w:r>
                    <w:rPr>
                      <w:noProof/>
                      <w:webHidden/>
                    </w:rPr>
                    <w:t>5</w:t>
                  </w:r>
                  <w:r>
                    <w:rPr>
                      <w:noProof/>
                      <w:webHidden/>
                    </w:rPr>
                    <w:fldChar w:fldCharType="end"/>
                  </w:r>
                </w:hyperlink>
              </w:p>
              <w:p w14:paraId="20D37A49" w14:textId="200552E1" w:rsidR="007501E1" w:rsidRDefault="007501E1">
                <w:pPr>
                  <w:pStyle w:val="TOC2"/>
                  <w:rPr>
                    <w:rFonts w:asciiTheme="minorHAnsi" w:eastAsiaTheme="minorEastAsia" w:hAnsiTheme="minorHAnsi" w:cstheme="minorBidi"/>
                    <w:bCs w:val="0"/>
                    <w:noProof/>
                    <w:sz w:val="22"/>
                    <w:lang w:eastAsia="en-AU"/>
                  </w:rPr>
                </w:pPr>
                <w:hyperlink w:anchor="_Toc39841890" w:history="1">
                  <w:r w:rsidRPr="008E0415">
                    <w:rPr>
                      <w:rStyle w:val="Hyperlink"/>
                      <w:rFonts w:eastAsia="SimSun"/>
                      <w:noProof/>
                    </w:rPr>
                    <w:t>Non-conforming Work</w:t>
                  </w:r>
                  <w:r>
                    <w:rPr>
                      <w:noProof/>
                      <w:webHidden/>
                    </w:rPr>
                    <w:tab/>
                  </w:r>
                  <w:r>
                    <w:rPr>
                      <w:noProof/>
                      <w:webHidden/>
                    </w:rPr>
                    <w:fldChar w:fldCharType="begin"/>
                  </w:r>
                  <w:r>
                    <w:rPr>
                      <w:noProof/>
                      <w:webHidden/>
                    </w:rPr>
                    <w:instrText xml:space="preserve"> PAGEREF _Toc39841890 \h </w:instrText>
                  </w:r>
                  <w:r>
                    <w:rPr>
                      <w:noProof/>
                      <w:webHidden/>
                    </w:rPr>
                  </w:r>
                  <w:r>
                    <w:rPr>
                      <w:noProof/>
                      <w:webHidden/>
                    </w:rPr>
                    <w:fldChar w:fldCharType="separate"/>
                  </w:r>
                  <w:r>
                    <w:rPr>
                      <w:noProof/>
                      <w:webHidden/>
                    </w:rPr>
                    <w:t>5</w:t>
                  </w:r>
                  <w:r>
                    <w:rPr>
                      <w:noProof/>
                      <w:webHidden/>
                    </w:rPr>
                    <w:fldChar w:fldCharType="end"/>
                  </w:r>
                </w:hyperlink>
              </w:p>
              <w:p w14:paraId="6C0704D4" w14:textId="56540BF5" w:rsidR="007501E1" w:rsidRDefault="007501E1">
                <w:pPr>
                  <w:pStyle w:val="TOC1"/>
                  <w:rPr>
                    <w:rFonts w:asciiTheme="minorHAnsi" w:eastAsiaTheme="minorEastAsia" w:hAnsiTheme="minorHAnsi" w:cstheme="minorBidi"/>
                    <w:b w:val="0"/>
                    <w:noProof/>
                    <w:sz w:val="22"/>
                    <w:szCs w:val="22"/>
                    <w:lang w:eastAsia="en-AU"/>
                  </w:rPr>
                </w:pPr>
                <w:hyperlink w:anchor="_Toc39841891" w:history="1">
                  <w:r w:rsidRPr="008E0415">
                    <w:rPr>
                      <w:rStyle w:val="Hyperlink"/>
                      <w:rFonts w:eastAsia="SimSun"/>
                      <w:noProof/>
                    </w:rPr>
                    <w:t>8.</w:t>
                  </w:r>
                  <w:r>
                    <w:rPr>
                      <w:rFonts w:asciiTheme="minorHAnsi" w:eastAsiaTheme="minorEastAsia" w:hAnsiTheme="minorHAnsi" w:cstheme="minorBidi"/>
                      <w:b w:val="0"/>
                      <w:noProof/>
                      <w:sz w:val="22"/>
                      <w:szCs w:val="22"/>
                      <w:lang w:eastAsia="en-AU"/>
                    </w:rPr>
                    <w:tab/>
                  </w:r>
                  <w:r w:rsidRPr="008E0415">
                    <w:rPr>
                      <w:rStyle w:val="Hyperlink"/>
                      <w:rFonts w:eastAsia="SimSun"/>
                      <w:noProof/>
                    </w:rPr>
                    <w:t>Waste Management</w:t>
                  </w:r>
                  <w:r>
                    <w:rPr>
                      <w:noProof/>
                      <w:webHidden/>
                    </w:rPr>
                    <w:tab/>
                  </w:r>
                  <w:r>
                    <w:rPr>
                      <w:noProof/>
                      <w:webHidden/>
                    </w:rPr>
                    <w:fldChar w:fldCharType="begin"/>
                  </w:r>
                  <w:r>
                    <w:rPr>
                      <w:noProof/>
                      <w:webHidden/>
                    </w:rPr>
                    <w:instrText xml:space="preserve"> PAGEREF _Toc39841891 \h </w:instrText>
                  </w:r>
                  <w:r>
                    <w:rPr>
                      <w:noProof/>
                      <w:webHidden/>
                    </w:rPr>
                  </w:r>
                  <w:r>
                    <w:rPr>
                      <w:noProof/>
                      <w:webHidden/>
                    </w:rPr>
                    <w:fldChar w:fldCharType="separate"/>
                  </w:r>
                  <w:r>
                    <w:rPr>
                      <w:noProof/>
                      <w:webHidden/>
                    </w:rPr>
                    <w:t>6</w:t>
                  </w:r>
                  <w:r>
                    <w:rPr>
                      <w:noProof/>
                      <w:webHidden/>
                    </w:rPr>
                    <w:fldChar w:fldCharType="end"/>
                  </w:r>
                </w:hyperlink>
              </w:p>
              <w:p w14:paraId="64512FB3" w14:textId="3620D39A" w:rsidR="007501E1" w:rsidRDefault="007501E1">
                <w:pPr>
                  <w:pStyle w:val="TOC1"/>
                  <w:rPr>
                    <w:rFonts w:asciiTheme="minorHAnsi" w:eastAsiaTheme="minorEastAsia" w:hAnsiTheme="minorHAnsi" w:cstheme="minorBidi"/>
                    <w:b w:val="0"/>
                    <w:noProof/>
                    <w:sz w:val="22"/>
                    <w:szCs w:val="22"/>
                    <w:lang w:eastAsia="en-AU"/>
                  </w:rPr>
                </w:pPr>
                <w:hyperlink w:anchor="_Toc39841892" w:history="1">
                  <w:r w:rsidRPr="008E0415">
                    <w:rPr>
                      <w:rStyle w:val="Hyperlink"/>
                      <w:rFonts w:eastAsia="SimSun"/>
                      <w:noProof/>
                    </w:rPr>
                    <w:t>9.</w:t>
                  </w:r>
                  <w:r>
                    <w:rPr>
                      <w:rFonts w:asciiTheme="minorHAnsi" w:eastAsiaTheme="minorEastAsia" w:hAnsiTheme="minorHAnsi" w:cstheme="minorBidi"/>
                      <w:b w:val="0"/>
                      <w:noProof/>
                      <w:sz w:val="22"/>
                      <w:szCs w:val="22"/>
                      <w:lang w:eastAsia="en-AU"/>
                    </w:rPr>
                    <w:tab/>
                  </w:r>
                  <w:r w:rsidRPr="008E0415">
                    <w:rPr>
                      <w:rStyle w:val="Hyperlink"/>
                      <w:rFonts w:eastAsia="SimSun"/>
                      <w:noProof/>
                    </w:rPr>
                    <w:t>Records</w:t>
                  </w:r>
                  <w:r>
                    <w:rPr>
                      <w:noProof/>
                      <w:webHidden/>
                    </w:rPr>
                    <w:tab/>
                  </w:r>
                  <w:r>
                    <w:rPr>
                      <w:noProof/>
                      <w:webHidden/>
                    </w:rPr>
                    <w:fldChar w:fldCharType="begin"/>
                  </w:r>
                  <w:r>
                    <w:rPr>
                      <w:noProof/>
                      <w:webHidden/>
                    </w:rPr>
                    <w:instrText xml:space="preserve"> PAGEREF _Toc39841892 \h </w:instrText>
                  </w:r>
                  <w:r>
                    <w:rPr>
                      <w:noProof/>
                      <w:webHidden/>
                    </w:rPr>
                  </w:r>
                  <w:r>
                    <w:rPr>
                      <w:noProof/>
                      <w:webHidden/>
                    </w:rPr>
                    <w:fldChar w:fldCharType="separate"/>
                  </w:r>
                  <w:r>
                    <w:rPr>
                      <w:noProof/>
                      <w:webHidden/>
                    </w:rPr>
                    <w:t>6</w:t>
                  </w:r>
                  <w:r>
                    <w:rPr>
                      <w:noProof/>
                      <w:webHidden/>
                    </w:rPr>
                    <w:fldChar w:fldCharType="end"/>
                  </w:r>
                </w:hyperlink>
              </w:p>
              <w:p w14:paraId="199FDB71" w14:textId="1E177DA9" w:rsidR="007501E1" w:rsidRDefault="007501E1" w:rsidP="007501E1">
                <w:pPr>
                  <w:pStyle w:val="TOC1"/>
                  <w:tabs>
                    <w:tab w:val="left" w:pos="1313"/>
                  </w:tabs>
                  <w:rPr>
                    <w:rFonts w:asciiTheme="minorHAnsi" w:eastAsiaTheme="minorEastAsia" w:hAnsiTheme="minorHAnsi" w:cstheme="minorBidi"/>
                    <w:b w:val="0"/>
                    <w:noProof/>
                    <w:sz w:val="22"/>
                    <w:szCs w:val="22"/>
                    <w:lang w:eastAsia="en-AU"/>
                  </w:rPr>
                </w:pPr>
                <w:hyperlink w:anchor="_Toc39841893" w:history="1">
                  <w:r w:rsidRPr="008E0415">
                    <w:rPr>
                      <w:rStyle w:val="Hyperlink"/>
                      <w:rFonts w:eastAsia="SimSun"/>
                      <w:noProof/>
                    </w:rPr>
                    <w:t>Annexure A:</w:t>
                  </w:r>
                  <w:r>
                    <w:rPr>
                      <w:rFonts w:asciiTheme="minorHAnsi" w:eastAsiaTheme="minorEastAsia" w:hAnsiTheme="minorHAnsi" w:cstheme="minorBidi"/>
                      <w:b w:val="0"/>
                      <w:noProof/>
                      <w:sz w:val="22"/>
                      <w:szCs w:val="22"/>
                      <w:lang w:eastAsia="en-AU"/>
                    </w:rPr>
                    <w:tab/>
                  </w:r>
                  <w:r w:rsidRPr="008E0415">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_Toc39841893 \h </w:instrText>
                  </w:r>
                  <w:r>
                    <w:rPr>
                      <w:noProof/>
                      <w:webHidden/>
                    </w:rPr>
                  </w:r>
                  <w:r>
                    <w:rPr>
                      <w:noProof/>
                      <w:webHidden/>
                    </w:rPr>
                    <w:fldChar w:fldCharType="separate"/>
                  </w:r>
                  <w:r>
                    <w:rPr>
                      <w:noProof/>
                      <w:webHidden/>
                    </w:rPr>
                    <w:t>7</w:t>
                  </w:r>
                  <w:r>
                    <w:rPr>
                      <w:noProof/>
                      <w:webHidden/>
                    </w:rPr>
                    <w:fldChar w:fldCharType="end"/>
                  </w:r>
                </w:hyperlink>
              </w:p>
              <w:p w14:paraId="731494AC" w14:textId="24B249BB" w:rsidR="00AF1D72" w:rsidRPr="003F7623" w:rsidRDefault="00B23DC4" w:rsidP="005C24F8">
                <w:pPr>
                  <w:pStyle w:val="TOC1"/>
                  <w:tabs>
                    <w:tab w:val="left" w:pos="1571"/>
                  </w:tabs>
                  <w:rPr>
                    <w:rFonts w:cs="Arial"/>
                    <w:b w:val="0"/>
                    <w:bCs/>
                  </w:rPr>
                </w:pPr>
                <w:r w:rsidRPr="00E562B0">
                  <w:rPr>
                    <w:rFonts w:cs="Arial"/>
                    <w:b w:val="0"/>
                    <w:bCs/>
                  </w:rPr>
                  <w:fldChar w:fldCharType="end"/>
                </w:r>
              </w:p>
            </w:sdtContent>
          </w:sdt>
        </w:tc>
      </w:tr>
    </w:tbl>
    <w:p w14:paraId="7FA9E9E5" w14:textId="12D2B50B" w:rsidR="00991F4D" w:rsidRPr="003E31BA" w:rsidRDefault="00AF1D72" w:rsidP="007501E1">
      <w:pPr>
        <w:pStyle w:val="Heading1"/>
      </w:pPr>
      <w:bookmarkStart w:id="3" w:name="_Toc39841880"/>
      <w:r w:rsidRPr="003E31BA">
        <w:t>Scope</w:t>
      </w:r>
      <w:bookmarkEnd w:id="1"/>
      <w:bookmarkEnd w:id="3"/>
    </w:p>
    <w:p w14:paraId="7A1CCBD8" w14:textId="0E782F7A" w:rsidR="00E562B0" w:rsidRPr="00E562B0" w:rsidRDefault="00E562B0" w:rsidP="00E562B0">
      <w:pPr>
        <w:pStyle w:val="Bodynumbered1"/>
      </w:pPr>
      <w:bookmarkStart w:id="4" w:name="_Toc514678946"/>
      <w:bookmarkStart w:id="5" w:name="_Toc886733"/>
      <w:bookmarkStart w:id="6" w:name="_Toc886732"/>
      <w:r w:rsidRPr="00E562B0">
        <w:t>This Austroads Technical Specification ATS 3480 sets out the requirements for the following treatments to the surface of bituminous pavements:</w:t>
      </w:r>
    </w:p>
    <w:p w14:paraId="3DC5289C" w14:textId="32429138" w:rsidR="00E562B0" w:rsidRPr="00E562B0" w:rsidRDefault="00E562B0" w:rsidP="00E562B0">
      <w:pPr>
        <w:pStyle w:val="Bodynumbered2"/>
      </w:pPr>
      <w:r w:rsidRPr="00E562B0">
        <w:t>improving the surface texture of sprayed seals by removing excess binder (‘</w:t>
      </w:r>
      <w:proofErr w:type="gramStart"/>
      <w:r w:rsidRPr="00E562B0">
        <w:t>Retexturing‘</w:t>
      </w:r>
      <w:proofErr w:type="gramEnd"/>
      <w:r w:rsidRPr="00E562B0">
        <w:t>); and</w:t>
      </w:r>
    </w:p>
    <w:p w14:paraId="4FB3CE59" w14:textId="39BC4D0A" w:rsidR="00E562B0" w:rsidRPr="00E562B0" w:rsidRDefault="00E562B0" w:rsidP="00E562B0">
      <w:pPr>
        <w:pStyle w:val="Bodynumbered2"/>
      </w:pPr>
      <w:r w:rsidRPr="00E562B0">
        <w:t xml:space="preserve">removing unwanted materials such as petrol, oil, grease, </w:t>
      </w:r>
      <w:proofErr w:type="gramStart"/>
      <w:r w:rsidRPr="00E562B0">
        <w:t>lichen</w:t>
      </w:r>
      <w:proofErr w:type="gramEnd"/>
      <w:r w:rsidRPr="00E562B0">
        <w:t xml:space="preserve"> and other grime from road surfaces (‘Surface Cleaning’).</w:t>
      </w:r>
    </w:p>
    <w:p w14:paraId="159394C7" w14:textId="77777777" w:rsidR="009F08ED" w:rsidRPr="003E31BA" w:rsidRDefault="009F08ED" w:rsidP="003E31BA">
      <w:pPr>
        <w:pStyle w:val="Heading1"/>
        <w:rPr>
          <w:rFonts w:eastAsiaTheme="majorEastAsia"/>
        </w:rPr>
      </w:pPr>
      <w:bookmarkStart w:id="7" w:name="_Toc39841881"/>
      <w:r w:rsidRPr="003E31BA">
        <w:t>Definitions</w:t>
      </w:r>
      <w:bookmarkEnd w:id="7"/>
    </w:p>
    <w:p w14:paraId="7CE1AA33" w14:textId="07E446A3" w:rsidR="003E31BA" w:rsidRPr="003E31BA" w:rsidRDefault="005C24F8" w:rsidP="005C24F8">
      <w:pPr>
        <w:pStyle w:val="Bodynumbered1"/>
      </w:pPr>
      <w:bookmarkStart w:id="8" w:name="1.3.1_Definitions_–_Personnel"/>
      <w:bookmarkStart w:id="9" w:name="1.4_Work_Health_&amp;_Safety_(WHS)"/>
      <w:bookmarkStart w:id="10" w:name="1.6.3_Principal_Supplied_Components"/>
      <w:bookmarkStart w:id="11" w:name="4_Design,_Specification,_Documentation_a"/>
      <w:bookmarkEnd w:id="8"/>
      <w:bookmarkEnd w:id="9"/>
      <w:bookmarkEnd w:id="10"/>
      <w:bookmarkEnd w:id="11"/>
      <w:r w:rsidRPr="007C113F">
        <w:t xml:space="preserve">The definitions </w:t>
      </w:r>
      <w:r>
        <w:t xml:space="preserve">in </w:t>
      </w:r>
      <w:r w:rsidRPr="00737445">
        <w:t>AP</w:t>
      </w:r>
      <w:r w:rsidR="00741C11">
        <w:t>–</w:t>
      </w:r>
      <w:r w:rsidRPr="00737445">
        <w:t>C87-15</w:t>
      </w:r>
      <w:r>
        <w:t xml:space="preserve"> apply to this </w:t>
      </w:r>
      <w:r w:rsidR="00063F76">
        <w:t>Specification</w:t>
      </w:r>
      <w:r>
        <w:t>.</w:t>
      </w:r>
    </w:p>
    <w:p w14:paraId="2099917E" w14:textId="4316CA44" w:rsidR="00F40305" w:rsidRPr="003E31BA" w:rsidRDefault="003F7623" w:rsidP="00741C11">
      <w:pPr>
        <w:pStyle w:val="Heading1"/>
      </w:pPr>
      <w:bookmarkStart w:id="12" w:name="_Toc39841882"/>
      <w:r w:rsidRPr="003E31BA">
        <w:lastRenderedPageBreak/>
        <w:t>Referenced Documents</w:t>
      </w:r>
      <w:bookmarkEnd w:id="4"/>
      <w:bookmarkEnd w:id="5"/>
      <w:bookmarkEnd w:id="12"/>
    </w:p>
    <w:p w14:paraId="3E6F44F2" w14:textId="6ECE4827" w:rsidR="00F40305" w:rsidRPr="00045CDF" w:rsidRDefault="005417E9" w:rsidP="00741C11">
      <w:pPr>
        <w:pStyle w:val="Bodynumbered1"/>
        <w:keepNext/>
      </w:pPr>
      <w:r w:rsidRPr="00825802">
        <w:t xml:space="preserve">The </w:t>
      </w:r>
      <w:r w:rsidRPr="006B49B7">
        <w:t>following</w:t>
      </w:r>
      <w:r w:rsidRPr="00825802">
        <w:t xml:space="preserve"> documents are referenced in this </w:t>
      </w:r>
      <w:r w:rsidR="00063F76">
        <w:t>S</w:t>
      </w:r>
      <w:r w:rsidR="00063F76" w:rsidRPr="00825802">
        <w:t>pecification</w:t>
      </w:r>
      <w:r w:rsidR="00502381">
        <w:t>:</w:t>
      </w:r>
    </w:p>
    <w:p w14:paraId="055EDF11" w14:textId="77777777" w:rsidR="009F08ED" w:rsidRPr="00A54C0A" w:rsidRDefault="009F08ED" w:rsidP="00741C11">
      <w:pPr>
        <w:pStyle w:val="BodyTextIndent"/>
        <w:keepNext/>
        <w:pBdr>
          <w:top w:val="single" w:sz="2" w:space="1" w:color="004259"/>
        </w:pBdr>
        <w:ind w:left="1843" w:hanging="1276"/>
        <w:rPr>
          <w:rFonts w:cs="Arial"/>
          <w:b/>
          <w:bCs w:val="0"/>
          <w:color w:val="004259"/>
          <w:sz w:val="22"/>
        </w:rPr>
      </w:pPr>
      <w:bookmarkStart w:id="13" w:name="_Toc514678947"/>
      <w:bookmarkStart w:id="14" w:name="_Toc886734"/>
      <w:bookmarkEnd w:id="6"/>
      <w:r w:rsidRPr="00A54C0A">
        <w:rPr>
          <w:b/>
          <w:bCs w:val="0"/>
          <w:color w:val="004259"/>
        </w:rPr>
        <w:t>Austroads</w:t>
      </w:r>
    </w:p>
    <w:p w14:paraId="4857377C" w14:textId="6F7B8DFF" w:rsidR="000E66B7" w:rsidRDefault="000E66B7" w:rsidP="0059043A">
      <w:pPr>
        <w:pStyle w:val="BodyTextIndent"/>
        <w:keepNext/>
        <w:spacing w:before="120"/>
      </w:pPr>
      <w:r w:rsidRPr="00847599">
        <w:t>AP</w:t>
      </w:r>
      <w:r w:rsidR="00741C11">
        <w:t>–</w:t>
      </w:r>
      <w:r w:rsidRPr="00847599">
        <w:t>C87-15</w:t>
      </w:r>
      <w:r>
        <w:tab/>
      </w:r>
      <w:r w:rsidRPr="00AA1A8E">
        <w:t>Austroads Glossary of Terms</w:t>
      </w:r>
    </w:p>
    <w:p w14:paraId="488B94B8" w14:textId="325B77E3" w:rsidR="00741C11" w:rsidRPr="00DF6406" w:rsidRDefault="00741C11" w:rsidP="0059043A">
      <w:pPr>
        <w:pStyle w:val="BodyTextIndent"/>
        <w:keepNext/>
        <w:spacing w:before="120"/>
      </w:pPr>
      <w:r w:rsidRPr="00DF6406">
        <w:t>AGPT</w:t>
      </w:r>
      <w:r>
        <w:t>–</w:t>
      </w:r>
      <w:r w:rsidRPr="00DF6406">
        <w:t xml:space="preserve">T250-08 </w:t>
      </w:r>
      <w:r w:rsidRPr="00DF6406">
        <w:tab/>
        <w:t xml:space="preserve">Modified Surface Texture Depth (Pestle </w:t>
      </w:r>
      <w:r w:rsidR="0059043A">
        <w:t>M</w:t>
      </w:r>
      <w:r w:rsidRPr="00DF6406">
        <w:t>ethod)</w:t>
      </w:r>
    </w:p>
    <w:p w14:paraId="2DD544EA" w14:textId="3B456655" w:rsidR="00741C11" w:rsidRDefault="00741C11" w:rsidP="0059043A">
      <w:pPr>
        <w:pStyle w:val="BodyTextIndent"/>
        <w:keepNext/>
        <w:spacing w:before="120"/>
      </w:pPr>
      <w:r w:rsidRPr="00DF6406">
        <w:t>AGPT</w:t>
      </w:r>
      <w:r>
        <w:t>–</w:t>
      </w:r>
      <w:r w:rsidR="0003240C" w:rsidRPr="00DF6406">
        <w:t>T2</w:t>
      </w:r>
      <w:r w:rsidR="0003240C">
        <w:t>54</w:t>
      </w:r>
      <w:r w:rsidRPr="00DF6406">
        <w:t>-</w:t>
      </w:r>
      <w:r w:rsidR="0003240C">
        <w:t>20</w:t>
      </w:r>
      <w:r w:rsidR="0003240C" w:rsidRPr="00DF6406">
        <w:t xml:space="preserve"> </w:t>
      </w:r>
      <w:r w:rsidRPr="00DF6406">
        <w:tab/>
        <w:t>Stripping of Aggregate from Spayed Seals</w:t>
      </w:r>
    </w:p>
    <w:p w14:paraId="69C19853" w14:textId="191C177A" w:rsidR="00741C11" w:rsidRPr="00DF6406" w:rsidRDefault="00741C11" w:rsidP="0059043A">
      <w:pPr>
        <w:pStyle w:val="BodyTextIndent"/>
        <w:spacing w:before="120"/>
      </w:pPr>
      <w:r w:rsidRPr="00DF6406">
        <w:t>AGAM</w:t>
      </w:r>
      <w:r>
        <w:t>–</w:t>
      </w:r>
      <w:r w:rsidRPr="00DF6406">
        <w:t>T013-16</w:t>
      </w:r>
      <w:r w:rsidRPr="00DF6406">
        <w:tab/>
        <w:t>Pavement Surface Texture Measurement with a Laser Profilometer</w:t>
      </w:r>
    </w:p>
    <w:p w14:paraId="516337E0" w14:textId="1E2FAE75" w:rsidR="00D32834" w:rsidRPr="003E31BA" w:rsidRDefault="003F7623" w:rsidP="00751F63">
      <w:pPr>
        <w:pStyle w:val="Heading1"/>
      </w:pPr>
      <w:bookmarkStart w:id="15" w:name="_Toc39841883"/>
      <w:r w:rsidRPr="003E31BA">
        <w:t>Quality System Requirements</w:t>
      </w:r>
      <w:bookmarkEnd w:id="13"/>
      <w:bookmarkEnd w:id="14"/>
      <w:bookmarkEnd w:id="15"/>
    </w:p>
    <w:p w14:paraId="6FEE1B9D" w14:textId="090EFB4E" w:rsidR="003E31BA" w:rsidRDefault="003E31BA" w:rsidP="003E31BA">
      <w:pPr>
        <w:pStyle w:val="Bodynumbered1"/>
      </w:pPr>
      <w:bookmarkStart w:id="16" w:name="_Ref9599800"/>
      <w:r>
        <w:t>The Contractor must prepare and implement a Quality Plan that includes:</w:t>
      </w:r>
      <w:bookmarkEnd w:id="16"/>
    </w:p>
    <w:p w14:paraId="28F9C89A" w14:textId="0369FC0F" w:rsidR="00741C11" w:rsidRPr="00DF6406" w:rsidRDefault="00741C11" w:rsidP="000E3FD7">
      <w:pPr>
        <w:pStyle w:val="Bodynumbered2"/>
        <w:numPr>
          <w:ilvl w:val="0"/>
          <w:numId w:val="21"/>
        </w:numPr>
        <w:spacing w:before="240"/>
        <w:ind w:left="924" w:hanging="357"/>
      </w:pPr>
      <w:r w:rsidRPr="00DF6406">
        <w:t xml:space="preserve">details of all equipment and plant to be </w:t>
      </w:r>
      <w:proofErr w:type="gramStart"/>
      <w:r w:rsidRPr="00DF6406">
        <w:t>used;</w:t>
      </w:r>
      <w:proofErr w:type="gramEnd"/>
    </w:p>
    <w:p w14:paraId="11919410" w14:textId="715FC5B4" w:rsidR="00741C11" w:rsidRPr="00DF6406" w:rsidRDefault="00741C11" w:rsidP="00741C11">
      <w:pPr>
        <w:pStyle w:val="Bodynumbered2"/>
      </w:pPr>
      <w:r w:rsidRPr="00DF6406">
        <w:t xml:space="preserve">procedures/work </w:t>
      </w:r>
      <w:proofErr w:type="gramStart"/>
      <w:r w:rsidRPr="00DF6406">
        <w:t>instructions;</w:t>
      </w:r>
      <w:proofErr w:type="gramEnd"/>
    </w:p>
    <w:p w14:paraId="18E9F4AB" w14:textId="77777777" w:rsidR="00741C11" w:rsidRPr="00DF6406" w:rsidRDefault="00741C11" w:rsidP="00741C11">
      <w:pPr>
        <w:pStyle w:val="Bodynumbered2"/>
      </w:pPr>
      <w:r w:rsidRPr="00DF6406">
        <w:t xml:space="preserve">names of key personnel and their site duties and contact </w:t>
      </w:r>
      <w:proofErr w:type="gramStart"/>
      <w:r w:rsidRPr="00DF6406">
        <w:t>details;</w:t>
      </w:r>
      <w:proofErr w:type="gramEnd"/>
    </w:p>
    <w:p w14:paraId="625C0934" w14:textId="77777777" w:rsidR="00741C11" w:rsidRPr="00DF6406" w:rsidRDefault="00741C11" w:rsidP="00741C11">
      <w:pPr>
        <w:pStyle w:val="Bodynumbered2"/>
      </w:pPr>
      <w:r w:rsidRPr="00DF6406">
        <w:t xml:space="preserve">details of the proposed waste disposal method for both liquid and solid waste, including details of licensed disposal </w:t>
      </w:r>
      <w:proofErr w:type="gramStart"/>
      <w:r w:rsidRPr="00DF6406">
        <w:t>sites;</w:t>
      </w:r>
      <w:proofErr w:type="gramEnd"/>
      <w:r w:rsidRPr="00DF6406">
        <w:t xml:space="preserve"> </w:t>
      </w:r>
    </w:p>
    <w:p w14:paraId="7FD9FBDC" w14:textId="42D76F9B" w:rsidR="00741C11" w:rsidRPr="00DF6406" w:rsidRDefault="00741C11" w:rsidP="00741C11">
      <w:pPr>
        <w:pStyle w:val="Bodynumbered2"/>
      </w:pPr>
      <w:r w:rsidRPr="00DF6406">
        <w:t>Inspection and Test Plans (ITP) that address the requirements of this Specification; and</w:t>
      </w:r>
    </w:p>
    <w:p w14:paraId="1ECB9AAE" w14:textId="09F71837" w:rsidR="00741C11" w:rsidRDefault="00741C11" w:rsidP="00741C11">
      <w:pPr>
        <w:pStyle w:val="Bodynumbered2"/>
      </w:pPr>
      <w:r>
        <w:t xml:space="preserve">a </w:t>
      </w:r>
      <w:r w:rsidRPr="00DF6406">
        <w:t>Safety Plan and/or applicable Safe Working Method Statements.</w:t>
      </w:r>
    </w:p>
    <w:tbl>
      <w:tblPr>
        <w:tblStyle w:val="TMTable"/>
        <w:tblW w:w="8931" w:type="dxa"/>
        <w:tblInd w:w="557" w:type="dxa"/>
        <w:tblLook w:val="04A0" w:firstRow="1" w:lastRow="0" w:firstColumn="1" w:lastColumn="0" w:noHBand="0" w:noVBand="1"/>
      </w:tblPr>
      <w:tblGrid>
        <w:gridCol w:w="1985"/>
        <w:gridCol w:w="6946"/>
      </w:tblGrid>
      <w:tr w:rsidR="003E31BA" w14:paraId="228520FD" w14:textId="77777777" w:rsidTr="0059043A">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5D5860C4" w14:textId="7F8FCC36" w:rsidR="003E31BA" w:rsidRPr="00FB025A" w:rsidRDefault="003E31BA" w:rsidP="00A65212">
            <w:pPr>
              <w:pStyle w:val="TableHeading"/>
              <w:rPr>
                <w:b/>
                <w:bCs/>
              </w:rPr>
            </w:pPr>
            <w:bookmarkStart w:id="17" w:name="_Hlk9589851"/>
            <w:r w:rsidRPr="00FB025A">
              <w:rPr>
                <w:b/>
                <w:bCs/>
              </w:rPr>
              <w:t>HOLD POINT 1</w:t>
            </w:r>
          </w:p>
        </w:tc>
      </w:tr>
      <w:tr w:rsidR="003E31BA" w14:paraId="04018650" w14:textId="77777777" w:rsidTr="0059043A">
        <w:tc>
          <w:tcPr>
            <w:tcW w:w="1985" w:type="dxa"/>
            <w:hideMark/>
          </w:tcPr>
          <w:p w14:paraId="684F3EF5" w14:textId="77777777" w:rsidR="003E31BA" w:rsidRPr="00FB025A" w:rsidRDefault="003E31BA" w:rsidP="00FB025A">
            <w:pPr>
              <w:pStyle w:val="TableBodyText"/>
            </w:pPr>
            <w:r w:rsidRPr="00FB025A">
              <w:t>Process Held</w:t>
            </w:r>
          </w:p>
        </w:tc>
        <w:tc>
          <w:tcPr>
            <w:tcW w:w="6946" w:type="dxa"/>
            <w:hideMark/>
          </w:tcPr>
          <w:p w14:paraId="432F2DEC" w14:textId="29370C1A" w:rsidR="003E31BA" w:rsidRPr="00FB025A" w:rsidRDefault="003E31BA" w:rsidP="00FB025A">
            <w:pPr>
              <w:pStyle w:val="TableBodyText"/>
            </w:pPr>
            <w:r w:rsidRPr="00FB025A">
              <w:t xml:space="preserve">Commencement of </w:t>
            </w:r>
            <w:r w:rsidR="00741C11" w:rsidRPr="00FB025A">
              <w:t>retexturing treatment.</w:t>
            </w:r>
          </w:p>
        </w:tc>
      </w:tr>
      <w:tr w:rsidR="003E31BA" w14:paraId="6C79FAB1" w14:textId="77777777" w:rsidTr="0059043A">
        <w:tc>
          <w:tcPr>
            <w:tcW w:w="1985" w:type="dxa"/>
            <w:hideMark/>
          </w:tcPr>
          <w:p w14:paraId="498A5ACB" w14:textId="77777777" w:rsidR="003E31BA" w:rsidRPr="00FB025A" w:rsidRDefault="003E31BA" w:rsidP="00FB025A">
            <w:pPr>
              <w:pStyle w:val="TableBodyText"/>
            </w:pPr>
            <w:r w:rsidRPr="00FB025A">
              <w:t>Submission Details</w:t>
            </w:r>
          </w:p>
        </w:tc>
        <w:tc>
          <w:tcPr>
            <w:tcW w:w="6946" w:type="dxa"/>
            <w:hideMark/>
          </w:tcPr>
          <w:p w14:paraId="5BC9EC45" w14:textId="7A2F2C2F" w:rsidR="003E31BA" w:rsidRPr="00FB025A" w:rsidRDefault="003E31BA" w:rsidP="00FB025A">
            <w:pPr>
              <w:pStyle w:val="TableBodyText"/>
            </w:pPr>
            <w:r w:rsidRPr="00FB025A">
              <w:t xml:space="preserve">The Quality Plan </w:t>
            </w:r>
            <w:bookmarkStart w:id="18" w:name="_Hlk3530642"/>
            <w:r w:rsidRPr="00FB025A">
              <w:t>must be provided at least 21 days prior to the</w:t>
            </w:r>
            <w:bookmarkEnd w:id="18"/>
            <w:r w:rsidR="0059043A">
              <w:t xml:space="preserve"> </w:t>
            </w:r>
            <w:r w:rsidRPr="00FB025A">
              <w:t xml:space="preserve">commencement of the </w:t>
            </w:r>
            <w:r w:rsidR="00741C11" w:rsidRPr="00FB025A">
              <w:t>surface retexturing</w:t>
            </w:r>
            <w:r w:rsidR="00897DC5" w:rsidRPr="00FB025A">
              <w:t xml:space="preserve"> work</w:t>
            </w:r>
            <w:r w:rsidRPr="00FB025A">
              <w:t>.</w:t>
            </w:r>
          </w:p>
        </w:tc>
        <w:bookmarkEnd w:id="17"/>
      </w:tr>
    </w:tbl>
    <w:p w14:paraId="06B7984F" w14:textId="682485E5" w:rsidR="003F4501" w:rsidRDefault="00741C11" w:rsidP="003E31BA">
      <w:pPr>
        <w:pStyle w:val="Heading1"/>
      </w:pPr>
      <w:bookmarkStart w:id="19" w:name="_Toc29489164"/>
      <w:bookmarkStart w:id="20" w:name="_Toc1138829"/>
      <w:bookmarkStart w:id="21" w:name="_Toc9850016"/>
      <w:bookmarkStart w:id="22" w:name="_Hlk9434043"/>
      <w:bookmarkStart w:id="23" w:name="_Toc39841884"/>
      <w:r>
        <w:t xml:space="preserve">Plant and </w:t>
      </w:r>
      <w:r w:rsidR="003F4501" w:rsidRPr="003E31BA">
        <w:t>Material</w:t>
      </w:r>
      <w:r w:rsidR="00170376" w:rsidRPr="003E31BA">
        <w:t>s</w:t>
      </w:r>
      <w:bookmarkEnd w:id="19"/>
      <w:bookmarkEnd w:id="23"/>
    </w:p>
    <w:p w14:paraId="789AE461" w14:textId="77777777" w:rsidR="00DF2D84" w:rsidRPr="00DF2D84" w:rsidRDefault="00DF2D84" w:rsidP="00DF2D84">
      <w:pPr>
        <w:pStyle w:val="Bodynumbered1"/>
      </w:pPr>
      <w:r w:rsidRPr="00DF2D84">
        <w:t xml:space="preserve">This Clause 5 applies if </w:t>
      </w:r>
      <w:proofErr w:type="spellStart"/>
      <w:r w:rsidRPr="00DF2D84">
        <w:t>waterblasting</w:t>
      </w:r>
      <w:proofErr w:type="spellEnd"/>
      <w:r w:rsidRPr="00DF2D84">
        <w:t xml:space="preserve"> is permitted under the Contract.</w:t>
      </w:r>
    </w:p>
    <w:p w14:paraId="6938550C" w14:textId="77777777" w:rsidR="00DF2D84" w:rsidRPr="00DF2D84" w:rsidRDefault="00DF2D84" w:rsidP="00DF2D84">
      <w:pPr>
        <w:pStyle w:val="Bodynumbered1"/>
      </w:pPr>
      <w:r w:rsidRPr="00DF2D84">
        <w:t xml:space="preserve">The Contractor is responsible for the storage of all plant, </w:t>
      </w:r>
      <w:proofErr w:type="gramStart"/>
      <w:r w:rsidRPr="00DF2D84">
        <w:t>equipment</w:t>
      </w:r>
      <w:proofErr w:type="gramEnd"/>
      <w:r w:rsidRPr="00DF2D84">
        <w:t xml:space="preserve"> and materials.</w:t>
      </w:r>
    </w:p>
    <w:p w14:paraId="31239849" w14:textId="77777777" w:rsidR="00DF2D84" w:rsidRPr="00DF2D84" w:rsidRDefault="00DF2D84" w:rsidP="00DF2D84">
      <w:pPr>
        <w:pStyle w:val="Bodynumbered1"/>
      </w:pPr>
      <w:r w:rsidRPr="00DF2D84">
        <w:t>The retexturing and surface cleaning machine must:</w:t>
      </w:r>
    </w:p>
    <w:p w14:paraId="3D95E3B7" w14:textId="77777777" w:rsidR="00DF2D84" w:rsidRPr="00DF2D84" w:rsidRDefault="00DF2D84" w:rsidP="000E3FD7">
      <w:pPr>
        <w:pStyle w:val="Bodynumbered2"/>
        <w:numPr>
          <w:ilvl w:val="0"/>
          <w:numId w:val="23"/>
        </w:numPr>
        <w:ind w:left="924" w:hanging="357"/>
      </w:pPr>
      <w:r w:rsidRPr="00DF2D84">
        <w:t xml:space="preserve">be a self-contained system which uses high pressure water jets to remove the excess binder and unwanted materials from the road </w:t>
      </w:r>
      <w:proofErr w:type="gramStart"/>
      <w:r w:rsidRPr="00DF2D84">
        <w:t>surface;</w:t>
      </w:r>
      <w:proofErr w:type="gramEnd"/>
    </w:p>
    <w:p w14:paraId="3A4DA9FD" w14:textId="5DC2A97B" w:rsidR="00DF2D84" w:rsidRPr="00DF2D84" w:rsidRDefault="00DF2D84" w:rsidP="00DF2D84">
      <w:pPr>
        <w:pStyle w:val="Bodynumbered2"/>
      </w:pPr>
      <w:r w:rsidRPr="00DF2D84">
        <w:t xml:space="preserve">incorporate a suction system which is capable of </w:t>
      </w:r>
      <w:r w:rsidR="00485544">
        <w:t>removing</w:t>
      </w:r>
      <w:r w:rsidRPr="00DF2D84">
        <w:t xml:space="preserve"> all the dislodged particles of binder or other materials being removed</w:t>
      </w:r>
      <w:r>
        <w:t>,</w:t>
      </w:r>
      <w:r w:rsidRPr="00DF2D84">
        <w:t xml:space="preserve"> and sprayed </w:t>
      </w:r>
      <w:proofErr w:type="gramStart"/>
      <w:r w:rsidRPr="00DF2D84">
        <w:t>water;</w:t>
      </w:r>
      <w:proofErr w:type="gramEnd"/>
    </w:p>
    <w:p w14:paraId="507F25D4" w14:textId="77777777" w:rsidR="00DF2D84" w:rsidRPr="00DF2D84" w:rsidRDefault="00DF2D84" w:rsidP="00DF2D84">
      <w:pPr>
        <w:pStyle w:val="Bodynumbered2"/>
      </w:pPr>
      <w:r w:rsidRPr="00DF2D84">
        <w:t xml:space="preserve">be capable of carrying both the </w:t>
      </w:r>
      <w:proofErr w:type="spellStart"/>
      <w:r w:rsidRPr="00DF2D84">
        <w:t>waterblasting</w:t>
      </w:r>
      <w:proofErr w:type="spellEnd"/>
      <w:r w:rsidRPr="00DF2D84">
        <w:t xml:space="preserve"> equipment and a full load of waste </w:t>
      </w:r>
      <w:proofErr w:type="gramStart"/>
      <w:r w:rsidRPr="00DF2D84">
        <w:t>material;</w:t>
      </w:r>
      <w:proofErr w:type="gramEnd"/>
      <w:r w:rsidRPr="00DF2D84">
        <w:t xml:space="preserve"> </w:t>
      </w:r>
    </w:p>
    <w:p w14:paraId="38DB0477" w14:textId="77777777" w:rsidR="00DF2D84" w:rsidRPr="00DF2D84" w:rsidRDefault="00DF2D84" w:rsidP="00DF2D84">
      <w:pPr>
        <w:pStyle w:val="Bodynumbered2"/>
      </w:pPr>
      <w:r w:rsidRPr="00DF2D84">
        <w:t xml:space="preserve">have a storage facility to house the waste material until </w:t>
      </w:r>
      <w:proofErr w:type="gramStart"/>
      <w:r w:rsidRPr="00DF2D84">
        <w:t>disposal;</w:t>
      </w:r>
      <w:proofErr w:type="gramEnd"/>
    </w:p>
    <w:p w14:paraId="454729E3" w14:textId="0FECC953" w:rsidR="00DF2D84" w:rsidRPr="00DF2D84" w:rsidRDefault="00DF2D84" w:rsidP="00DF2D84">
      <w:pPr>
        <w:pStyle w:val="Bodynumbered2"/>
      </w:pPr>
      <w:r w:rsidRPr="00DF2D84">
        <w:t xml:space="preserve">be capable of adjusting the water pressure to achieve the required degree of binder removal without </w:t>
      </w:r>
      <w:r>
        <w:t>damaging</w:t>
      </w:r>
      <w:r w:rsidRPr="00DF2D84">
        <w:t xml:space="preserve"> the </w:t>
      </w:r>
      <w:proofErr w:type="gramStart"/>
      <w:r w:rsidRPr="00DF2D84">
        <w:t>seal;</w:t>
      </w:r>
      <w:proofErr w:type="gramEnd"/>
      <w:r w:rsidRPr="00DF2D84">
        <w:t xml:space="preserve"> </w:t>
      </w:r>
    </w:p>
    <w:p w14:paraId="561ECF71" w14:textId="77777777" w:rsidR="00DF2D84" w:rsidRPr="00DF2D84" w:rsidRDefault="00DF2D84" w:rsidP="00DF2D84">
      <w:pPr>
        <w:pStyle w:val="Bodynumbered2"/>
      </w:pPr>
      <w:r w:rsidRPr="00DF2D84">
        <w:t xml:space="preserve">be designed to minimise the need for personnel to undertake on-ground duties when the machine is operation; and </w:t>
      </w:r>
    </w:p>
    <w:p w14:paraId="7709040E" w14:textId="77CA2E85" w:rsidR="00DF2D84" w:rsidRPr="00DF2D84" w:rsidRDefault="00DF2D84" w:rsidP="00DF2D84">
      <w:pPr>
        <w:pStyle w:val="Bodynumbered2"/>
      </w:pPr>
      <w:r w:rsidRPr="00DF2D84">
        <w:t>incorporate an emergency stop mechanism which can be easily accessed from outside the vehicle.</w:t>
      </w:r>
    </w:p>
    <w:p w14:paraId="2FED7D68" w14:textId="77777777" w:rsidR="00DF2D84" w:rsidRPr="00DF6406" w:rsidRDefault="00DF2D84" w:rsidP="00DF2D84">
      <w:pPr>
        <w:pStyle w:val="Bodynumbered1"/>
      </w:pPr>
      <w:r w:rsidRPr="00DF6406">
        <w:lastRenderedPageBreak/>
        <w:t>The Contractor must:</w:t>
      </w:r>
    </w:p>
    <w:p w14:paraId="44F0BD0C" w14:textId="77777777" w:rsidR="00DF2D84" w:rsidRPr="00DF6406" w:rsidRDefault="00DF2D84" w:rsidP="000E3FD7">
      <w:pPr>
        <w:pStyle w:val="Bodynumbered2"/>
        <w:numPr>
          <w:ilvl w:val="0"/>
          <w:numId w:val="22"/>
        </w:numPr>
      </w:pPr>
      <w:r w:rsidRPr="00DF6406">
        <w:t xml:space="preserve">supply all water required for the </w:t>
      </w:r>
      <w:proofErr w:type="spellStart"/>
      <w:proofErr w:type="gramStart"/>
      <w:r w:rsidRPr="00DF6406">
        <w:t>waterblasting</w:t>
      </w:r>
      <w:proofErr w:type="spellEnd"/>
      <w:r w:rsidRPr="00DF6406">
        <w:t>;</w:t>
      </w:r>
      <w:proofErr w:type="gramEnd"/>
    </w:p>
    <w:p w14:paraId="62914D06" w14:textId="79370111" w:rsidR="00DF2D84" w:rsidRPr="00DF6406" w:rsidRDefault="00DF2D84" w:rsidP="000E3FD7">
      <w:pPr>
        <w:pStyle w:val="Bodynumbered2"/>
        <w:numPr>
          <w:ilvl w:val="0"/>
          <w:numId w:val="22"/>
        </w:numPr>
      </w:pPr>
      <w:r w:rsidRPr="00DF6406">
        <w:t>where necessary, obtain permits</w:t>
      </w:r>
      <w:r>
        <w:t xml:space="preserve"> and </w:t>
      </w:r>
      <w:r w:rsidRPr="00DF6406">
        <w:t>licen</w:t>
      </w:r>
      <w:r>
        <w:t>c</w:t>
      </w:r>
      <w:r w:rsidRPr="00DF6406">
        <w:t xml:space="preserve">es for water and pay any associated charges to the appropriate </w:t>
      </w:r>
      <w:proofErr w:type="gramStart"/>
      <w:r w:rsidRPr="00DF6406">
        <w:t>authority;</w:t>
      </w:r>
      <w:proofErr w:type="gramEnd"/>
    </w:p>
    <w:p w14:paraId="7B44CCF2" w14:textId="4E30D838" w:rsidR="00DF2D84" w:rsidRPr="00DF6406" w:rsidRDefault="00DF2D84" w:rsidP="000E3FD7">
      <w:pPr>
        <w:pStyle w:val="Bodynumbered2"/>
        <w:numPr>
          <w:ilvl w:val="0"/>
          <w:numId w:val="22"/>
        </w:numPr>
      </w:pPr>
      <w:r w:rsidRPr="00DF6406">
        <w:t xml:space="preserve">if water is not sourced from a reticulated water supply, maintain a record of the water drawn from </w:t>
      </w:r>
      <w:r>
        <w:t>other</w:t>
      </w:r>
      <w:r w:rsidRPr="00DF6406">
        <w:t xml:space="preserve"> sources; and</w:t>
      </w:r>
    </w:p>
    <w:p w14:paraId="19776417" w14:textId="77777777" w:rsidR="00DF2D84" w:rsidRPr="00DF6406" w:rsidRDefault="00DF2D84" w:rsidP="000E3FD7">
      <w:pPr>
        <w:pStyle w:val="Bodynumbered2"/>
        <w:numPr>
          <w:ilvl w:val="0"/>
          <w:numId w:val="22"/>
        </w:numPr>
      </w:pPr>
      <w:r w:rsidRPr="00DF6406">
        <w:t>provide the Principal with all records demonstrating compliance with this clause.</w:t>
      </w:r>
    </w:p>
    <w:p w14:paraId="407E1C67" w14:textId="51B018FB" w:rsidR="003E31BA" w:rsidRDefault="00DF2D84" w:rsidP="003E31BA">
      <w:pPr>
        <w:pStyle w:val="Heading1"/>
      </w:pPr>
      <w:bookmarkStart w:id="24" w:name="_Ref15469889"/>
      <w:bookmarkStart w:id="25" w:name="_Hlk9598492"/>
      <w:bookmarkStart w:id="26" w:name="_Toc39841885"/>
      <w:r>
        <w:t>Trial Retexturing</w:t>
      </w:r>
      <w:r w:rsidR="00064F5A">
        <w:t xml:space="preserve"> </w:t>
      </w:r>
      <w:r>
        <w:t>Treatment</w:t>
      </w:r>
      <w:bookmarkEnd w:id="26"/>
    </w:p>
    <w:p w14:paraId="673D85B8" w14:textId="77777777" w:rsidR="00DF2D84" w:rsidRPr="00DF2D84" w:rsidRDefault="00DF2D84" w:rsidP="00DF2D84">
      <w:pPr>
        <w:pStyle w:val="Bodynumbered1"/>
      </w:pPr>
      <w:r w:rsidRPr="00DF2D84">
        <w:t>If specified, or if directed by the Principal, the Contractor must undertake a trial of the retexturing treatment.</w:t>
      </w:r>
    </w:p>
    <w:p w14:paraId="3E3FC088" w14:textId="77777777" w:rsidR="00DF2D84" w:rsidRPr="00DF2D84" w:rsidRDefault="00DF2D84" w:rsidP="00DF2D84">
      <w:pPr>
        <w:pStyle w:val="Bodynumbered1"/>
      </w:pPr>
      <w:r w:rsidRPr="00DF2D84">
        <w:t>Each trial must:</w:t>
      </w:r>
    </w:p>
    <w:p w14:paraId="2EC9EF55" w14:textId="26131676" w:rsidR="00DF2D84" w:rsidRPr="00DF2D84" w:rsidRDefault="00DF2D84" w:rsidP="000E3FD7">
      <w:pPr>
        <w:pStyle w:val="Bodynumbered2"/>
        <w:numPr>
          <w:ilvl w:val="0"/>
          <w:numId w:val="24"/>
        </w:numPr>
        <w:ind w:left="924" w:hanging="357"/>
      </w:pPr>
      <w:r w:rsidRPr="00DF2D84">
        <w:t>be undertaken on an area of at least 100 m</w:t>
      </w:r>
      <w:r w:rsidRPr="00DF2D84">
        <w:rPr>
          <w:vertAlign w:val="superscript"/>
        </w:rPr>
        <w:t>2</w:t>
      </w:r>
      <w:r w:rsidRPr="00DF2D84">
        <w:t xml:space="preserve"> which has a surface that is representative of the sector being </w:t>
      </w:r>
      <w:proofErr w:type="gramStart"/>
      <w:r w:rsidRPr="00DF2D84">
        <w:t>treated;</w:t>
      </w:r>
      <w:proofErr w:type="gramEnd"/>
    </w:p>
    <w:p w14:paraId="13EF6620" w14:textId="68B27ACC" w:rsidR="00DF2D84" w:rsidRPr="00DF2D84" w:rsidRDefault="00DF2D84" w:rsidP="000E3FD7">
      <w:pPr>
        <w:pStyle w:val="Bodynumbered2"/>
        <w:numPr>
          <w:ilvl w:val="0"/>
          <w:numId w:val="24"/>
        </w:numPr>
        <w:ind w:left="924" w:hanging="357"/>
      </w:pPr>
      <w:r w:rsidRPr="00DF2D84">
        <w:t>be undertaken using the equipment and processes proposed to be used for the remainder of the Works; and</w:t>
      </w:r>
    </w:p>
    <w:p w14:paraId="622D8FB9" w14:textId="42E3BDAD" w:rsidR="00DF2D84" w:rsidRPr="00DF2D84" w:rsidRDefault="00DF2D84" w:rsidP="000E3FD7">
      <w:pPr>
        <w:pStyle w:val="Bodynumbered2"/>
        <w:numPr>
          <w:ilvl w:val="0"/>
          <w:numId w:val="24"/>
        </w:numPr>
        <w:ind w:left="924" w:hanging="357"/>
      </w:pPr>
      <w:r w:rsidRPr="00DF2D84">
        <w:t>achieve all the criteria specified in this Specification.</w:t>
      </w:r>
    </w:p>
    <w:p w14:paraId="08EF8B98" w14:textId="167B8E02" w:rsidR="00DF2D84" w:rsidRPr="00DF6406" w:rsidRDefault="00DF2D84" w:rsidP="00DF2D84">
      <w:pPr>
        <w:pStyle w:val="Bodynumbered1"/>
      </w:pPr>
      <w:r w:rsidRPr="00DF6406">
        <w:t xml:space="preserve">The Contractor must provide test results in accordance with Clause 7 and photographs of the tests being undertaken which demonstrate that the trial </w:t>
      </w:r>
      <w:proofErr w:type="spellStart"/>
      <w:r w:rsidRPr="00DF6406">
        <w:t>waterblasting</w:t>
      </w:r>
      <w:proofErr w:type="spellEnd"/>
      <w:r w:rsidRPr="00DF6406">
        <w:t xml:space="preserve"> complies with this Specification.</w:t>
      </w:r>
    </w:p>
    <w:tbl>
      <w:tblPr>
        <w:tblStyle w:val="TMTable1"/>
        <w:tblW w:w="9072" w:type="dxa"/>
        <w:tblInd w:w="557" w:type="dxa"/>
        <w:tblLook w:val="04A0" w:firstRow="1" w:lastRow="0" w:firstColumn="1" w:lastColumn="0" w:noHBand="0" w:noVBand="1"/>
      </w:tblPr>
      <w:tblGrid>
        <w:gridCol w:w="1985"/>
        <w:gridCol w:w="7087"/>
      </w:tblGrid>
      <w:tr w:rsidR="00DF2D84" w:rsidRPr="00F4166E" w14:paraId="4F2A4434" w14:textId="77777777" w:rsidTr="0034089F">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68CB0275" w14:textId="2A6F0140" w:rsidR="00DF2D84" w:rsidRPr="00FB025A" w:rsidRDefault="00DF2D84" w:rsidP="00FB025A">
            <w:pPr>
              <w:pStyle w:val="TableHeading"/>
            </w:pPr>
            <w:r w:rsidRPr="00FB025A">
              <w:rPr>
                <w:b/>
                <w:bCs/>
              </w:rPr>
              <w:t>HOLD POINT 2</w:t>
            </w:r>
          </w:p>
        </w:tc>
      </w:tr>
      <w:tr w:rsidR="00DF2D84" w:rsidRPr="00F4166E" w14:paraId="1F433531" w14:textId="77777777" w:rsidTr="0034089F">
        <w:tc>
          <w:tcPr>
            <w:tcW w:w="1985" w:type="dxa"/>
            <w:tcBorders>
              <w:bottom w:val="single" w:sz="4" w:space="0" w:color="FFFFFF" w:themeColor="background1"/>
            </w:tcBorders>
            <w:hideMark/>
          </w:tcPr>
          <w:p w14:paraId="238768D7" w14:textId="77777777" w:rsidR="00DF2D84" w:rsidRPr="00A65212" w:rsidRDefault="00DF2D84" w:rsidP="00FB025A">
            <w:pPr>
              <w:pStyle w:val="TableBodyText"/>
              <w:rPr>
                <w:b/>
              </w:rPr>
            </w:pPr>
            <w:r w:rsidRPr="00A65212">
              <w:t>Process Held</w:t>
            </w:r>
          </w:p>
        </w:tc>
        <w:tc>
          <w:tcPr>
            <w:tcW w:w="7087" w:type="dxa"/>
            <w:tcBorders>
              <w:bottom w:val="single" w:sz="4" w:space="0" w:color="FFFFFF" w:themeColor="background1"/>
            </w:tcBorders>
            <w:hideMark/>
          </w:tcPr>
          <w:p w14:paraId="1CCDD3CE" w14:textId="77777777" w:rsidR="00DF2D84" w:rsidRPr="00A65212" w:rsidRDefault="00DF2D84" w:rsidP="00FB025A">
            <w:pPr>
              <w:pStyle w:val="TableBodyText"/>
              <w:rPr>
                <w:b/>
              </w:rPr>
            </w:pPr>
            <w:r w:rsidRPr="00A65212">
              <w:t>Commencement of retexturing treatment.</w:t>
            </w:r>
          </w:p>
        </w:tc>
      </w:tr>
      <w:tr w:rsidR="00DF2D84" w:rsidRPr="00F4166E" w14:paraId="3ECE9F29" w14:textId="77777777" w:rsidTr="0034089F">
        <w:tc>
          <w:tcPr>
            <w:tcW w:w="1985" w:type="dxa"/>
            <w:tcBorders>
              <w:bottom w:val="single" w:sz="4" w:space="0" w:color="FFFFFF" w:themeColor="background1"/>
            </w:tcBorders>
            <w:hideMark/>
          </w:tcPr>
          <w:p w14:paraId="705C6AD8" w14:textId="77777777" w:rsidR="00DF2D84" w:rsidRPr="00A65212" w:rsidRDefault="00DF2D84" w:rsidP="00FB025A">
            <w:pPr>
              <w:pStyle w:val="TableBodyText"/>
            </w:pPr>
            <w:r w:rsidRPr="00A65212">
              <w:t>Submission Details</w:t>
            </w:r>
          </w:p>
        </w:tc>
        <w:tc>
          <w:tcPr>
            <w:tcW w:w="7087" w:type="dxa"/>
            <w:tcBorders>
              <w:bottom w:val="single" w:sz="4" w:space="0" w:color="FFFFFF" w:themeColor="background1"/>
            </w:tcBorders>
            <w:hideMark/>
          </w:tcPr>
          <w:p w14:paraId="247BDCB4" w14:textId="77777777" w:rsidR="00DF2D84" w:rsidRPr="00A65212" w:rsidRDefault="00DF2D84" w:rsidP="00FB025A">
            <w:pPr>
              <w:pStyle w:val="TableBodyText"/>
            </w:pPr>
            <w:r w:rsidRPr="00A65212">
              <w:t>Evidence of a successful trial which demonstrates that the treatment will achieve the specified surface texture.</w:t>
            </w:r>
          </w:p>
        </w:tc>
      </w:tr>
    </w:tbl>
    <w:p w14:paraId="17BCC376" w14:textId="77777777" w:rsidR="00DF2D84" w:rsidRPr="00A65212" w:rsidRDefault="00DF2D84" w:rsidP="00A65212">
      <w:pPr>
        <w:pStyle w:val="Bodynumbered1"/>
      </w:pPr>
      <w:r w:rsidRPr="00A65212">
        <w:t>If the trial does not achieve the specified criteria, the Contractor must adjust/modify the equipment or methodology and repeat the trial until the specified surface texture is achieved.</w:t>
      </w:r>
    </w:p>
    <w:p w14:paraId="6BBB487F" w14:textId="46F55E5E" w:rsidR="00DF2D84" w:rsidRDefault="00DF2D84" w:rsidP="00A65212">
      <w:pPr>
        <w:pStyle w:val="Bodynumbered1"/>
      </w:pPr>
      <w:r w:rsidRPr="00DF6406">
        <w:t>Separate payment will not be made for trials of the treatment.</w:t>
      </w:r>
    </w:p>
    <w:p w14:paraId="4B046A9E" w14:textId="1D9AE869" w:rsidR="00AE43B9" w:rsidRDefault="00A65212" w:rsidP="003E31BA">
      <w:pPr>
        <w:pStyle w:val="Heading1"/>
      </w:pPr>
      <w:bookmarkStart w:id="27" w:name="_Toc39841886"/>
      <w:r>
        <w:t>Testing and Conformance</w:t>
      </w:r>
      <w:bookmarkEnd w:id="27"/>
    </w:p>
    <w:p w14:paraId="73465C1E" w14:textId="5AD2CE19" w:rsidR="00AE43B9" w:rsidRDefault="00AE43B9" w:rsidP="00AE43B9">
      <w:pPr>
        <w:pStyle w:val="Heading2"/>
      </w:pPr>
      <w:bookmarkStart w:id="28" w:name="_Toc39841887"/>
      <w:r w:rsidRPr="00667D36">
        <w:t>General</w:t>
      </w:r>
      <w:bookmarkEnd w:id="28"/>
    </w:p>
    <w:p w14:paraId="705DAE71" w14:textId="35F06DD0" w:rsidR="00A65212" w:rsidRPr="00DF6406" w:rsidRDefault="00A65212" w:rsidP="00A65212">
      <w:pPr>
        <w:pStyle w:val="Bodynumbered1"/>
      </w:pPr>
      <w:r w:rsidRPr="00DF6406">
        <w:t>A Lot is a homogenous area not exceeding 400 m</w:t>
      </w:r>
      <w:r w:rsidRPr="00A65212">
        <w:rPr>
          <w:vertAlign w:val="superscript"/>
        </w:rPr>
        <w:t>2</w:t>
      </w:r>
      <w:r w:rsidRPr="00DF6406">
        <w:t xml:space="preserve"> which is treated in a uniform manner. Except at intersections or if specified otherwise, a </w:t>
      </w:r>
      <w:r>
        <w:t>L</w:t>
      </w:r>
      <w:r w:rsidRPr="00DF6406">
        <w:t>ot is limited to an individual lane.</w:t>
      </w:r>
    </w:p>
    <w:p w14:paraId="54FA2301" w14:textId="36BD14F8" w:rsidR="00A65212" w:rsidRPr="00DF6406" w:rsidRDefault="00A65212" w:rsidP="00A65212">
      <w:pPr>
        <w:pStyle w:val="Bodynumbered1"/>
      </w:pPr>
      <w:r w:rsidRPr="00DF6406">
        <w:t xml:space="preserve">If specified in the Contract, payment will be made at a reduced rate for </w:t>
      </w:r>
      <w:r>
        <w:t>’C</w:t>
      </w:r>
      <w:r w:rsidRPr="00DF6406">
        <w:t xml:space="preserve">onditionally </w:t>
      </w:r>
      <w:proofErr w:type="gramStart"/>
      <w:r>
        <w:t>C</w:t>
      </w:r>
      <w:r w:rsidRPr="00DF6406">
        <w:t>onforming</w:t>
      </w:r>
      <w:r>
        <w:t>‘</w:t>
      </w:r>
      <w:r w:rsidRPr="00DF6406">
        <w:t xml:space="preserve"> Lots</w:t>
      </w:r>
      <w:proofErr w:type="gramEnd"/>
      <w:r w:rsidRPr="00DF6406">
        <w:t xml:space="preserve"> (</w:t>
      </w:r>
      <w:proofErr w:type="spellStart"/>
      <w:r w:rsidRPr="00DF6406">
        <w:t>i</w:t>
      </w:r>
      <w:r>
        <w:t>.</w:t>
      </w:r>
      <w:r w:rsidRPr="00DF6406">
        <w:t>e</w:t>
      </w:r>
      <w:proofErr w:type="spellEnd"/>
      <w:r w:rsidRPr="00DF6406">
        <w:t>, work which is marginally outside the criteria specified for Conforming work).</w:t>
      </w:r>
    </w:p>
    <w:p w14:paraId="643979A2" w14:textId="05657E33" w:rsidR="00A65212" w:rsidRPr="00667D36" w:rsidRDefault="00A65212" w:rsidP="00A65212">
      <w:pPr>
        <w:pStyle w:val="Bodynumbered1"/>
      </w:pPr>
      <w:r w:rsidRPr="00DF6406">
        <w:t>Some areas may be specified as being exempt from testing (such as gritted areas, asphalt surfaces and distressed areas). In these areas, conformance will be determined by a visual assessment of the Works.</w:t>
      </w:r>
    </w:p>
    <w:p w14:paraId="24ABAC51" w14:textId="2C6ECD04" w:rsidR="00AE43B9" w:rsidRPr="00237EF0" w:rsidRDefault="00A65212" w:rsidP="00AE43B9">
      <w:pPr>
        <w:pStyle w:val="Heading2"/>
      </w:pPr>
      <w:bookmarkStart w:id="29" w:name="_Toc39841888"/>
      <w:r>
        <w:lastRenderedPageBreak/>
        <w:t>Texture Depth</w:t>
      </w:r>
      <w:bookmarkEnd w:id="29"/>
    </w:p>
    <w:p w14:paraId="65C0FC02" w14:textId="1CE3B832" w:rsidR="00A65212" w:rsidRDefault="00A65212" w:rsidP="00A65212">
      <w:pPr>
        <w:pStyle w:val="Bodynumbered1"/>
      </w:pPr>
      <w:r w:rsidRPr="00DF6406">
        <w:t>Texture Depth will be determined by a continuous visual assessment of the process and testing carried out in accordance with Table 7.4.</w:t>
      </w:r>
    </w:p>
    <w:p w14:paraId="671E128E" w14:textId="59158979" w:rsidR="00D9206B" w:rsidRPr="00DF6406" w:rsidRDefault="00D9206B" w:rsidP="00D9206B">
      <w:pPr>
        <w:pStyle w:val="Caption"/>
      </w:pPr>
      <w:r w:rsidRPr="00D9206B">
        <w:t xml:space="preserve">Table </w:t>
      </w:r>
      <w:r w:rsidRPr="00D9206B">
        <w:fldChar w:fldCharType="begin"/>
      </w:r>
      <w:r w:rsidRPr="00D9206B">
        <w:instrText xml:space="preserve"> REF _Ref26361378 \r \h  \* MERGEFORMAT </w:instrText>
      </w:r>
      <w:r w:rsidRPr="00D9206B">
        <w:fldChar w:fldCharType="separate"/>
      </w:r>
      <w:r w:rsidRPr="00D9206B">
        <w:t>7.4</w:t>
      </w:r>
      <w:r w:rsidRPr="00D9206B">
        <w:fldChar w:fldCharType="end"/>
      </w:r>
      <w:r w:rsidR="0059043A">
        <w:t>:</w:t>
      </w:r>
      <w:r w:rsidR="0059043A">
        <w:tab/>
      </w:r>
      <w:r w:rsidRPr="00D9206B">
        <w:t xml:space="preserve"> Test Frequency</w:t>
      </w:r>
    </w:p>
    <w:tbl>
      <w:tblPr>
        <w:tblStyle w:val="TMTable"/>
        <w:tblW w:w="8931" w:type="dxa"/>
        <w:tblInd w:w="562" w:type="dxa"/>
        <w:tblLayout w:type="fixed"/>
        <w:tblLook w:val="0480" w:firstRow="0" w:lastRow="0" w:firstColumn="1" w:lastColumn="0" w:noHBand="0" w:noVBand="1"/>
      </w:tblPr>
      <w:tblGrid>
        <w:gridCol w:w="2127"/>
        <w:gridCol w:w="2126"/>
        <w:gridCol w:w="4678"/>
      </w:tblGrid>
      <w:tr w:rsidR="00A65212" w:rsidRPr="002E2945" w14:paraId="212B1CFC" w14:textId="77777777" w:rsidTr="00D9206B">
        <w:tc>
          <w:tcPr>
            <w:tcW w:w="2127" w:type="dxa"/>
            <w:shd w:val="clear" w:color="auto" w:fill="BFBFBF" w:themeFill="background1" w:themeFillShade="BF"/>
          </w:tcPr>
          <w:p w14:paraId="6E417D51" w14:textId="77777777" w:rsidR="00A65212" w:rsidRPr="00D9206B" w:rsidRDefault="00A65212" w:rsidP="000E3FD7">
            <w:pPr>
              <w:pStyle w:val="TableHeading"/>
              <w:rPr>
                <w:rFonts w:eastAsia="Times New Roman"/>
                <w:snapToGrid w:val="0"/>
                <w:color w:val="auto"/>
              </w:rPr>
            </w:pPr>
            <w:bookmarkStart w:id="30" w:name="_Hlk25646895"/>
            <w:r w:rsidRPr="00D9206B">
              <w:rPr>
                <w:rFonts w:eastAsia="SimSun"/>
                <w:color w:val="auto"/>
              </w:rPr>
              <w:t>Property</w:t>
            </w:r>
          </w:p>
        </w:tc>
        <w:tc>
          <w:tcPr>
            <w:tcW w:w="2126" w:type="dxa"/>
            <w:shd w:val="clear" w:color="auto" w:fill="BFBFBF" w:themeFill="background1" w:themeFillShade="BF"/>
          </w:tcPr>
          <w:p w14:paraId="61716DE8" w14:textId="77777777" w:rsidR="00A65212" w:rsidRPr="00D9206B" w:rsidRDefault="00A65212" w:rsidP="000E3FD7">
            <w:pPr>
              <w:pStyle w:val="TableHeading"/>
              <w:rPr>
                <w:rFonts w:eastAsia="Times New Roman"/>
                <w:snapToGrid w:val="0"/>
                <w:color w:val="auto"/>
              </w:rPr>
            </w:pPr>
            <w:r w:rsidRPr="00D9206B">
              <w:rPr>
                <w:rFonts w:eastAsia="SimSun"/>
                <w:color w:val="auto"/>
              </w:rPr>
              <w:t>Test procedure</w:t>
            </w:r>
          </w:p>
        </w:tc>
        <w:tc>
          <w:tcPr>
            <w:tcW w:w="4678" w:type="dxa"/>
            <w:shd w:val="clear" w:color="auto" w:fill="BFBFBF" w:themeFill="background1" w:themeFillShade="BF"/>
          </w:tcPr>
          <w:p w14:paraId="57924342" w14:textId="77777777" w:rsidR="00A65212" w:rsidRPr="00D9206B" w:rsidRDefault="00A65212" w:rsidP="000E3FD7">
            <w:pPr>
              <w:pStyle w:val="TableHeading"/>
              <w:rPr>
                <w:rFonts w:eastAsia="SimSun"/>
                <w:color w:val="auto"/>
              </w:rPr>
            </w:pPr>
            <w:r w:rsidRPr="00D9206B">
              <w:rPr>
                <w:rFonts w:eastAsia="SimSun"/>
                <w:color w:val="auto"/>
              </w:rPr>
              <w:t>Test frequency</w:t>
            </w:r>
          </w:p>
        </w:tc>
      </w:tr>
      <w:tr w:rsidR="00A65212" w:rsidRPr="002E2945" w14:paraId="76FC178B" w14:textId="77777777" w:rsidTr="00D9206B">
        <w:tc>
          <w:tcPr>
            <w:tcW w:w="2127" w:type="dxa"/>
          </w:tcPr>
          <w:p w14:paraId="0E03B981" w14:textId="77777777" w:rsidR="00A65212" w:rsidRPr="002E2945" w:rsidRDefault="00A65212" w:rsidP="00FB025A">
            <w:pPr>
              <w:pStyle w:val="TableBodyText"/>
              <w:rPr>
                <w:rFonts w:eastAsia="SimSun"/>
              </w:rPr>
            </w:pPr>
            <w:r w:rsidRPr="002E2945">
              <w:rPr>
                <w:rFonts w:eastAsia="SimSun"/>
              </w:rPr>
              <w:t>Sensor Measured Texture Depth</w:t>
            </w:r>
          </w:p>
        </w:tc>
        <w:tc>
          <w:tcPr>
            <w:tcW w:w="2126" w:type="dxa"/>
          </w:tcPr>
          <w:p w14:paraId="3FF0480E" w14:textId="1CA208B1" w:rsidR="00A65212" w:rsidRPr="002E2945" w:rsidRDefault="00A65212" w:rsidP="00FB025A">
            <w:pPr>
              <w:pStyle w:val="TableBodyText"/>
              <w:rPr>
                <w:rFonts w:eastAsia="SimSun"/>
              </w:rPr>
            </w:pPr>
            <w:r w:rsidRPr="002E2945">
              <w:rPr>
                <w:rFonts w:eastAsia="SimSun"/>
              </w:rPr>
              <w:t>AGAM</w:t>
            </w:r>
            <w:r w:rsidR="00FB025A">
              <w:rPr>
                <w:rFonts w:eastAsia="SimSun"/>
              </w:rPr>
              <w:t>–</w:t>
            </w:r>
            <w:r w:rsidRPr="002E2945">
              <w:rPr>
                <w:rFonts w:eastAsia="SimSun"/>
              </w:rPr>
              <w:t>T013-16</w:t>
            </w:r>
          </w:p>
        </w:tc>
        <w:tc>
          <w:tcPr>
            <w:tcW w:w="4678" w:type="dxa"/>
          </w:tcPr>
          <w:p w14:paraId="000911CA" w14:textId="0EDA452A" w:rsidR="00A65212" w:rsidRPr="002E2945" w:rsidRDefault="00A65212" w:rsidP="00FB025A">
            <w:pPr>
              <w:pStyle w:val="TableBodyText"/>
              <w:rPr>
                <w:rFonts w:eastAsia="SimSun"/>
              </w:rPr>
            </w:pPr>
            <w:r w:rsidRPr="002E2945">
              <w:rPr>
                <w:rFonts w:eastAsia="SimSun"/>
              </w:rPr>
              <w:t xml:space="preserve">Continuous; reported as mean value in each wheel path per </w:t>
            </w:r>
            <w:r w:rsidR="009840D4">
              <w:rPr>
                <w:rFonts w:eastAsia="SimSun"/>
              </w:rPr>
              <w:t>L</w:t>
            </w:r>
            <w:r w:rsidR="009840D4" w:rsidRPr="002E2945">
              <w:rPr>
                <w:rFonts w:eastAsia="SimSun"/>
              </w:rPr>
              <w:t>ot</w:t>
            </w:r>
          </w:p>
        </w:tc>
      </w:tr>
      <w:tr w:rsidR="00FB025A" w:rsidRPr="002E2945" w14:paraId="789D9E62" w14:textId="77777777" w:rsidTr="00D9206B">
        <w:tc>
          <w:tcPr>
            <w:tcW w:w="2127" w:type="dxa"/>
          </w:tcPr>
          <w:p w14:paraId="2C0832F9" w14:textId="18B79FBA" w:rsidR="00FB025A" w:rsidRPr="002E2945" w:rsidRDefault="00FB025A" w:rsidP="00FB025A">
            <w:pPr>
              <w:pStyle w:val="TableBodyText"/>
              <w:rPr>
                <w:rFonts w:eastAsia="SimSun"/>
              </w:rPr>
            </w:pPr>
            <w:r>
              <w:rPr>
                <w:rFonts w:eastAsia="SimSun"/>
              </w:rPr>
              <w:t>Surface Texture Depth</w:t>
            </w:r>
          </w:p>
        </w:tc>
        <w:tc>
          <w:tcPr>
            <w:tcW w:w="2126" w:type="dxa"/>
          </w:tcPr>
          <w:p w14:paraId="51984D8D" w14:textId="2D7A98A0" w:rsidR="00FB025A" w:rsidRPr="00FB025A" w:rsidRDefault="00FB025A" w:rsidP="00FB025A">
            <w:pPr>
              <w:pStyle w:val="TableBodyText"/>
            </w:pPr>
            <w:r w:rsidRPr="00FB025A">
              <w:t>AGPT</w:t>
            </w:r>
            <w:r w:rsidR="00940D87">
              <w:t>–</w:t>
            </w:r>
            <w:r w:rsidRPr="00FB025A">
              <w:t xml:space="preserve">T250-08 </w:t>
            </w:r>
            <w:r w:rsidRPr="00FB025A">
              <w:rPr>
                <w:vertAlign w:val="superscript"/>
              </w:rPr>
              <w:t>(1)</w:t>
            </w:r>
          </w:p>
        </w:tc>
        <w:tc>
          <w:tcPr>
            <w:tcW w:w="4678" w:type="dxa"/>
          </w:tcPr>
          <w:p w14:paraId="5AE404EB" w14:textId="669C1247" w:rsidR="00FB025A" w:rsidRPr="00FB025A" w:rsidRDefault="00FB025A" w:rsidP="00FB025A">
            <w:pPr>
              <w:pStyle w:val="TableBodyText"/>
            </w:pPr>
            <w:r w:rsidRPr="00FB025A">
              <w:t xml:space="preserve">3 tests per </w:t>
            </w:r>
            <w:r w:rsidR="00940D87">
              <w:t>L</w:t>
            </w:r>
            <w:r w:rsidR="00940D87" w:rsidRPr="00FB025A">
              <w:t xml:space="preserve">ot </w:t>
            </w:r>
            <w:r w:rsidRPr="009840D4">
              <w:rPr>
                <w:vertAlign w:val="superscript"/>
              </w:rPr>
              <w:t>(2</w:t>
            </w:r>
            <w:r w:rsidRPr="009840D4">
              <w:rPr>
                <w:rFonts w:eastAsia="SimSun" w:cs="Arial"/>
                <w:sz w:val="18"/>
                <w:szCs w:val="18"/>
                <w:vertAlign w:val="superscript"/>
                <w:lang w:eastAsia="ja-JP"/>
              </w:rPr>
              <w:t>)</w:t>
            </w:r>
          </w:p>
        </w:tc>
      </w:tr>
    </w:tbl>
    <w:p w14:paraId="303A1525" w14:textId="4AB786F1" w:rsidR="009840D4" w:rsidRPr="009840D4" w:rsidRDefault="009840D4" w:rsidP="00940D87">
      <w:pPr>
        <w:pStyle w:val="NoteHeading"/>
      </w:pPr>
      <w:bookmarkStart w:id="31" w:name="_Toc25577079"/>
      <w:bookmarkStart w:id="32" w:name="_Ref15291808"/>
      <w:bookmarkEnd w:id="24"/>
      <w:bookmarkEnd w:id="25"/>
      <w:bookmarkEnd w:id="30"/>
      <w:r w:rsidRPr="009840D4">
        <w:t>Notes:</w:t>
      </w:r>
    </w:p>
    <w:p w14:paraId="652DC120" w14:textId="77777777" w:rsidR="009840D4" w:rsidRPr="009840D4" w:rsidRDefault="009840D4" w:rsidP="009840D4">
      <w:pPr>
        <w:pStyle w:val="Notes"/>
      </w:pPr>
      <w:r w:rsidRPr="009840D4">
        <w:t>An alternative test may be specified in the Contract.</w:t>
      </w:r>
    </w:p>
    <w:p w14:paraId="2756C936" w14:textId="35BF9282" w:rsidR="009840D4" w:rsidRPr="009840D4" w:rsidRDefault="009840D4" w:rsidP="009840D4">
      <w:pPr>
        <w:pStyle w:val="Notes"/>
      </w:pPr>
      <w:r w:rsidRPr="009840D4">
        <w:t>Where a lane is treated, one test must be conducted at each of the following locations:</w:t>
      </w:r>
    </w:p>
    <w:p w14:paraId="4771D543" w14:textId="77777777" w:rsidR="009840D4" w:rsidRPr="009840D4" w:rsidRDefault="009840D4" w:rsidP="009840D4">
      <w:pPr>
        <w:pStyle w:val="Notes"/>
        <w:numPr>
          <w:ilvl w:val="0"/>
          <w:numId w:val="0"/>
        </w:numPr>
        <w:ind w:left="425" w:firstLine="284"/>
      </w:pPr>
      <w:r w:rsidRPr="009840D4">
        <w:t>a)</w:t>
      </w:r>
      <w:r w:rsidRPr="009840D4">
        <w:tab/>
        <w:t xml:space="preserve">the left wheel </w:t>
      </w:r>
      <w:proofErr w:type="gramStart"/>
      <w:r w:rsidRPr="009840D4">
        <w:t>path;</w:t>
      </w:r>
      <w:proofErr w:type="gramEnd"/>
    </w:p>
    <w:p w14:paraId="750F5177" w14:textId="77777777" w:rsidR="009840D4" w:rsidRPr="009840D4" w:rsidRDefault="009840D4" w:rsidP="009840D4">
      <w:pPr>
        <w:pStyle w:val="Notes"/>
        <w:numPr>
          <w:ilvl w:val="0"/>
          <w:numId w:val="0"/>
        </w:numPr>
        <w:ind w:left="425" w:firstLine="284"/>
      </w:pPr>
      <w:r w:rsidRPr="009840D4">
        <w:t>b)</w:t>
      </w:r>
      <w:r w:rsidRPr="009840D4">
        <w:tab/>
        <w:t>the right wheel path; and</w:t>
      </w:r>
    </w:p>
    <w:p w14:paraId="67B5322C" w14:textId="3A6EF33F" w:rsidR="009840D4" w:rsidRDefault="009840D4" w:rsidP="009840D4">
      <w:pPr>
        <w:pStyle w:val="Notes"/>
        <w:numPr>
          <w:ilvl w:val="0"/>
          <w:numId w:val="0"/>
        </w:numPr>
        <w:ind w:left="425" w:firstLine="284"/>
      </w:pPr>
      <w:r w:rsidRPr="009840D4">
        <w:t>c)</w:t>
      </w:r>
      <w:r w:rsidRPr="009840D4">
        <w:tab/>
        <w:t>the mid-point of the left wheel path and the right wheel path.</w:t>
      </w:r>
    </w:p>
    <w:p w14:paraId="57880C56" w14:textId="1BB9529C" w:rsidR="009840D4" w:rsidRDefault="009840D4" w:rsidP="009840D4">
      <w:pPr>
        <w:pStyle w:val="Bodynumbered1"/>
      </w:pPr>
      <w:r w:rsidRPr="00DF6406">
        <w:t xml:space="preserve">Unless alternative values for </w:t>
      </w:r>
      <w:r>
        <w:t>C</w:t>
      </w:r>
      <w:r w:rsidRPr="00DF6406">
        <w:t xml:space="preserve">onforming and/or </w:t>
      </w:r>
      <w:r>
        <w:t>C</w:t>
      </w:r>
      <w:r w:rsidRPr="00DF6406">
        <w:t xml:space="preserve">onditionally </w:t>
      </w:r>
      <w:r>
        <w:t>C</w:t>
      </w:r>
      <w:r w:rsidRPr="00DF6406">
        <w:t>onforming Texture Depth are specified elsewhere in the Contract, the values specified in Table 7.5 will be used to determine whether the Works are Conforming, Conditionally Conforming or Non-conforming.</w:t>
      </w:r>
    </w:p>
    <w:p w14:paraId="2FA2EF88" w14:textId="60B1750C" w:rsidR="000B1E68" w:rsidRPr="00DF6406" w:rsidRDefault="000B1E68" w:rsidP="000B1E68">
      <w:pPr>
        <w:pStyle w:val="Caption"/>
      </w:pPr>
      <w:r w:rsidRPr="00334FEF">
        <w:t xml:space="preserve">Table </w:t>
      </w:r>
      <w:r w:rsidRPr="00334FEF">
        <w:fldChar w:fldCharType="begin"/>
      </w:r>
      <w:r w:rsidRPr="00334FEF">
        <w:instrText xml:space="preserve"> REF _Ref16244719 \r \h  \* MERGEFORMAT </w:instrText>
      </w:r>
      <w:r w:rsidRPr="00334FEF">
        <w:fldChar w:fldCharType="separate"/>
      </w:r>
      <w:r w:rsidRPr="00334FEF">
        <w:t>7.5</w:t>
      </w:r>
      <w:r w:rsidRPr="00334FEF">
        <w:fldChar w:fldCharType="end"/>
      </w:r>
      <w:r w:rsidR="0059043A">
        <w:t>:</w:t>
      </w:r>
      <w:r w:rsidR="00A61EA9">
        <w:tab/>
      </w:r>
      <w:r w:rsidR="00A61EA9" w:rsidRPr="00A61EA9">
        <w:t>Classification of Texture Depth</w:t>
      </w:r>
    </w:p>
    <w:tbl>
      <w:tblPr>
        <w:tblStyle w:val="TMTable"/>
        <w:tblW w:w="8931" w:type="dxa"/>
        <w:tblInd w:w="557" w:type="dxa"/>
        <w:tblLayout w:type="fixed"/>
        <w:tblLook w:val="04A0" w:firstRow="1" w:lastRow="0" w:firstColumn="1" w:lastColumn="0" w:noHBand="0" w:noVBand="1"/>
      </w:tblPr>
      <w:tblGrid>
        <w:gridCol w:w="1502"/>
        <w:gridCol w:w="1503"/>
        <w:gridCol w:w="1502"/>
        <w:gridCol w:w="1503"/>
        <w:gridCol w:w="1503"/>
        <w:gridCol w:w="1418"/>
      </w:tblGrid>
      <w:tr w:rsidR="000B1E68" w:rsidRPr="000B1E68" w14:paraId="7CF5E70B" w14:textId="77777777" w:rsidTr="000B1E68">
        <w:trPr>
          <w:cnfStyle w:val="100000000000" w:firstRow="1" w:lastRow="0" w:firstColumn="0" w:lastColumn="0" w:oddVBand="0" w:evenVBand="0" w:oddHBand="0" w:evenHBand="0" w:firstRowFirstColumn="0" w:firstRowLastColumn="0" w:lastRowFirstColumn="0" w:lastRowLastColumn="0"/>
        </w:trPr>
        <w:tc>
          <w:tcPr>
            <w:tcW w:w="7513" w:type="dxa"/>
            <w:gridSpan w:val="5"/>
            <w:vAlign w:val="center"/>
          </w:tcPr>
          <w:p w14:paraId="1A06F967" w14:textId="665BDE1C" w:rsidR="009840D4" w:rsidRPr="000B1E68" w:rsidRDefault="009840D4" w:rsidP="000B1E68">
            <w:pPr>
              <w:pStyle w:val="TableHeading"/>
              <w:jc w:val="center"/>
              <w:rPr>
                <w:rFonts w:eastAsia="Calibri"/>
                <w:b/>
                <w:bCs/>
                <w:snapToGrid w:val="0"/>
                <w:color w:val="auto"/>
              </w:rPr>
            </w:pPr>
            <w:r w:rsidRPr="000B1E68">
              <w:rPr>
                <w:rFonts w:eastAsia="Calibri"/>
                <w:b/>
                <w:bCs/>
                <w:snapToGrid w:val="0"/>
                <w:color w:val="auto"/>
              </w:rPr>
              <w:t>Mean Texture Depth (mm)</w:t>
            </w:r>
          </w:p>
        </w:tc>
        <w:tc>
          <w:tcPr>
            <w:tcW w:w="1418" w:type="dxa"/>
            <w:vMerge w:val="restart"/>
            <w:vAlign w:val="center"/>
          </w:tcPr>
          <w:p w14:paraId="189A9294" w14:textId="77777777" w:rsidR="009840D4" w:rsidRPr="000B1E68" w:rsidRDefault="009840D4" w:rsidP="000B1E68">
            <w:pPr>
              <w:pStyle w:val="TableHeading"/>
              <w:jc w:val="center"/>
              <w:rPr>
                <w:rFonts w:eastAsia="Calibri"/>
                <w:b/>
                <w:bCs/>
                <w:snapToGrid w:val="0"/>
                <w:color w:val="auto"/>
              </w:rPr>
            </w:pPr>
            <w:r w:rsidRPr="000B1E68">
              <w:rPr>
                <w:rFonts w:eastAsia="Calibri"/>
                <w:b/>
                <w:bCs/>
                <w:snapToGrid w:val="0"/>
                <w:color w:val="auto"/>
              </w:rPr>
              <w:t>Seal Treatment</w:t>
            </w:r>
          </w:p>
        </w:tc>
      </w:tr>
      <w:tr w:rsidR="000B1E68" w:rsidRPr="000B1E68" w14:paraId="0FBF0393" w14:textId="77777777" w:rsidTr="000B1E68">
        <w:tc>
          <w:tcPr>
            <w:tcW w:w="1502" w:type="dxa"/>
            <w:shd w:val="clear" w:color="auto" w:fill="BFBFBF" w:themeFill="background1" w:themeFillShade="BF"/>
            <w:vAlign w:val="center"/>
          </w:tcPr>
          <w:p w14:paraId="00AD8271" w14:textId="77777777" w:rsidR="009840D4" w:rsidRPr="000B1E68" w:rsidRDefault="009840D4" w:rsidP="000B1E68">
            <w:pPr>
              <w:pStyle w:val="TableHeading"/>
              <w:jc w:val="center"/>
              <w:rPr>
                <w:rFonts w:eastAsia="Calibri"/>
                <w:bCs/>
                <w:snapToGrid w:val="0"/>
                <w:color w:val="auto"/>
              </w:rPr>
            </w:pPr>
            <w:proofErr w:type="gramStart"/>
            <w:r w:rsidRPr="000B1E68">
              <w:rPr>
                <w:rFonts w:eastAsia="Calibri"/>
                <w:snapToGrid w:val="0"/>
                <w:color w:val="auto"/>
              </w:rPr>
              <w:t>Non -conforming</w:t>
            </w:r>
            <w:proofErr w:type="gramEnd"/>
          </w:p>
        </w:tc>
        <w:tc>
          <w:tcPr>
            <w:tcW w:w="1503" w:type="dxa"/>
            <w:shd w:val="clear" w:color="auto" w:fill="BFBFBF" w:themeFill="background1" w:themeFillShade="BF"/>
            <w:vAlign w:val="center"/>
          </w:tcPr>
          <w:p w14:paraId="1B71DCD4" w14:textId="7B98DEC1" w:rsidR="009840D4" w:rsidRPr="000B1E68" w:rsidRDefault="009840D4" w:rsidP="000B1E68">
            <w:pPr>
              <w:pStyle w:val="TableHeading"/>
              <w:jc w:val="center"/>
              <w:rPr>
                <w:rFonts w:eastAsia="Calibri"/>
                <w:bCs/>
                <w:snapToGrid w:val="0"/>
                <w:color w:val="auto"/>
              </w:rPr>
            </w:pPr>
            <w:r w:rsidRPr="000B1E68">
              <w:rPr>
                <w:rFonts w:eastAsia="Calibri"/>
                <w:snapToGrid w:val="0"/>
                <w:color w:val="auto"/>
              </w:rPr>
              <w:t>Conditionally conforming</w:t>
            </w:r>
          </w:p>
        </w:tc>
        <w:tc>
          <w:tcPr>
            <w:tcW w:w="1502" w:type="dxa"/>
            <w:shd w:val="clear" w:color="auto" w:fill="BFBFBF" w:themeFill="background1" w:themeFillShade="BF"/>
            <w:vAlign w:val="center"/>
          </w:tcPr>
          <w:p w14:paraId="7A317832" w14:textId="77777777" w:rsidR="009840D4" w:rsidRPr="000B1E68" w:rsidRDefault="009840D4" w:rsidP="000B1E68">
            <w:pPr>
              <w:pStyle w:val="TableHeading"/>
              <w:jc w:val="center"/>
              <w:rPr>
                <w:rFonts w:eastAsia="Calibri"/>
                <w:bCs/>
                <w:snapToGrid w:val="0"/>
                <w:color w:val="auto"/>
              </w:rPr>
            </w:pPr>
            <w:r w:rsidRPr="000B1E68">
              <w:rPr>
                <w:rFonts w:eastAsia="Calibri"/>
                <w:snapToGrid w:val="0"/>
                <w:color w:val="auto"/>
              </w:rPr>
              <w:t>Conforming</w:t>
            </w:r>
          </w:p>
        </w:tc>
        <w:tc>
          <w:tcPr>
            <w:tcW w:w="1503" w:type="dxa"/>
            <w:shd w:val="clear" w:color="auto" w:fill="BFBFBF" w:themeFill="background1" w:themeFillShade="BF"/>
            <w:vAlign w:val="center"/>
          </w:tcPr>
          <w:p w14:paraId="56DD10EF" w14:textId="32A68581" w:rsidR="009840D4" w:rsidRPr="000B1E68" w:rsidRDefault="009840D4" w:rsidP="000B1E68">
            <w:pPr>
              <w:pStyle w:val="TableHeading"/>
              <w:jc w:val="center"/>
              <w:rPr>
                <w:rFonts w:eastAsia="Calibri"/>
                <w:bCs/>
                <w:snapToGrid w:val="0"/>
                <w:color w:val="auto"/>
              </w:rPr>
            </w:pPr>
            <w:r w:rsidRPr="000B1E68">
              <w:rPr>
                <w:rFonts w:eastAsia="Calibri"/>
                <w:snapToGrid w:val="0"/>
                <w:color w:val="auto"/>
              </w:rPr>
              <w:t>Conditionally conforming</w:t>
            </w:r>
          </w:p>
        </w:tc>
        <w:tc>
          <w:tcPr>
            <w:tcW w:w="1503" w:type="dxa"/>
            <w:shd w:val="clear" w:color="auto" w:fill="BFBFBF" w:themeFill="background1" w:themeFillShade="BF"/>
            <w:vAlign w:val="center"/>
          </w:tcPr>
          <w:p w14:paraId="79DF7F4E" w14:textId="3CC092FF" w:rsidR="009840D4" w:rsidRPr="000B1E68" w:rsidRDefault="009840D4" w:rsidP="000B1E68">
            <w:pPr>
              <w:pStyle w:val="TableHeading"/>
              <w:jc w:val="center"/>
              <w:rPr>
                <w:rFonts w:eastAsia="Calibri"/>
                <w:bCs/>
                <w:snapToGrid w:val="0"/>
                <w:color w:val="auto"/>
              </w:rPr>
            </w:pPr>
            <w:r w:rsidRPr="000B1E68">
              <w:rPr>
                <w:rFonts w:eastAsia="Calibri"/>
                <w:snapToGrid w:val="0"/>
                <w:color w:val="auto"/>
              </w:rPr>
              <w:t>Non</w:t>
            </w:r>
            <w:r w:rsidR="00940D87" w:rsidRPr="000B1E68">
              <w:rPr>
                <w:rFonts w:eastAsia="Calibri"/>
                <w:snapToGrid w:val="0"/>
                <w:color w:val="auto"/>
              </w:rPr>
              <w:t>-</w:t>
            </w:r>
            <w:r w:rsidRPr="000B1E68">
              <w:rPr>
                <w:rFonts w:eastAsia="Calibri"/>
                <w:snapToGrid w:val="0"/>
                <w:color w:val="auto"/>
              </w:rPr>
              <w:t>conforming</w:t>
            </w:r>
          </w:p>
        </w:tc>
        <w:tc>
          <w:tcPr>
            <w:tcW w:w="1418" w:type="dxa"/>
            <w:vMerge/>
          </w:tcPr>
          <w:p w14:paraId="0E23D56A" w14:textId="77777777" w:rsidR="009840D4" w:rsidRPr="000B1E68" w:rsidRDefault="009840D4" w:rsidP="0034089F">
            <w:pPr>
              <w:jc w:val="center"/>
              <w:rPr>
                <w:rFonts w:eastAsia="Calibri" w:cs="Arial"/>
                <w:b/>
                <w:bCs/>
                <w:snapToGrid w:val="0"/>
                <w:szCs w:val="18"/>
              </w:rPr>
            </w:pPr>
          </w:p>
        </w:tc>
      </w:tr>
      <w:tr w:rsidR="009840D4" w:rsidRPr="00334FEF" w14:paraId="3F14BD98" w14:textId="77777777" w:rsidTr="000B1E68">
        <w:tc>
          <w:tcPr>
            <w:tcW w:w="1502" w:type="dxa"/>
          </w:tcPr>
          <w:p w14:paraId="3F56025D" w14:textId="1DCFEAB1" w:rsidR="009840D4" w:rsidRPr="00334FEF" w:rsidRDefault="009840D4" w:rsidP="00940D87">
            <w:pPr>
              <w:pStyle w:val="TableBodyText"/>
              <w:jc w:val="center"/>
              <w:rPr>
                <w:rFonts w:eastAsia="Calibri"/>
                <w:snapToGrid w:val="0"/>
              </w:rPr>
            </w:pPr>
            <w:r w:rsidRPr="00334FEF">
              <w:rPr>
                <w:rFonts w:eastAsia="Calibri"/>
                <w:snapToGrid w:val="0"/>
              </w:rPr>
              <w:t>&lt; 0.8</w:t>
            </w:r>
          </w:p>
        </w:tc>
        <w:tc>
          <w:tcPr>
            <w:tcW w:w="1503" w:type="dxa"/>
          </w:tcPr>
          <w:p w14:paraId="27A8AC6D" w14:textId="4C6B54CD" w:rsidR="009840D4" w:rsidRPr="00334FEF" w:rsidRDefault="009840D4" w:rsidP="00940D87">
            <w:pPr>
              <w:pStyle w:val="TableBodyText"/>
              <w:jc w:val="center"/>
              <w:rPr>
                <w:rFonts w:eastAsia="Calibri"/>
                <w:snapToGrid w:val="0"/>
              </w:rPr>
            </w:pPr>
            <w:r w:rsidRPr="00334FEF">
              <w:rPr>
                <w:rFonts w:eastAsia="Calibri"/>
                <w:snapToGrid w:val="0"/>
              </w:rPr>
              <w:t>0.8 to 1.0</w:t>
            </w:r>
          </w:p>
        </w:tc>
        <w:tc>
          <w:tcPr>
            <w:tcW w:w="1502" w:type="dxa"/>
            <w:hideMark/>
          </w:tcPr>
          <w:p w14:paraId="0CEB9496" w14:textId="77777777" w:rsidR="009840D4" w:rsidRPr="00334FEF" w:rsidRDefault="009840D4" w:rsidP="00940D87">
            <w:pPr>
              <w:pStyle w:val="TableBodyText"/>
              <w:jc w:val="center"/>
              <w:rPr>
                <w:rFonts w:eastAsia="Calibri"/>
                <w:snapToGrid w:val="0"/>
              </w:rPr>
            </w:pPr>
            <w:r w:rsidRPr="00334FEF">
              <w:rPr>
                <w:rFonts w:eastAsia="Calibri"/>
                <w:snapToGrid w:val="0"/>
              </w:rPr>
              <w:t>1.0 to 1.6</w:t>
            </w:r>
          </w:p>
        </w:tc>
        <w:tc>
          <w:tcPr>
            <w:tcW w:w="1503" w:type="dxa"/>
            <w:hideMark/>
          </w:tcPr>
          <w:p w14:paraId="44B000CE" w14:textId="77777777" w:rsidR="009840D4" w:rsidRPr="00334FEF" w:rsidRDefault="009840D4" w:rsidP="00940D87">
            <w:pPr>
              <w:pStyle w:val="TableBodyText"/>
              <w:jc w:val="center"/>
              <w:rPr>
                <w:rFonts w:eastAsia="Calibri"/>
                <w:snapToGrid w:val="0"/>
              </w:rPr>
            </w:pPr>
            <w:r w:rsidRPr="00334FEF">
              <w:rPr>
                <w:rFonts w:eastAsia="Calibri"/>
                <w:snapToGrid w:val="0"/>
              </w:rPr>
              <w:t>1.6 to 1.8</w:t>
            </w:r>
          </w:p>
        </w:tc>
        <w:tc>
          <w:tcPr>
            <w:tcW w:w="1503" w:type="dxa"/>
            <w:hideMark/>
          </w:tcPr>
          <w:p w14:paraId="2F1BAF29" w14:textId="77777777" w:rsidR="009840D4" w:rsidRPr="00334FEF" w:rsidRDefault="009840D4" w:rsidP="00940D87">
            <w:pPr>
              <w:pStyle w:val="TableBodyText"/>
              <w:jc w:val="center"/>
              <w:rPr>
                <w:rFonts w:eastAsia="Calibri"/>
                <w:snapToGrid w:val="0"/>
              </w:rPr>
            </w:pPr>
            <w:r w:rsidRPr="00334FEF">
              <w:rPr>
                <w:rFonts w:eastAsia="Calibri"/>
                <w:snapToGrid w:val="0"/>
              </w:rPr>
              <w:t>&gt; 1.8</w:t>
            </w:r>
          </w:p>
        </w:tc>
        <w:tc>
          <w:tcPr>
            <w:tcW w:w="1418" w:type="dxa"/>
            <w:hideMark/>
          </w:tcPr>
          <w:p w14:paraId="541B86F1" w14:textId="77777777" w:rsidR="009840D4" w:rsidRPr="00334FEF" w:rsidRDefault="009840D4" w:rsidP="00940D87">
            <w:pPr>
              <w:pStyle w:val="TableBodyText"/>
              <w:jc w:val="center"/>
              <w:rPr>
                <w:rFonts w:eastAsia="Calibri"/>
                <w:snapToGrid w:val="0"/>
              </w:rPr>
            </w:pPr>
            <w:r w:rsidRPr="00334FEF">
              <w:rPr>
                <w:rFonts w:eastAsia="Calibri"/>
                <w:b/>
                <w:snapToGrid w:val="0"/>
              </w:rPr>
              <w:t>Size 5</w:t>
            </w:r>
          </w:p>
        </w:tc>
      </w:tr>
      <w:tr w:rsidR="009840D4" w:rsidRPr="00334FEF" w14:paraId="6605740F" w14:textId="77777777" w:rsidTr="000B1E68">
        <w:tc>
          <w:tcPr>
            <w:tcW w:w="1502" w:type="dxa"/>
          </w:tcPr>
          <w:p w14:paraId="1798D714" w14:textId="4CA127C5" w:rsidR="009840D4" w:rsidRPr="00334FEF" w:rsidRDefault="009840D4" w:rsidP="00940D87">
            <w:pPr>
              <w:pStyle w:val="TableBodyText"/>
              <w:jc w:val="center"/>
              <w:rPr>
                <w:rFonts w:eastAsia="Calibri"/>
                <w:snapToGrid w:val="0"/>
              </w:rPr>
            </w:pPr>
            <w:r w:rsidRPr="00334FEF">
              <w:rPr>
                <w:rFonts w:eastAsia="Calibri"/>
                <w:snapToGrid w:val="0"/>
              </w:rPr>
              <w:t>&lt; 1.2</w:t>
            </w:r>
          </w:p>
        </w:tc>
        <w:tc>
          <w:tcPr>
            <w:tcW w:w="1503" w:type="dxa"/>
          </w:tcPr>
          <w:p w14:paraId="0A2A4D87" w14:textId="5D7F8E9A" w:rsidR="009840D4" w:rsidRPr="00334FEF" w:rsidRDefault="009840D4" w:rsidP="00940D87">
            <w:pPr>
              <w:pStyle w:val="TableBodyText"/>
              <w:jc w:val="center"/>
              <w:rPr>
                <w:rFonts w:eastAsia="Calibri"/>
                <w:snapToGrid w:val="0"/>
              </w:rPr>
            </w:pPr>
            <w:r w:rsidRPr="00334FEF">
              <w:rPr>
                <w:rFonts w:eastAsia="Calibri"/>
                <w:snapToGrid w:val="0"/>
              </w:rPr>
              <w:t>1.2 to 1.3</w:t>
            </w:r>
          </w:p>
        </w:tc>
        <w:tc>
          <w:tcPr>
            <w:tcW w:w="1502" w:type="dxa"/>
            <w:hideMark/>
          </w:tcPr>
          <w:p w14:paraId="13ECED5E" w14:textId="77777777" w:rsidR="009840D4" w:rsidRPr="00334FEF" w:rsidRDefault="009840D4" w:rsidP="00940D87">
            <w:pPr>
              <w:pStyle w:val="TableBodyText"/>
              <w:jc w:val="center"/>
              <w:rPr>
                <w:rFonts w:eastAsia="Calibri"/>
                <w:snapToGrid w:val="0"/>
              </w:rPr>
            </w:pPr>
            <w:r w:rsidRPr="00334FEF">
              <w:rPr>
                <w:rFonts w:eastAsia="Calibri"/>
                <w:snapToGrid w:val="0"/>
              </w:rPr>
              <w:t>1.3 to 1.8</w:t>
            </w:r>
          </w:p>
        </w:tc>
        <w:tc>
          <w:tcPr>
            <w:tcW w:w="1503" w:type="dxa"/>
            <w:hideMark/>
          </w:tcPr>
          <w:p w14:paraId="035AE0E8" w14:textId="77777777" w:rsidR="009840D4" w:rsidRPr="00334FEF" w:rsidRDefault="009840D4" w:rsidP="00940D87">
            <w:pPr>
              <w:pStyle w:val="TableBodyText"/>
              <w:jc w:val="center"/>
              <w:rPr>
                <w:rFonts w:eastAsia="Calibri"/>
                <w:snapToGrid w:val="0"/>
              </w:rPr>
            </w:pPr>
            <w:r w:rsidRPr="00334FEF">
              <w:rPr>
                <w:rFonts w:eastAsia="Calibri"/>
                <w:snapToGrid w:val="0"/>
              </w:rPr>
              <w:t>1.8 to 2.0</w:t>
            </w:r>
          </w:p>
        </w:tc>
        <w:tc>
          <w:tcPr>
            <w:tcW w:w="1503" w:type="dxa"/>
            <w:hideMark/>
          </w:tcPr>
          <w:p w14:paraId="5072C8C5" w14:textId="77777777" w:rsidR="009840D4" w:rsidRPr="00334FEF" w:rsidRDefault="009840D4" w:rsidP="00940D87">
            <w:pPr>
              <w:pStyle w:val="TableBodyText"/>
              <w:jc w:val="center"/>
              <w:rPr>
                <w:rFonts w:eastAsia="Calibri"/>
                <w:snapToGrid w:val="0"/>
              </w:rPr>
            </w:pPr>
            <w:r w:rsidRPr="00334FEF">
              <w:rPr>
                <w:rFonts w:eastAsia="Calibri"/>
                <w:snapToGrid w:val="0"/>
              </w:rPr>
              <w:t>&gt; 2.0</w:t>
            </w:r>
          </w:p>
        </w:tc>
        <w:tc>
          <w:tcPr>
            <w:tcW w:w="1418" w:type="dxa"/>
            <w:hideMark/>
          </w:tcPr>
          <w:p w14:paraId="5E8D1903" w14:textId="77777777" w:rsidR="009840D4" w:rsidRPr="00334FEF" w:rsidRDefault="009840D4" w:rsidP="00940D87">
            <w:pPr>
              <w:pStyle w:val="TableBodyText"/>
              <w:jc w:val="center"/>
              <w:rPr>
                <w:rFonts w:eastAsia="Calibri"/>
                <w:snapToGrid w:val="0"/>
              </w:rPr>
            </w:pPr>
            <w:r w:rsidRPr="00334FEF">
              <w:rPr>
                <w:rFonts w:eastAsia="Calibri"/>
                <w:b/>
                <w:snapToGrid w:val="0"/>
              </w:rPr>
              <w:t>Size 7</w:t>
            </w:r>
          </w:p>
        </w:tc>
      </w:tr>
      <w:tr w:rsidR="009840D4" w:rsidRPr="00334FEF" w14:paraId="377A813E" w14:textId="77777777" w:rsidTr="000B1E68">
        <w:tc>
          <w:tcPr>
            <w:tcW w:w="1502" w:type="dxa"/>
          </w:tcPr>
          <w:p w14:paraId="5E7D4048" w14:textId="018E8237" w:rsidR="009840D4" w:rsidRPr="00334FEF" w:rsidRDefault="009840D4" w:rsidP="00940D87">
            <w:pPr>
              <w:pStyle w:val="TableBodyText"/>
              <w:jc w:val="center"/>
              <w:rPr>
                <w:rFonts w:eastAsia="Calibri"/>
                <w:snapToGrid w:val="0"/>
              </w:rPr>
            </w:pPr>
            <w:r w:rsidRPr="00334FEF">
              <w:rPr>
                <w:rFonts w:eastAsia="Calibri"/>
                <w:snapToGrid w:val="0"/>
              </w:rPr>
              <w:t>&lt; 1.3</w:t>
            </w:r>
          </w:p>
        </w:tc>
        <w:tc>
          <w:tcPr>
            <w:tcW w:w="1503" w:type="dxa"/>
          </w:tcPr>
          <w:p w14:paraId="5DEE7B2B" w14:textId="53262A68" w:rsidR="009840D4" w:rsidRPr="00334FEF" w:rsidRDefault="009840D4" w:rsidP="00940D87">
            <w:pPr>
              <w:pStyle w:val="TableBodyText"/>
              <w:jc w:val="center"/>
              <w:rPr>
                <w:rFonts w:eastAsia="Calibri"/>
                <w:snapToGrid w:val="0"/>
              </w:rPr>
            </w:pPr>
            <w:r w:rsidRPr="00334FEF">
              <w:rPr>
                <w:rFonts w:eastAsia="Calibri"/>
                <w:snapToGrid w:val="0"/>
              </w:rPr>
              <w:t>1.3 to 1.5</w:t>
            </w:r>
          </w:p>
        </w:tc>
        <w:tc>
          <w:tcPr>
            <w:tcW w:w="1502" w:type="dxa"/>
            <w:hideMark/>
          </w:tcPr>
          <w:p w14:paraId="20F80F98" w14:textId="77777777" w:rsidR="009840D4" w:rsidRPr="00334FEF" w:rsidRDefault="009840D4" w:rsidP="00940D87">
            <w:pPr>
              <w:pStyle w:val="TableBodyText"/>
              <w:jc w:val="center"/>
              <w:rPr>
                <w:rFonts w:eastAsia="Calibri"/>
                <w:snapToGrid w:val="0"/>
              </w:rPr>
            </w:pPr>
            <w:r w:rsidRPr="00334FEF">
              <w:rPr>
                <w:rFonts w:eastAsia="Calibri"/>
                <w:snapToGrid w:val="0"/>
              </w:rPr>
              <w:t>1.5 to 2.5</w:t>
            </w:r>
          </w:p>
        </w:tc>
        <w:tc>
          <w:tcPr>
            <w:tcW w:w="1503" w:type="dxa"/>
            <w:hideMark/>
          </w:tcPr>
          <w:p w14:paraId="677AEE11" w14:textId="77777777" w:rsidR="009840D4" w:rsidRPr="00334FEF" w:rsidRDefault="009840D4" w:rsidP="00940D87">
            <w:pPr>
              <w:pStyle w:val="TableBodyText"/>
              <w:jc w:val="center"/>
              <w:rPr>
                <w:rFonts w:eastAsia="Calibri"/>
                <w:snapToGrid w:val="0"/>
              </w:rPr>
            </w:pPr>
            <w:r w:rsidRPr="00334FEF">
              <w:rPr>
                <w:rFonts w:eastAsia="Calibri"/>
                <w:snapToGrid w:val="0"/>
              </w:rPr>
              <w:t>2.5 to 3.0</w:t>
            </w:r>
          </w:p>
        </w:tc>
        <w:tc>
          <w:tcPr>
            <w:tcW w:w="1503" w:type="dxa"/>
            <w:hideMark/>
          </w:tcPr>
          <w:p w14:paraId="720BF6B0" w14:textId="77777777" w:rsidR="009840D4" w:rsidRPr="00334FEF" w:rsidRDefault="009840D4" w:rsidP="00940D87">
            <w:pPr>
              <w:pStyle w:val="TableBodyText"/>
              <w:jc w:val="center"/>
              <w:rPr>
                <w:rFonts w:eastAsia="Calibri"/>
                <w:snapToGrid w:val="0"/>
              </w:rPr>
            </w:pPr>
            <w:r w:rsidRPr="00334FEF">
              <w:rPr>
                <w:rFonts w:eastAsia="Calibri"/>
                <w:snapToGrid w:val="0"/>
              </w:rPr>
              <w:t>&gt; 3.0</w:t>
            </w:r>
          </w:p>
        </w:tc>
        <w:tc>
          <w:tcPr>
            <w:tcW w:w="1418" w:type="dxa"/>
            <w:hideMark/>
          </w:tcPr>
          <w:p w14:paraId="5003A916" w14:textId="77777777" w:rsidR="009840D4" w:rsidRPr="00334FEF" w:rsidRDefault="009840D4" w:rsidP="00940D87">
            <w:pPr>
              <w:pStyle w:val="TableBodyText"/>
              <w:jc w:val="center"/>
              <w:rPr>
                <w:rFonts w:eastAsia="Calibri"/>
                <w:snapToGrid w:val="0"/>
              </w:rPr>
            </w:pPr>
            <w:r w:rsidRPr="00334FEF">
              <w:rPr>
                <w:rFonts w:eastAsia="Calibri"/>
                <w:b/>
                <w:snapToGrid w:val="0"/>
              </w:rPr>
              <w:t>Size 10</w:t>
            </w:r>
          </w:p>
        </w:tc>
      </w:tr>
      <w:tr w:rsidR="009840D4" w:rsidRPr="00334FEF" w14:paraId="67821420" w14:textId="77777777" w:rsidTr="000B1E68">
        <w:tc>
          <w:tcPr>
            <w:tcW w:w="1502" w:type="dxa"/>
          </w:tcPr>
          <w:p w14:paraId="7840DD1B" w14:textId="7A35BAFC" w:rsidR="009840D4" w:rsidRPr="00334FEF" w:rsidRDefault="009840D4" w:rsidP="00940D87">
            <w:pPr>
              <w:pStyle w:val="TableBodyText"/>
              <w:jc w:val="center"/>
              <w:rPr>
                <w:rFonts w:eastAsia="Calibri"/>
                <w:snapToGrid w:val="0"/>
              </w:rPr>
            </w:pPr>
            <w:r w:rsidRPr="00334FEF">
              <w:rPr>
                <w:rFonts w:eastAsia="Calibri"/>
                <w:snapToGrid w:val="0"/>
              </w:rPr>
              <w:t>&lt; 1.7</w:t>
            </w:r>
          </w:p>
        </w:tc>
        <w:tc>
          <w:tcPr>
            <w:tcW w:w="1503" w:type="dxa"/>
          </w:tcPr>
          <w:p w14:paraId="25F28A4F" w14:textId="7A534DBB" w:rsidR="009840D4" w:rsidRPr="00334FEF" w:rsidRDefault="009840D4" w:rsidP="00940D87">
            <w:pPr>
              <w:pStyle w:val="TableBodyText"/>
              <w:jc w:val="center"/>
              <w:rPr>
                <w:rFonts w:eastAsia="Calibri"/>
                <w:snapToGrid w:val="0"/>
              </w:rPr>
            </w:pPr>
            <w:r w:rsidRPr="00334FEF">
              <w:rPr>
                <w:rFonts w:eastAsia="Calibri"/>
                <w:snapToGrid w:val="0"/>
              </w:rPr>
              <w:t>1.7 to 2.0</w:t>
            </w:r>
          </w:p>
        </w:tc>
        <w:tc>
          <w:tcPr>
            <w:tcW w:w="1502" w:type="dxa"/>
            <w:hideMark/>
          </w:tcPr>
          <w:p w14:paraId="64B0BE02" w14:textId="77777777" w:rsidR="009840D4" w:rsidRPr="00334FEF" w:rsidRDefault="009840D4" w:rsidP="00940D87">
            <w:pPr>
              <w:pStyle w:val="TableBodyText"/>
              <w:jc w:val="center"/>
              <w:rPr>
                <w:rFonts w:eastAsia="Calibri"/>
                <w:snapToGrid w:val="0"/>
              </w:rPr>
            </w:pPr>
            <w:r w:rsidRPr="00334FEF">
              <w:rPr>
                <w:rFonts w:eastAsia="Calibri"/>
                <w:snapToGrid w:val="0"/>
              </w:rPr>
              <w:t>2.0 to 4.0</w:t>
            </w:r>
          </w:p>
        </w:tc>
        <w:tc>
          <w:tcPr>
            <w:tcW w:w="1503" w:type="dxa"/>
            <w:hideMark/>
          </w:tcPr>
          <w:p w14:paraId="6B762D3D" w14:textId="77777777" w:rsidR="009840D4" w:rsidRPr="00334FEF" w:rsidRDefault="009840D4" w:rsidP="00940D87">
            <w:pPr>
              <w:pStyle w:val="TableBodyText"/>
              <w:jc w:val="center"/>
              <w:rPr>
                <w:rFonts w:eastAsia="Calibri"/>
                <w:snapToGrid w:val="0"/>
              </w:rPr>
            </w:pPr>
            <w:r w:rsidRPr="00334FEF">
              <w:rPr>
                <w:rFonts w:eastAsia="Calibri"/>
                <w:snapToGrid w:val="0"/>
              </w:rPr>
              <w:t>4.0 to 4.5</w:t>
            </w:r>
          </w:p>
        </w:tc>
        <w:tc>
          <w:tcPr>
            <w:tcW w:w="1503" w:type="dxa"/>
            <w:hideMark/>
          </w:tcPr>
          <w:p w14:paraId="2FB2672F" w14:textId="77777777" w:rsidR="009840D4" w:rsidRPr="00334FEF" w:rsidRDefault="009840D4" w:rsidP="00940D87">
            <w:pPr>
              <w:pStyle w:val="TableBodyText"/>
              <w:jc w:val="center"/>
              <w:rPr>
                <w:rFonts w:eastAsia="Calibri"/>
                <w:snapToGrid w:val="0"/>
              </w:rPr>
            </w:pPr>
            <w:r w:rsidRPr="00334FEF">
              <w:rPr>
                <w:rFonts w:eastAsia="Calibri"/>
                <w:snapToGrid w:val="0"/>
              </w:rPr>
              <w:t>&gt; 4.5</w:t>
            </w:r>
          </w:p>
        </w:tc>
        <w:tc>
          <w:tcPr>
            <w:tcW w:w="1418" w:type="dxa"/>
            <w:hideMark/>
          </w:tcPr>
          <w:p w14:paraId="6A2D50CF" w14:textId="77777777" w:rsidR="009840D4" w:rsidRPr="00334FEF" w:rsidRDefault="009840D4" w:rsidP="00940D87">
            <w:pPr>
              <w:pStyle w:val="TableBodyText"/>
              <w:jc w:val="center"/>
              <w:rPr>
                <w:rFonts w:eastAsia="Calibri"/>
                <w:snapToGrid w:val="0"/>
              </w:rPr>
            </w:pPr>
            <w:r w:rsidRPr="00334FEF">
              <w:rPr>
                <w:rFonts w:eastAsia="Calibri"/>
                <w:b/>
                <w:snapToGrid w:val="0"/>
              </w:rPr>
              <w:t>Size 14</w:t>
            </w:r>
          </w:p>
        </w:tc>
      </w:tr>
      <w:tr w:rsidR="009840D4" w:rsidRPr="00334FEF" w14:paraId="7B6F3BC1" w14:textId="77777777" w:rsidTr="000B1E68">
        <w:trPr>
          <w:trHeight w:val="382"/>
        </w:trPr>
        <w:tc>
          <w:tcPr>
            <w:tcW w:w="1502" w:type="dxa"/>
          </w:tcPr>
          <w:p w14:paraId="4CF05D9A" w14:textId="68D9E642" w:rsidR="009840D4" w:rsidRPr="00334FEF" w:rsidRDefault="009840D4" w:rsidP="00940D87">
            <w:pPr>
              <w:pStyle w:val="TableBodyText"/>
              <w:jc w:val="center"/>
              <w:rPr>
                <w:rFonts w:eastAsia="Calibri"/>
                <w:snapToGrid w:val="0"/>
              </w:rPr>
            </w:pPr>
            <w:r w:rsidRPr="00334FEF">
              <w:rPr>
                <w:rFonts w:eastAsia="Calibri"/>
                <w:snapToGrid w:val="0"/>
              </w:rPr>
              <w:t>&lt; 1.2</w:t>
            </w:r>
          </w:p>
        </w:tc>
        <w:tc>
          <w:tcPr>
            <w:tcW w:w="1503" w:type="dxa"/>
          </w:tcPr>
          <w:p w14:paraId="0FD5EB85" w14:textId="0A635E67" w:rsidR="009840D4" w:rsidRPr="00334FEF" w:rsidRDefault="009840D4" w:rsidP="00940D87">
            <w:pPr>
              <w:pStyle w:val="TableBodyText"/>
              <w:jc w:val="center"/>
              <w:rPr>
                <w:rFonts w:eastAsia="Calibri"/>
                <w:snapToGrid w:val="0"/>
              </w:rPr>
            </w:pPr>
            <w:r w:rsidRPr="00334FEF">
              <w:rPr>
                <w:rFonts w:eastAsia="Calibri"/>
                <w:snapToGrid w:val="0"/>
              </w:rPr>
              <w:t>1.2 to 1.3</w:t>
            </w:r>
          </w:p>
        </w:tc>
        <w:tc>
          <w:tcPr>
            <w:tcW w:w="1502" w:type="dxa"/>
            <w:hideMark/>
          </w:tcPr>
          <w:p w14:paraId="1CB8F7F4" w14:textId="77777777" w:rsidR="009840D4" w:rsidRPr="00334FEF" w:rsidRDefault="009840D4" w:rsidP="00940D87">
            <w:pPr>
              <w:pStyle w:val="TableBodyText"/>
              <w:jc w:val="center"/>
              <w:rPr>
                <w:rFonts w:eastAsia="Calibri"/>
                <w:snapToGrid w:val="0"/>
              </w:rPr>
            </w:pPr>
            <w:r w:rsidRPr="00334FEF">
              <w:rPr>
                <w:rFonts w:eastAsia="Calibri"/>
                <w:snapToGrid w:val="0"/>
              </w:rPr>
              <w:t>1.3 to 2.4</w:t>
            </w:r>
          </w:p>
        </w:tc>
        <w:tc>
          <w:tcPr>
            <w:tcW w:w="1503" w:type="dxa"/>
            <w:hideMark/>
          </w:tcPr>
          <w:p w14:paraId="7F0D0CAD" w14:textId="77777777" w:rsidR="009840D4" w:rsidRPr="00334FEF" w:rsidRDefault="009840D4" w:rsidP="00940D87">
            <w:pPr>
              <w:pStyle w:val="TableBodyText"/>
              <w:jc w:val="center"/>
              <w:rPr>
                <w:rFonts w:eastAsia="Calibri"/>
                <w:snapToGrid w:val="0"/>
              </w:rPr>
            </w:pPr>
            <w:r w:rsidRPr="00334FEF">
              <w:rPr>
                <w:rFonts w:eastAsia="Calibri"/>
                <w:snapToGrid w:val="0"/>
              </w:rPr>
              <w:t>2.4 to 2.7</w:t>
            </w:r>
          </w:p>
        </w:tc>
        <w:tc>
          <w:tcPr>
            <w:tcW w:w="1503" w:type="dxa"/>
            <w:hideMark/>
          </w:tcPr>
          <w:p w14:paraId="32AC3C2A" w14:textId="77777777" w:rsidR="009840D4" w:rsidRPr="00334FEF" w:rsidRDefault="009840D4" w:rsidP="00940D87">
            <w:pPr>
              <w:pStyle w:val="TableBodyText"/>
              <w:jc w:val="center"/>
              <w:rPr>
                <w:rFonts w:eastAsia="Calibri"/>
                <w:snapToGrid w:val="0"/>
              </w:rPr>
            </w:pPr>
            <w:r w:rsidRPr="00334FEF">
              <w:rPr>
                <w:rFonts w:eastAsia="Calibri"/>
                <w:snapToGrid w:val="0"/>
              </w:rPr>
              <w:t>&gt; 2.7</w:t>
            </w:r>
          </w:p>
        </w:tc>
        <w:tc>
          <w:tcPr>
            <w:tcW w:w="1418" w:type="dxa"/>
            <w:hideMark/>
          </w:tcPr>
          <w:p w14:paraId="148CDFB7" w14:textId="77777777" w:rsidR="009840D4" w:rsidRPr="00334FEF" w:rsidRDefault="009840D4" w:rsidP="00940D87">
            <w:pPr>
              <w:pStyle w:val="TableBodyText"/>
              <w:jc w:val="center"/>
              <w:rPr>
                <w:rFonts w:eastAsia="Calibri"/>
                <w:snapToGrid w:val="0"/>
              </w:rPr>
            </w:pPr>
            <w:r w:rsidRPr="00334FEF">
              <w:rPr>
                <w:rFonts w:eastAsia="Calibri"/>
                <w:b/>
                <w:snapToGrid w:val="0"/>
              </w:rPr>
              <w:t>Size 14/7</w:t>
            </w:r>
          </w:p>
        </w:tc>
      </w:tr>
    </w:tbl>
    <w:p w14:paraId="1CB6E26E" w14:textId="77777777" w:rsidR="00940D87" w:rsidRPr="00DF6406" w:rsidRDefault="00940D87" w:rsidP="00940D87">
      <w:pPr>
        <w:pStyle w:val="Heading2"/>
      </w:pPr>
      <w:bookmarkStart w:id="33" w:name="_Toc39841889"/>
      <w:r w:rsidRPr="00DF6406">
        <w:lastRenderedPageBreak/>
        <w:t>Aggregate Retention</w:t>
      </w:r>
      <w:bookmarkEnd w:id="33"/>
    </w:p>
    <w:p w14:paraId="7B3E3E0D" w14:textId="503499FB" w:rsidR="00940D87" w:rsidRDefault="00940D87" w:rsidP="0059043A">
      <w:pPr>
        <w:pStyle w:val="Bodynumbered1"/>
        <w:keepNext/>
      </w:pPr>
      <w:r w:rsidRPr="00DF6406">
        <w:t xml:space="preserve">The degree of aggregate retention is visually assessed. In marginal cases, the Principal may direct that nominated areas be tested in accordance with </w:t>
      </w:r>
      <w:r w:rsidRPr="00A61EA9">
        <w:t>AGPT</w:t>
      </w:r>
      <w:r w:rsidR="0059043A" w:rsidRPr="00A61EA9">
        <w:t>-T</w:t>
      </w:r>
      <w:r w:rsidR="00A61EA9" w:rsidRPr="00A61EA9">
        <w:t>254-20</w:t>
      </w:r>
      <w:r w:rsidR="00A61EA9">
        <w:t xml:space="preserve"> </w:t>
      </w:r>
      <w:r w:rsidRPr="00DF6406">
        <w:t>(or an equivalent test method for aggregate stripping) for assessment in accordance with Table 7.6.  Any such testing is at the Contractor’s expense.</w:t>
      </w:r>
    </w:p>
    <w:p w14:paraId="6FC24820" w14:textId="4E616BEE" w:rsidR="0059043A" w:rsidRPr="00DF6406" w:rsidRDefault="0059043A" w:rsidP="0059043A">
      <w:pPr>
        <w:pStyle w:val="Caption"/>
      </w:pPr>
      <w:r w:rsidRPr="00DE32FB">
        <w:t>Table </w:t>
      </w:r>
      <w:r w:rsidRPr="00DE32FB">
        <w:fldChar w:fldCharType="begin"/>
      </w:r>
      <w:r w:rsidRPr="00DE32FB">
        <w:instrText xml:space="preserve"> REF _Ref16249379 \r \h  \* MERGEFORMAT </w:instrText>
      </w:r>
      <w:r w:rsidRPr="00DE32FB">
        <w:fldChar w:fldCharType="separate"/>
      </w:r>
      <w:r w:rsidRPr="00DE32FB">
        <w:t>7.6</w:t>
      </w:r>
      <w:r w:rsidRPr="00DE32FB">
        <w:fldChar w:fldCharType="end"/>
      </w:r>
      <w:r>
        <w:t>:</w:t>
      </w:r>
      <w:r w:rsidR="00A61EA9">
        <w:tab/>
      </w:r>
      <w:r w:rsidR="00A61EA9" w:rsidRPr="00A61EA9">
        <w:t>Aggregate Stripping</w:t>
      </w:r>
    </w:p>
    <w:tbl>
      <w:tblPr>
        <w:tblStyle w:val="TMTable"/>
        <w:tblW w:w="8931" w:type="dxa"/>
        <w:tblInd w:w="557" w:type="dxa"/>
        <w:tblLayout w:type="fixed"/>
        <w:tblLook w:val="04A0" w:firstRow="1" w:lastRow="0" w:firstColumn="1" w:lastColumn="0" w:noHBand="0" w:noVBand="1"/>
      </w:tblPr>
      <w:tblGrid>
        <w:gridCol w:w="2268"/>
        <w:gridCol w:w="6663"/>
      </w:tblGrid>
      <w:tr w:rsidR="00940D87" w:rsidRPr="00DE32FB" w14:paraId="62C17675" w14:textId="77777777" w:rsidTr="00821A90">
        <w:trPr>
          <w:cnfStyle w:val="100000000000" w:firstRow="1" w:lastRow="0" w:firstColumn="0" w:lastColumn="0" w:oddVBand="0" w:evenVBand="0" w:oddHBand="0" w:evenHBand="0" w:firstRowFirstColumn="0" w:firstRowLastColumn="0" w:lastRowFirstColumn="0" w:lastRowLastColumn="0"/>
        </w:trPr>
        <w:tc>
          <w:tcPr>
            <w:tcW w:w="2268" w:type="dxa"/>
          </w:tcPr>
          <w:p w14:paraId="00F058BD" w14:textId="77777777" w:rsidR="00940D87" w:rsidRPr="0059043A" w:rsidRDefault="00940D87" w:rsidP="0059043A">
            <w:pPr>
              <w:pStyle w:val="TableHeading"/>
              <w:keepNext/>
              <w:rPr>
                <w:rFonts w:eastAsia="Times New Roman"/>
                <w:b/>
                <w:bCs/>
                <w:snapToGrid w:val="0"/>
                <w:color w:val="auto"/>
                <w:szCs w:val="20"/>
              </w:rPr>
            </w:pPr>
            <w:r w:rsidRPr="0059043A">
              <w:rPr>
                <w:rFonts w:eastAsia="SimSun"/>
                <w:b/>
                <w:bCs/>
                <w:color w:val="auto"/>
              </w:rPr>
              <w:t xml:space="preserve">Degree of Aggregate </w:t>
            </w:r>
            <w:proofErr w:type="gramStart"/>
            <w:r w:rsidRPr="0059043A">
              <w:rPr>
                <w:rFonts w:eastAsia="SimSun"/>
                <w:b/>
                <w:bCs/>
                <w:color w:val="auto"/>
              </w:rPr>
              <w:t>Stripping</w:t>
            </w:r>
            <w:r w:rsidRPr="0059043A">
              <w:rPr>
                <w:rFonts w:eastAsia="SimSun"/>
                <w:b/>
                <w:bCs/>
                <w:color w:val="auto"/>
                <w:vertAlign w:val="superscript"/>
              </w:rPr>
              <w:t>(</w:t>
            </w:r>
            <w:proofErr w:type="gramEnd"/>
            <w:r w:rsidRPr="0059043A">
              <w:rPr>
                <w:rFonts w:eastAsia="SimSun"/>
                <w:b/>
                <w:bCs/>
                <w:color w:val="auto"/>
                <w:vertAlign w:val="superscript"/>
              </w:rPr>
              <w:t>1)</w:t>
            </w:r>
          </w:p>
        </w:tc>
        <w:tc>
          <w:tcPr>
            <w:tcW w:w="6663" w:type="dxa"/>
            <w:vAlign w:val="center"/>
          </w:tcPr>
          <w:p w14:paraId="1F88EB8E" w14:textId="77777777" w:rsidR="00940D87" w:rsidRPr="0059043A" w:rsidRDefault="00940D87" w:rsidP="0059043A">
            <w:pPr>
              <w:pStyle w:val="TableHeading"/>
              <w:keepNext/>
              <w:rPr>
                <w:rFonts w:eastAsia="SimSun"/>
                <w:b/>
                <w:bCs/>
                <w:color w:val="auto"/>
              </w:rPr>
            </w:pPr>
            <w:r w:rsidRPr="0059043A">
              <w:rPr>
                <w:rFonts w:eastAsia="SimSun"/>
                <w:b/>
                <w:bCs/>
                <w:color w:val="auto"/>
              </w:rPr>
              <w:t>Classification</w:t>
            </w:r>
          </w:p>
        </w:tc>
      </w:tr>
      <w:tr w:rsidR="00940D87" w:rsidRPr="00DE32FB" w14:paraId="4EB528EA" w14:textId="77777777" w:rsidTr="00821A90">
        <w:tc>
          <w:tcPr>
            <w:tcW w:w="2268" w:type="dxa"/>
          </w:tcPr>
          <w:p w14:paraId="32EA63F9" w14:textId="77777777" w:rsidR="00940D87" w:rsidRPr="00DE32FB" w:rsidRDefault="00940D87" w:rsidP="0059043A">
            <w:pPr>
              <w:pStyle w:val="TableBodyText"/>
              <w:keepNext/>
              <w:rPr>
                <w:rFonts w:eastAsia="SimSun"/>
              </w:rPr>
            </w:pPr>
            <w:r w:rsidRPr="00DE32FB">
              <w:rPr>
                <w:rFonts w:eastAsia="SimSun"/>
              </w:rPr>
              <w:t>0 to 2</w:t>
            </w:r>
          </w:p>
        </w:tc>
        <w:tc>
          <w:tcPr>
            <w:tcW w:w="6663" w:type="dxa"/>
          </w:tcPr>
          <w:p w14:paraId="650A142F" w14:textId="77777777" w:rsidR="00940D87" w:rsidRPr="00DE32FB" w:rsidRDefault="00940D87" w:rsidP="0059043A">
            <w:pPr>
              <w:pStyle w:val="TableBodyText"/>
              <w:keepNext/>
              <w:rPr>
                <w:rFonts w:eastAsia="SimSun"/>
              </w:rPr>
            </w:pPr>
            <w:r w:rsidRPr="00DE32FB">
              <w:rPr>
                <w:rFonts w:eastAsia="SimSun"/>
              </w:rPr>
              <w:t>Conforming</w:t>
            </w:r>
          </w:p>
        </w:tc>
      </w:tr>
      <w:tr w:rsidR="00940D87" w:rsidRPr="00DE32FB" w14:paraId="188BD82C" w14:textId="77777777" w:rsidTr="00821A90">
        <w:tc>
          <w:tcPr>
            <w:tcW w:w="2268" w:type="dxa"/>
          </w:tcPr>
          <w:p w14:paraId="16EF6AAF" w14:textId="77777777" w:rsidR="00940D87" w:rsidRPr="00DE32FB" w:rsidRDefault="00940D87" w:rsidP="0059043A">
            <w:pPr>
              <w:pStyle w:val="TableBodyText"/>
              <w:keepNext/>
              <w:rPr>
                <w:rFonts w:eastAsia="SimSun"/>
              </w:rPr>
            </w:pPr>
            <w:r w:rsidRPr="00DE32FB">
              <w:rPr>
                <w:rFonts w:eastAsia="SimSun"/>
              </w:rPr>
              <w:t xml:space="preserve">3 to 5 </w:t>
            </w:r>
          </w:p>
        </w:tc>
        <w:tc>
          <w:tcPr>
            <w:tcW w:w="6663" w:type="dxa"/>
          </w:tcPr>
          <w:p w14:paraId="79DC6E99" w14:textId="2314EF5C" w:rsidR="00940D87" w:rsidRPr="00DE32FB" w:rsidRDefault="00940D87" w:rsidP="0059043A">
            <w:pPr>
              <w:pStyle w:val="TableBodyText"/>
              <w:keepNext/>
              <w:rPr>
                <w:rFonts w:eastAsia="SimSun"/>
              </w:rPr>
            </w:pPr>
            <w:r w:rsidRPr="00DE32FB">
              <w:rPr>
                <w:rFonts w:eastAsia="SimSun"/>
              </w:rPr>
              <w:t xml:space="preserve">Conditionally Conforming </w:t>
            </w:r>
            <w:r>
              <w:rPr>
                <w:rFonts w:eastAsia="SimSun"/>
              </w:rPr>
              <w:t>–</w:t>
            </w:r>
            <w:r w:rsidRPr="00DE32FB">
              <w:rPr>
                <w:rFonts w:eastAsia="SimSun"/>
              </w:rPr>
              <w:t xml:space="preserve"> The work is to be retested within one month prior to the end of the Defects Liability Period. If the Degree of Aggregate Stripping has increased since it was last tested, the work must be rectified before the end of the Defects Liability Period</w:t>
            </w:r>
          </w:p>
        </w:tc>
      </w:tr>
      <w:tr w:rsidR="00940D87" w:rsidRPr="00DE32FB" w14:paraId="46542719" w14:textId="77777777" w:rsidTr="00821A90">
        <w:tc>
          <w:tcPr>
            <w:tcW w:w="2268" w:type="dxa"/>
          </w:tcPr>
          <w:p w14:paraId="47F0DBBD" w14:textId="77777777" w:rsidR="00940D87" w:rsidRPr="00DE32FB" w:rsidRDefault="00940D87" w:rsidP="0059043A">
            <w:pPr>
              <w:pStyle w:val="TableBodyText"/>
              <w:keepNext/>
              <w:rPr>
                <w:rFonts w:eastAsia="SimSun"/>
              </w:rPr>
            </w:pPr>
            <w:r w:rsidRPr="00DE32FB">
              <w:rPr>
                <w:rFonts w:eastAsia="SimSun"/>
              </w:rPr>
              <w:t>Greater than 5</w:t>
            </w:r>
          </w:p>
        </w:tc>
        <w:tc>
          <w:tcPr>
            <w:tcW w:w="6663" w:type="dxa"/>
          </w:tcPr>
          <w:p w14:paraId="7E2AADA2" w14:textId="752F5EA8" w:rsidR="00940D87" w:rsidRPr="00DE32FB" w:rsidRDefault="00940D87" w:rsidP="0059043A">
            <w:pPr>
              <w:pStyle w:val="TableBodyText"/>
              <w:keepNext/>
              <w:rPr>
                <w:rFonts w:eastAsia="SimSun"/>
              </w:rPr>
            </w:pPr>
            <w:r w:rsidRPr="00DE32FB">
              <w:rPr>
                <w:rFonts w:eastAsia="SimSun"/>
              </w:rPr>
              <w:t>Non</w:t>
            </w:r>
            <w:r>
              <w:rPr>
                <w:rFonts w:eastAsia="SimSun"/>
              </w:rPr>
              <w:t>-</w:t>
            </w:r>
            <w:r w:rsidRPr="00DE32FB">
              <w:rPr>
                <w:rFonts w:eastAsia="SimSun"/>
              </w:rPr>
              <w:t xml:space="preserve">conforming </w:t>
            </w:r>
          </w:p>
        </w:tc>
      </w:tr>
    </w:tbl>
    <w:p w14:paraId="256CBEAE" w14:textId="77777777" w:rsidR="00940D87" w:rsidRPr="00DF6406" w:rsidRDefault="00940D87" w:rsidP="00940D87">
      <w:pPr>
        <w:pStyle w:val="NoteHeading"/>
      </w:pPr>
      <w:r w:rsidRPr="00DF6406">
        <w:t>Note:</w:t>
      </w:r>
    </w:p>
    <w:p w14:paraId="57DBCF75" w14:textId="40BFCB39" w:rsidR="00940D87" w:rsidRPr="00940D87" w:rsidRDefault="00940D87" w:rsidP="000E3FD7">
      <w:pPr>
        <w:pStyle w:val="Notes"/>
        <w:numPr>
          <w:ilvl w:val="0"/>
          <w:numId w:val="25"/>
        </w:numPr>
      </w:pPr>
      <w:r w:rsidRPr="00940D87">
        <w:t>Alternative values for conforming and / or conditionally conforming may be specified in the Contract</w:t>
      </w:r>
    </w:p>
    <w:p w14:paraId="427968BB" w14:textId="55B3C447" w:rsidR="008D01EF" w:rsidRPr="007501E1" w:rsidRDefault="00940D87" w:rsidP="007501E1">
      <w:pPr>
        <w:pStyle w:val="Heading2"/>
      </w:pPr>
      <w:bookmarkStart w:id="34" w:name="_Toc39841890"/>
      <w:bookmarkEnd w:id="20"/>
      <w:bookmarkEnd w:id="21"/>
      <w:bookmarkEnd w:id="31"/>
      <w:bookmarkEnd w:id="32"/>
      <w:r w:rsidRPr="007501E1">
        <w:t>Non</w:t>
      </w:r>
      <w:r w:rsidR="000C4621" w:rsidRPr="007501E1">
        <w:t>-</w:t>
      </w:r>
      <w:r w:rsidRPr="007501E1">
        <w:t xml:space="preserve">conforming </w:t>
      </w:r>
      <w:r w:rsidR="000C4621" w:rsidRPr="007501E1">
        <w:t>Work</w:t>
      </w:r>
      <w:bookmarkEnd w:id="34"/>
    </w:p>
    <w:p w14:paraId="6B55F00A" w14:textId="77777777" w:rsidR="000C4621" w:rsidRPr="00DF6406" w:rsidRDefault="000C4621" w:rsidP="000C4621">
      <w:pPr>
        <w:pStyle w:val="Bodynumbered1"/>
      </w:pPr>
      <w:r w:rsidRPr="00DF6406">
        <w:t>The retexturing treatment must not result in the road surface being damaged, which includes any of the following:</w:t>
      </w:r>
    </w:p>
    <w:p w14:paraId="5AE69250" w14:textId="59A5DD51" w:rsidR="000C4621" w:rsidRPr="000C4621" w:rsidRDefault="000C4621" w:rsidP="000E3FD7">
      <w:pPr>
        <w:pStyle w:val="Bodynumbered2"/>
        <w:numPr>
          <w:ilvl w:val="0"/>
          <w:numId w:val="26"/>
        </w:numPr>
      </w:pPr>
      <w:r w:rsidRPr="000C4621">
        <w:t xml:space="preserve">excessive removal of the </w:t>
      </w:r>
      <w:proofErr w:type="gramStart"/>
      <w:r w:rsidRPr="000C4621">
        <w:t>binder;</w:t>
      </w:r>
      <w:proofErr w:type="gramEnd"/>
    </w:p>
    <w:p w14:paraId="5A87E971" w14:textId="3D88AA9E" w:rsidR="000C4621" w:rsidRPr="000C4621" w:rsidRDefault="000C4621" w:rsidP="000E3FD7">
      <w:pPr>
        <w:pStyle w:val="Bodynumbered2"/>
        <w:numPr>
          <w:ilvl w:val="0"/>
          <w:numId w:val="26"/>
        </w:numPr>
      </w:pPr>
      <w:r w:rsidRPr="000C4621">
        <w:t xml:space="preserve">stripping of the sealing </w:t>
      </w:r>
      <w:proofErr w:type="gramStart"/>
      <w:r w:rsidRPr="000C4621">
        <w:t>aggregate;</w:t>
      </w:r>
      <w:proofErr w:type="gramEnd"/>
    </w:p>
    <w:p w14:paraId="2B1380D9" w14:textId="2DFE21F5" w:rsidR="000C4621" w:rsidRPr="000C4621" w:rsidRDefault="000C4621" w:rsidP="000E3FD7">
      <w:pPr>
        <w:pStyle w:val="Bodynumbered2"/>
        <w:numPr>
          <w:ilvl w:val="0"/>
          <w:numId w:val="26"/>
        </w:numPr>
      </w:pPr>
      <w:r w:rsidRPr="000C4621">
        <w:t>removal of the seal and underlying pavement layers; and</w:t>
      </w:r>
    </w:p>
    <w:p w14:paraId="2642D4C8" w14:textId="50F0F57B" w:rsidR="000C4621" w:rsidRPr="000C4621" w:rsidRDefault="000C4621" w:rsidP="000E3FD7">
      <w:pPr>
        <w:pStyle w:val="Bodynumbered2"/>
        <w:numPr>
          <w:ilvl w:val="0"/>
          <w:numId w:val="26"/>
        </w:numPr>
      </w:pPr>
      <w:r w:rsidRPr="000C4621">
        <w:t>scouring damage to underlying pavement layers or other base materials.</w:t>
      </w:r>
    </w:p>
    <w:p w14:paraId="6CE9CF3A" w14:textId="77777777" w:rsidR="000C4621" w:rsidRPr="000C4621" w:rsidRDefault="000C4621" w:rsidP="000C4621">
      <w:pPr>
        <w:pStyle w:val="Bodynumbered1"/>
      </w:pPr>
      <w:r w:rsidRPr="000C4621">
        <w:t>The Contractor must rectify any damaged pavement or any area with a texture depth or aggregate stripping outside the limits specified in Table 7.5 and Table 7.6 respectively (including at the overlap of treatment runs).</w:t>
      </w:r>
    </w:p>
    <w:p w14:paraId="37DC9A45" w14:textId="591CD95F" w:rsidR="000C4621" w:rsidRDefault="000C4621" w:rsidP="000C4621">
      <w:pPr>
        <w:pStyle w:val="Bodynumbered1"/>
      </w:pPr>
      <w:r w:rsidRPr="000C4621">
        <w:t>Rectification must be carried out within 5 working days unless resealing is required, in which case the resealing must be carried out as soon as practicable.</w:t>
      </w:r>
    </w:p>
    <w:tbl>
      <w:tblPr>
        <w:tblStyle w:val="TMTable1"/>
        <w:tblW w:w="9072" w:type="dxa"/>
        <w:tblInd w:w="557" w:type="dxa"/>
        <w:tblLook w:val="04A0" w:firstRow="1" w:lastRow="0" w:firstColumn="1" w:lastColumn="0" w:noHBand="0" w:noVBand="1"/>
      </w:tblPr>
      <w:tblGrid>
        <w:gridCol w:w="1985"/>
        <w:gridCol w:w="7087"/>
      </w:tblGrid>
      <w:tr w:rsidR="000C4621" w:rsidRPr="00F4166E" w14:paraId="033E547C" w14:textId="77777777" w:rsidTr="0034089F">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25172049" w14:textId="272E5892" w:rsidR="000C4621" w:rsidRPr="000C4621" w:rsidRDefault="000C4621" w:rsidP="000C4621">
            <w:pPr>
              <w:pStyle w:val="TableHeading"/>
              <w:rPr>
                <w:b/>
                <w:bCs/>
              </w:rPr>
            </w:pPr>
            <w:r w:rsidRPr="000C4621">
              <w:rPr>
                <w:b/>
                <w:bCs/>
              </w:rPr>
              <w:t>HOLD POINT 3</w:t>
            </w:r>
          </w:p>
        </w:tc>
      </w:tr>
      <w:tr w:rsidR="000C4621" w:rsidRPr="00F4166E" w14:paraId="6045CB2E" w14:textId="77777777" w:rsidTr="0034089F">
        <w:tc>
          <w:tcPr>
            <w:tcW w:w="1985" w:type="dxa"/>
            <w:tcBorders>
              <w:bottom w:val="single" w:sz="4" w:space="0" w:color="FFFFFF" w:themeColor="background1"/>
            </w:tcBorders>
            <w:hideMark/>
          </w:tcPr>
          <w:p w14:paraId="093BC2DC" w14:textId="77777777" w:rsidR="000C4621" w:rsidRPr="00F4166E" w:rsidRDefault="000C4621" w:rsidP="000C4621">
            <w:pPr>
              <w:pStyle w:val="TableBodyText"/>
              <w:rPr>
                <w:rFonts w:cstheme="minorBidi"/>
                <w:b/>
              </w:rPr>
            </w:pPr>
            <w:r w:rsidRPr="00F4166E">
              <w:t>Process Held</w:t>
            </w:r>
          </w:p>
        </w:tc>
        <w:tc>
          <w:tcPr>
            <w:tcW w:w="7087" w:type="dxa"/>
            <w:tcBorders>
              <w:bottom w:val="single" w:sz="4" w:space="0" w:color="FFFFFF" w:themeColor="background1"/>
            </w:tcBorders>
            <w:hideMark/>
          </w:tcPr>
          <w:p w14:paraId="54AF3309" w14:textId="77777777" w:rsidR="000C4621" w:rsidRPr="00F4166E" w:rsidRDefault="000C4621" w:rsidP="000C4621">
            <w:pPr>
              <w:pStyle w:val="TableBodyText"/>
              <w:rPr>
                <w:b/>
              </w:rPr>
            </w:pPr>
            <w:r w:rsidRPr="007328B2">
              <w:t>Rectification of defective work</w:t>
            </w:r>
            <w:r w:rsidRPr="00F4166E">
              <w:t>.</w:t>
            </w:r>
          </w:p>
        </w:tc>
      </w:tr>
      <w:tr w:rsidR="000C4621" w:rsidRPr="00F4166E" w14:paraId="5C373AB8" w14:textId="77777777" w:rsidTr="0034089F">
        <w:tc>
          <w:tcPr>
            <w:tcW w:w="1985" w:type="dxa"/>
            <w:tcBorders>
              <w:bottom w:val="single" w:sz="4" w:space="0" w:color="FFFFFF" w:themeColor="background1"/>
            </w:tcBorders>
            <w:hideMark/>
          </w:tcPr>
          <w:p w14:paraId="70909C58" w14:textId="77777777" w:rsidR="000C4621" w:rsidRPr="00F4166E" w:rsidRDefault="000C4621" w:rsidP="000C4621">
            <w:pPr>
              <w:pStyle w:val="TableBodyText"/>
            </w:pPr>
            <w:r w:rsidRPr="00F4166E">
              <w:t>Submission Details</w:t>
            </w:r>
          </w:p>
        </w:tc>
        <w:tc>
          <w:tcPr>
            <w:tcW w:w="7087" w:type="dxa"/>
            <w:tcBorders>
              <w:bottom w:val="single" w:sz="4" w:space="0" w:color="FFFFFF" w:themeColor="background1"/>
            </w:tcBorders>
            <w:hideMark/>
          </w:tcPr>
          <w:p w14:paraId="76CAC6BD" w14:textId="77777777" w:rsidR="000C4621" w:rsidRPr="00F4166E" w:rsidRDefault="000C4621" w:rsidP="000C4621">
            <w:pPr>
              <w:pStyle w:val="TableBodyText"/>
            </w:pPr>
            <w:r w:rsidRPr="007328B2">
              <w:t>Proposed method of rectifying the defective work</w:t>
            </w:r>
            <w:r w:rsidRPr="00F4166E">
              <w:t>.</w:t>
            </w:r>
          </w:p>
        </w:tc>
      </w:tr>
    </w:tbl>
    <w:p w14:paraId="691843D9" w14:textId="5991AEB6" w:rsidR="008D01EF" w:rsidRDefault="000C4621" w:rsidP="003E31BA">
      <w:pPr>
        <w:pStyle w:val="Heading1"/>
      </w:pPr>
      <w:bookmarkStart w:id="35" w:name="13.1_General"/>
      <w:bookmarkStart w:id="36" w:name="13.2_Test_and_Inspection_Reports"/>
      <w:bookmarkStart w:id="37" w:name="_Toc39841891"/>
      <w:bookmarkEnd w:id="35"/>
      <w:bookmarkEnd w:id="36"/>
      <w:r>
        <w:lastRenderedPageBreak/>
        <w:t>Waste Management</w:t>
      </w:r>
      <w:bookmarkEnd w:id="37"/>
    </w:p>
    <w:bookmarkEnd w:id="22"/>
    <w:p w14:paraId="6937B191" w14:textId="77777777" w:rsidR="000C4621" w:rsidRPr="00DF6406" w:rsidRDefault="000C4621" w:rsidP="0059043A">
      <w:pPr>
        <w:pStyle w:val="Bodynumbered1"/>
        <w:keepNext/>
      </w:pPr>
      <w:r w:rsidRPr="00DF6406">
        <w:t>The Contractor owns all waste material generated by the treatment and must dispose of the waste in accordance with any applicable environmental legislation.</w:t>
      </w:r>
    </w:p>
    <w:p w14:paraId="18A3EB1C" w14:textId="77777777" w:rsidR="000C4621" w:rsidRPr="00DF6406" w:rsidRDefault="000C4621" w:rsidP="0059043A">
      <w:pPr>
        <w:pStyle w:val="Bodynumbered1"/>
        <w:keepNext/>
      </w:pPr>
      <w:r w:rsidRPr="00DF6406">
        <w:t>Liquid waste must be disposed of at a treatment plant registered by the applicable environmental authority to accept the type of waste generated.</w:t>
      </w:r>
    </w:p>
    <w:p w14:paraId="637F4612" w14:textId="77777777" w:rsidR="000C4621" w:rsidRPr="00DF6406" w:rsidRDefault="000C4621" w:rsidP="0059043A">
      <w:pPr>
        <w:pStyle w:val="Bodynumbered1"/>
        <w:keepNext/>
      </w:pPr>
      <w:r w:rsidRPr="00DF6406">
        <w:t xml:space="preserve">Solid waste must be disposed of at a waste facility licensed to accept the type of waste material generated. </w:t>
      </w:r>
    </w:p>
    <w:p w14:paraId="24B00385" w14:textId="77777777" w:rsidR="000C4621" w:rsidRPr="00DF6406" w:rsidRDefault="000C4621" w:rsidP="000C4621">
      <w:pPr>
        <w:pStyle w:val="Bodynumbered1"/>
      </w:pPr>
      <w:r w:rsidRPr="00DF6406">
        <w:t>Subject to satisfying all applicable environmental requirements, the solid waste may remain at the site for a period not exceeding 7 days prior to disposal.</w:t>
      </w:r>
    </w:p>
    <w:p w14:paraId="13A6751B" w14:textId="4DF3DD1B" w:rsidR="00DD35F9" w:rsidRDefault="000C4621" w:rsidP="000C4621">
      <w:pPr>
        <w:pStyle w:val="Bodynumbered1"/>
      </w:pPr>
      <w:r w:rsidRPr="00DF6406">
        <w:t xml:space="preserve">The Contractor must provide records/certification </w:t>
      </w:r>
      <w:r>
        <w:t>provi</w:t>
      </w:r>
      <w:r w:rsidRPr="00DF6406">
        <w:t>ng that the waste has been disposed of at a waste management facility in accordance with applicable environmental legislation. The records/certification must include date, quantity and nature of the disposed material and contact details of the facility.</w:t>
      </w:r>
    </w:p>
    <w:p w14:paraId="112EB765" w14:textId="77777777" w:rsidR="000C4621" w:rsidRPr="00DF6406" w:rsidRDefault="000C4621" w:rsidP="000C4621">
      <w:pPr>
        <w:pStyle w:val="Heading1"/>
      </w:pPr>
      <w:bookmarkStart w:id="38" w:name="_Toc36564629"/>
      <w:bookmarkStart w:id="39" w:name="_Toc39841892"/>
      <w:r w:rsidRPr="00DF6406">
        <w:t>Records</w:t>
      </w:r>
      <w:bookmarkEnd w:id="38"/>
      <w:bookmarkEnd w:id="39"/>
    </w:p>
    <w:p w14:paraId="483E4F38" w14:textId="77777777" w:rsidR="000C4621" w:rsidRPr="00DF6406" w:rsidRDefault="000C4621" w:rsidP="0059043A">
      <w:pPr>
        <w:pStyle w:val="Bodynumbered1"/>
        <w:keepNext/>
      </w:pPr>
      <w:r w:rsidRPr="00DF6406">
        <w:t>The Contractor must provide a Lot Package Report, which includes the following details, within 7</w:t>
      </w:r>
      <w:r>
        <w:t> </w:t>
      </w:r>
      <w:r w:rsidRPr="00DF6406">
        <w:t>days of completion of the Lot:</w:t>
      </w:r>
    </w:p>
    <w:p w14:paraId="1971F3A8" w14:textId="1FE30D96" w:rsidR="000C4621" w:rsidRPr="00CF24A6" w:rsidRDefault="000C4621" w:rsidP="000E3FD7">
      <w:pPr>
        <w:pStyle w:val="Bodynumbered2"/>
        <w:numPr>
          <w:ilvl w:val="0"/>
          <w:numId w:val="27"/>
        </w:numPr>
        <w:ind w:left="924" w:hanging="357"/>
      </w:pPr>
      <w:r w:rsidRPr="00CF24A6">
        <w:t>details of the location where the work is undertaken (such as road name, chainage, lane/carriageway identification</w:t>
      </w:r>
      <w:proofErr w:type="gramStart"/>
      <w:r w:rsidRPr="00CF24A6">
        <w:t>);</w:t>
      </w:r>
      <w:proofErr w:type="gramEnd"/>
    </w:p>
    <w:p w14:paraId="439D457A" w14:textId="191BE028" w:rsidR="000C4621" w:rsidRPr="00CF24A6" w:rsidRDefault="000C4621" w:rsidP="000E3FD7">
      <w:pPr>
        <w:pStyle w:val="Bodynumbered2"/>
        <w:numPr>
          <w:ilvl w:val="0"/>
          <w:numId w:val="27"/>
        </w:numPr>
        <w:ind w:left="924" w:hanging="357"/>
      </w:pPr>
      <w:r w:rsidRPr="00CF24A6">
        <w:t xml:space="preserve">date and start and finish </w:t>
      </w:r>
      <w:proofErr w:type="gramStart"/>
      <w:r w:rsidRPr="00CF24A6">
        <w:t>times;</w:t>
      </w:r>
      <w:proofErr w:type="gramEnd"/>
    </w:p>
    <w:p w14:paraId="037F442C" w14:textId="2BCB6042" w:rsidR="000C4621" w:rsidRPr="00CF24A6" w:rsidRDefault="000C4621" w:rsidP="000E3FD7">
      <w:pPr>
        <w:pStyle w:val="Bodynumbered2"/>
        <w:numPr>
          <w:ilvl w:val="0"/>
          <w:numId w:val="27"/>
        </w:numPr>
        <w:ind w:left="924" w:hanging="357"/>
      </w:pPr>
      <w:r w:rsidRPr="00CF24A6">
        <w:t xml:space="preserve">area of pavement treated in square </w:t>
      </w:r>
      <w:proofErr w:type="gramStart"/>
      <w:r w:rsidRPr="00CF24A6">
        <w:t>metres;</w:t>
      </w:r>
      <w:proofErr w:type="gramEnd"/>
    </w:p>
    <w:p w14:paraId="44670036" w14:textId="3FFC5E5C" w:rsidR="000C4621" w:rsidRPr="00CF24A6" w:rsidRDefault="000C4621" w:rsidP="000E3FD7">
      <w:pPr>
        <w:pStyle w:val="Bodynumbered2"/>
        <w:numPr>
          <w:ilvl w:val="0"/>
          <w:numId w:val="27"/>
        </w:numPr>
        <w:ind w:left="924" w:hanging="357"/>
      </w:pPr>
      <w:r w:rsidRPr="00CF24A6">
        <w:t xml:space="preserve">details of traffic control in </w:t>
      </w:r>
      <w:proofErr w:type="gramStart"/>
      <w:r w:rsidRPr="00CF24A6">
        <w:t>place;</w:t>
      </w:r>
      <w:proofErr w:type="gramEnd"/>
    </w:p>
    <w:p w14:paraId="3E7FE23F" w14:textId="0F48A9F4" w:rsidR="000C4621" w:rsidRPr="00CF24A6" w:rsidRDefault="000C4621" w:rsidP="000E3FD7">
      <w:pPr>
        <w:pStyle w:val="Bodynumbered2"/>
        <w:numPr>
          <w:ilvl w:val="0"/>
          <w:numId w:val="27"/>
        </w:numPr>
        <w:ind w:left="924" w:hanging="357"/>
      </w:pPr>
      <w:r w:rsidRPr="00CF24A6">
        <w:t xml:space="preserve">any non-conformances/defective </w:t>
      </w:r>
      <w:proofErr w:type="gramStart"/>
      <w:r w:rsidRPr="00CF24A6">
        <w:t>work;</w:t>
      </w:r>
      <w:proofErr w:type="gramEnd"/>
      <w:r w:rsidRPr="00CF24A6">
        <w:t xml:space="preserve"> </w:t>
      </w:r>
    </w:p>
    <w:p w14:paraId="4B17616E" w14:textId="55EE7FFB" w:rsidR="000C4621" w:rsidRPr="00CF24A6" w:rsidRDefault="000C4621" w:rsidP="000E3FD7">
      <w:pPr>
        <w:pStyle w:val="Bodynumbered2"/>
        <w:numPr>
          <w:ilvl w:val="0"/>
          <w:numId w:val="27"/>
        </w:numPr>
        <w:ind w:left="924" w:hanging="357"/>
      </w:pPr>
      <w:r w:rsidRPr="00CF24A6">
        <w:t xml:space="preserve">location and details of testing of the </w:t>
      </w:r>
      <w:proofErr w:type="gramStart"/>
      <w:r w:rsidRPr="00CF24A6">
        <w:t>Lot;</w:t>
      </w:r>
      <w:proofErr w:type="gramEnd"/>
      <w:r w:rsidRPr="00CF24A6">
        <w:t xml:space="preserve"> </w:t>
      </w:r>
    </w:p>
    <w:p w14:paraId="5B018AEE" w14:textId="0B1C9054" w:rsidR="000C4621" w:rsidRPr="00CF24A6" w:rsidRDefault="000C4621" w:rsidP="000E3FD7">
      <w:pPr>
        <w:pStyle w:val="Bodynumbered2"/>
        <w:numPr>
          <w:ilvl w:val="0"/>
          <w:numId w:val="27"/>
        </w:numPr>
        <w:ind w:left="924" w:hanging="357"/>
      </w:pPr>
      <w:r w:rsidRPr="00CF24A6">
        <w:t>details of the rectification of any non-conforming/defective work; and</w:t>
      </w:r>
    </w:p>
    <w:p w14:paraId="653BC1B9" w14:textId="61D99C16" w:rsidR="000C4621" w:rsidRPr="00CF24A6" w:rsidRDefault="000C4621" w:rsidP="000E3FD7">
      <w:pPr>
        <w:pStyle w:val="Bodynumbered2"/>
        <w:numPr>
          <w:ilvl w:val="0"/>
          <w:numId w:val="27"/>
        </w:numPr>
        <w:ind w:left="924" w:hanging="357"/>
      </w:pPr>
      <w:r w:rsidRPr="00CF24A6">
        <w:t>records of the waste disposal in accordance with Clause 8.5</w:t>
      </w:r>
      <w:r w:rsidR="00CF24A6">
        <w:t>.</w:t>
      </w:r>
    </w:p>
    <w:p w14:paraId="4083BA50" w14:textId="77777777" w:rsidR="000C4621" w:rsidRPr="00DF6406" w:rsidRDefault="000C4621" w:rsidP="000C4621">
      <w:pPr>
        <w:pStyle w:val="Bodynumbered1"/>
      </w:pPr>
      <w:r w:rsidRPr="00DF6406">
        <w:t xml:space="preserve">The Contractor must ensure that where a representative of the Principal is on site during </w:t>
      </w:r>
      <w:proofErr w:type="spellStart"/>
      <w:r w:rsidRPr="00DF6406">
        <w:t>waterblasting</w:t>
      </w:r>
      <w:proofErr w:type="spellEnd"/>
      <w:r w:rsidRPr="00DF6406">
        <w:t>, that representative is provided with a copy of the Job Completion Report and given the opportunity to acknowledge receipt of the report.</w:t>
      </w:r>
    </w:p>
    <w:p w14:paraId="2131DE6D" w14:textId="03716942" w:rsidR="000C4621" w:rsidRPr="000C4621" w:rsidRDefault="000C4621" w:rsidP="000C4621">
      <w:pPr>
        <w:pStyle w:val="Bodynumbered1"/>
        <w:rPr>
          <w:bCs/>
          <w:lang w:val="en-US"/>
        </w:rPr>
      </w:pPr>
      <w:r w:rsidRPr="00DF6406">
        <w:t>The Principal may provide a proforma for the Lot Package Report.</w:t>
      </w:r>
    </w:p>
    <w:p w14:paraId="7FBC97F5" w14:textId="36EA377B" w:rsidR="00A07FEF" w:rsidRPr="0059043A" w:rsidRDefault="00A07FEF" w:rsidP="00751F63">
      <w:pPr>
        <w:pStyle w:val="AnnexureHeading"/>
        <w:ind w:left="1843" w:hanging="1843"/>
      </w:pPr>
      <w:bookmarkStart w:id="40" w:name="_Toc26182495"/>
      <w:bookmarkStart w:id="41" w:name="_Toc39841893"/>
      <w:r w:rsidRPr="00751F63">
        <w:lastRenderedPageBreak/>
        <w:t>Annexure</w:t>
      </w:r>
      <w:r w:rsidRPr="0059043A">
        <w:t xml:space="preserve"> A:</w:t>
      </w:r>
      <w:r w:rsidRPr="0059043A">
        <w:tab/>
        <w:t>Summary of Hold Points, Witness Points and Records</w:t>
      </w:r>
      <w:bookmarkEnd w:id="40"/>
      <w:bookmarkEnd w:id="41"/>
    </w:p>
    <w:p w14:paraId="3A78DBB2" w14:textId="21B5ADDA" w:rsidR="00D3735D" w:rsidRPr="00AF622C" w:rsidRDefault="00CF24A6" w:rsidP="00D3735D">
      <w:pPr>
        <w:pStyle w:val="BodyText"/>
      </w:pPr>
      <w:r w:rsidRPr="00AF622C">
        <w:t xml:space="preserve">The following is a summary of the Witness Points/Hold Points that apply to this </w:t>
      </w:r>
      <w:r>
        <w:t>s</w:t>
      </w:r>
      <w:r w:rsidRPr="00AF622C">
        <w:t xml:space="preserve">pecification and the Records that the Contractor must submit to the Principal to demonstrate compliance with this </w:t>
      </w:r>
      <w:r>
        <w:t>s</w:t>
      </w:r>
      <w:r w:rsidRPr="00AF622C">
        <w:t>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129"/>
        <w:gridCol w:w="2268"/>
        <w:gridCol w:w="1843"/>
        <w:gridCol w:w="4394"/>
      </w:tblGrid>
      <w:tr w:rsidR="00A07FEF" w:rsidRPr="00D05512" w14:paraId="7D299462" w14:textId="77777777" w:rsidTr="0059043A">
        <w:trPr>
          <w:cnfStyle w:val="100000000000" w:firstRow="1" w:lastRow="0" w:firstColumn="0" w:lastColumn="0" w:oddVBand="0" w:evenVBand="0" w:oddHBand="0" w:evenHBand="0" w:firstRowFirstColumn="0" w:firstRowLastColumn="0" w:lastRowFirstColumn="0" w:lastRowLastColumn="0"/>
        </w:trPr>
        <w:tc>
          <w:tcPr>
            <w:tcW w:w="1129" w:type="dxa"/>
            <w:tcBorders>
              <w:top w:val="single" w:sz="4" w:space="0" w:color="FFFFFF" w:themeColor="background1"/>
            </w:tcBorders>
            <w:shd w:val="clear" w:color="auto" w:fill="004259"/>
          </w:tcPr>
          <w:p w14:paraId="5E88DB46" w14:textId="40C23806" w:rsidR="00A07FEF" w:rsidRPr="00A07FEF" w:rsidRDefault="00A07FEF" w:rsidP="00A07FEF">
            <w:pPr>
              <w:pStyle w:val="TableHeading"/>
              <w:rPr>
                <w:rFonts w:eastAsia="SimSun"/>
                <w:b/>
                <w:bCs/>
              </w:rPr>
            </w:pPr>
            <w:r w:rsidRPr="00A07FEF">
              <w:rPr>
                <w:rFonts w:eastAsia="SimSun"/>
                <w:b/>
                <w:bCs/>
              </w:rPr>
              <w:t>C</w:t>
            </w:r>
            <w:r w:rsidR="000B1E68">
              <w:rPr>
                <w:rFonts w:eastAsia="SimSun"/>
                <w:b/>
                <w:bCs/>
              </w:rPr>
              <w:t>lause</w:t>
            </w:r>
          </w:p>
        </w:tc>
        <w:tc>
          <w:tcPr>
            <w:tcW w:w="2268" w:type="dxa"/>
            <w:tcBorders>
              <w:top w:val="single" w:sz="4" w:space="0" w:color="FFFFFF" w:themeColor="background1"/>
            </w:tcBorders>
            <w:shd w:val="clear" w:color="auto" w:fill="004259"/>
          </w:tcPr>
          <w:p w14:paraId="4350ECB6" w14:textId="734ECF0A" w:rsidR="00A07FEF" w:rsidRPr="00A07FEF" w:rsidRDefault="00A07FEF" w:rsidP="00A07FEF">
            <w:pPr>
              <w:pStyle w:val="TableHeading"/>
              <w:rPr>
                <w:rFonts w:eastAsia="SimSun"/>
                <w:b/>
                <w:bCs/>
              </w:rPr>
            </w:pPr>
            <w:r w:rsidRPr="00A07FEF">
              <w:rPr>
                <w:rFonts w:eastAsia="SimSun"/>
                <w:b/>
                <w:bCs/>
              </w:rPr>
              <w:t>H</w:t>
            </w:r>
            <w:r w:rsidR="000B1E68">
              <w:rPr>
                <w:rFonts w:eastAsia="SimSun"/>
                <w:b/>
                <w:bCs/>
              </w:rPr>
              <w:t>old point</w:t>
            </w:r>
          </w:p>
        </w:tc>
        <w:tc>
          <w:tcPr>
            <w:tcW w:w="1843" w:type="dxa"/>
            <w:tcBorders>
              <w:top w:val="single" w:sz="4" w:space="0" w:color="FFFFFF" w:themeColor="background1"/>
            </w:tcBorders>
            <w:shd w:val="clear" w:color="auto" w:fill="004259"/>
          </w:tcPr>
          <w:p w14:paraId="1295EB9F" w14:textId="7FA290EF" w:rsidR="00A07FEF" w:rsidRPr="00A07FEF" w:rsidRDefault="000B1E68" w:rsidP="00A07FEF">
            <w:pPr>
              <w:pStyle w:val="TableHeading"/>
              <w:rPr>
                <w:rFonts w:eastAsia="SimSun"/>
                <w:b/>
                <w:bCs/>
              </w:rPr>
            </w:pPr>
            <w:r>
              <w:rPr>
                <w:rFonts w:eastAsia="SimSun"/>
                <w:b/>
                <w:bCs/>
              </w:rPr>
              <w:t>Witness point</w:t>
            </w:r>
          </w:p>
        </w:tc>
        <w:tc>
          <w:tcPr>
            <w:tcW w:w="4394" w:type="dxa"/>
            <w:tcBorders>
              <w:top w:val="single" w:sz="4" w:space="0" w:color="FFFFFF" w:themeColor="background1"/>
            </w:tcBorders>
            <w:shd w:val="clear" w:color="auto" w:fill="004259"/>
          </w:tcPr>
          <w:p w14:paraId="1C7CDCA6" w14:textId="2B9D399A" w:rsidR="00A07FEF" w:rsidRPr="00A07FEF" w:rsidRDefault="000B1E68" w:rsidP="00A07FEF">
            <w:pPr>
              <w:pStyle w:val="TableHeading"/>
              <w:rPr>
                <w:rFonts w:eastAsia="SimSun"/>
                <w:b/>
                <w:bCs/>
              </w:rPr>
            </w:pPr>
            <w:r>
              <w:rPr>
                <w:rFonts w:eastAsia="SimSun"/>
                <w:b/>
                <w:bCs/>
              </w:rPr>
              <w:t>Record</w:t>
            </w:r>
          </w:p>
        </w:tc>
      </w:tr>
      <w:tr w:rsidR="00CF24A6" w:rsidRPr="00F70927" w14:paraId="21B450B6" w14:textId="77777777" w:rsidTr="0059043A">
        <w:tc>
          <w:tcPr>
            <w:tcW w:w="1129" w:type="dxa"/>
            <w:shd w:val="clear" w:color="auto" w:fill="D9D9D9" w:themeFill="background1" w:themeFillShade="D9"/>
          </w:tcPr>
          <w:p w14:paraId="3F2E69C4" w14:textId="1C43E76F" w:rsidR="00CF24A6" w:rsidRPr="00F70927" w:rsidRDefault="00CF24A6" w:rsidP="000B1E68">
            <w:pPr>
              <w:pStyle w:val="TableBodyText"/>
            </w:pPr>
            <w:r>
              <w:fldChar w:fldCharType="begin"/>
            </w:r>
            <w:r>
              <w:instrText xml:space="preserve"> REF _Ref9599800 \r \h  \* MERGEFORMAT </w:instrText>
            </w:r>
            <w:r>
              <w:fldChar w:fldCharType="separate"/>
            </w:r>
            <w:r>
              <w:t>4.1</w:t>
            </w:r>
            <w:r>
              <w:fldChar w:fldCharType="end"/>
            </w:r>
          </w:p>
        </w:tc>
        <w:tc>
          <w:tcPr>
            <w:tcW w:w="2268" w:type="dxa"/>
            <w:shd w:val="clear" w:color="auto" w:fill="D9D9D9" w:themeFill="background1" w:themeFillShade="D9"/>
          </w:tcPr>
          <w:p w14:paraId="729C48E9" w14:textId="203EFFD2" w:rsidR="00CF24A6" w:rsidRPr="00CF24A6" w:rsidRDefault="00CF24A6" w:rsidP="000B1E68">
            <w:pPr>
              <w:pStyle w:val="TableBodyText"/>
            </w:pPr>
            <w:r w:rsidRPr="00D03C9A">
              <w:t>Commencement of retexturing treatment.</w:t>
            </w:r>
          </w:p>
        </w:tc>
        <w:tc>
          <w:tcPr>
            <w:tcW w:w="1843" w:type="dxa"/>
            <w:shd w:val="clear" w:color="auto" w:fill="D9D9D9" w:themeFill="background1" w:themeFillShade="D9"/>
          </w:tcPr>
          <w:p w14:paraId="70A60223" w14:textId="77777777" w:rsidR="00CF24A6" w:rsidRPr="00F70927" w:rsidRDefault="00CF24A6" w:rsidP="000B1E68">
            <w:pPr>
              <w:pStyle w:val="TableBodyText"/>
            </w:pPr>
          </w:p>
        </w:tc>
        <w:tc>
          <w:tcPr>
            <w:tcW w:w="4394" w:type="dxa"/>
            <w:shd w:val="clear" w:color="auto" w:fill="D9D9D9" w:themeFill="background1" w:themeFillShade="D9"/>
          </w:tcPr>
          <w:p w14:paraId="2BACDD58" w14:textId="3FD178C4" w:rsidR="00CF24A6" w:rsidRPr="00CF24A6" w:rsidRDefault="00CF24A6" w:rsidP="000B1E68">
            <w:pPr>
              <w:pStyle w:val="TableBodyText"/>
            </w:pPr>
            <w:r w:rsidRPr="00CF24A6">
              <w:t>Quality Plan</w:t>
            </w:r>
          </w:p>
        </w:tc>
      </w:tr>
      <w:tr w:rsidR="00CF24A6" w:rsidRPr="00F70927" w14:paraId="6A9F5155" w14:textId="77777777" w:rsidTr="0059043A">
        <w:tc>
          <w:tcPr>
            <w:tcW w:w="1129" w:type="dxa"/>
            <w:shd w:val="clear" w:color="auto" w:fill="D9D9D9" w:themeFill="background1" w:themeFillShade="D9"/>
          </w:tcPr>
          <w:p w14:paraId="1D89247F" w14:textId="2518CF3E" w:rsidR="00CF24A6" w:rsidRPr="00F70927" w:rsidRDefault="00CF24A6" w:rsidP="000B1E68">
            <w:pPr>
              <w:pStyle w:val="TableBodyText"/>
            </w:pPr>
            <w:r>
              <w:t>5.4</w:t>
            </w:r>
          </w:p>
        </w:tc>
        <w:tc>
          <w:tcPr>
            <w:tcW w:w="2268" w:type="dxa"/>
            <w:shd w:val="clear" w:color="auto" w:fill="D9D9D9" w:themeFill="background1" w:themeFillShade="D9"/>
          </w:tcPr>
          <w:p w14:paraId="3149CF77" w14:textId="323A797E" w:rsidR="00CF24A6" w:rsidRPr="00CF24A6" w:rsidRDefault="00CF24A6" w:rsidP="000B1E68">
            <w:pPr>
              <w:pStyle w:val="TableBodyText"/>
            </w:pPr>
          </w:p>
        </w:tc>
        <w:tc>
          <w:tcPr>
            <w:tcW w:w="1843" w:type="dxa"/>
            <w:shd w:val="clear" w:color="auto" w:fill="D9D9D9" w:themeFill="background1" w:themeFillShade="D9"/>
          </w:tcPr>
          <w:p w14:paraId="77A8CBF6" w14:textId="77777777" w:rsidR="00CF24A6" w:rsidRPr="00F70927" w:rsidRDefault="00CF24A6" w:rsidP="000B1E68">
            <w:pPr>
              <w:pStyle w:val="TableBodyText"/>
            </w:pPr>
          </w:p>
        </w:tc>
        <w:tc>
          <w:tcPr>
            <w:tcW w:w="4394" w:type="dxa"/>
            <w:shd w:val="clear" w:color="auto" w:fill="D9D9D9" w:themeFill="background1" w:themeFillShade="D9"/>
          </w:tcPr>
          <w:p w14:paraId="21A5A45D" w14:textId="1F7635FE" w:rsidR="00CF24A6" w:rsidRPr="00CF24A6" w:rsidRDefault="00CF24A6" w:rsidP="000B1E68">
            <w:pPr>
              <w:pStyle w:val="TableBodyText"/>
            </w:pPr>
            <w:r w:rsidRPr="00CF24A6">
              <w:t>Any permits, licen</w:t>
            </w:r>
            <w:r>
              <w:t>c</w:t>
            </w:r>
            <w:r w:rsidRPr="00CF24A6">
              <w:t>es and records required for the supply of water.</w:t>
            </w:r>
          </w:p>
        </w:tc>
      </w:tr>
      <w:tr w:rsidR="00CF24A6" w:rsidRPr="00F70927" w14:paraId="6B2AAF5D" w14:textId="77777777" w:rsidTr="0059043A">
        <w:tc>
          <w:tcPr>
            <w:tcW w:w="1129" w:type="dxa"/>
            <w:shd w:val="clear" w:color="auto" w:fill="D9D9D9" w:themeFill="background1" w:themeFillShade="D9"/>
          </w:tcPr>
          <w:p w14:paraId="7D002A01" w14:textId="409AA3A9" w:rsidR="00CF24A6" w:rsidRDefault="00CF24A6" w:rsidP="000B1E68">
            <w:pPr>
              <w:pStyle w:val="TableBodyText"/>
            </w:pPr>
            <w:r>
              <w:t>6.3</w:t>
            </w:r>
          </w:p>
        </w:tc>
        <w:tc>
          <w:tcPr>
            <w:tcW w:w="2268" w:type="dxa"/>
            <w:shd w:val="clear" w:color="auto" w:fill="D9D9D9" w:themeFill="background1" w:themeFillShade="D9"/>
          </w:tcPr>
          <w:p w14:paraId="0A58596F" w14:textId="4FEF811B" w:rsidR="00CF24A6" w:rsidRPr="00F70927" w:rsidRDefault="00CF24A6" w:rsidP="000B1E68">
            <w:pPr>
              <w:pStyle w:val="TableBodyText"/>
            </w:pPr>
            <w:r w:rsidRPr="00CF24A6">
              <w:rPr>
                <w:rStyle w:val="TableBodyTextCharChar"/>
              </w:rPr>
              <w:t>Commencement of retexturing treatment</w:t>
            </w:r>
            <w:r w:rsidRPr="00D03C9A">
              <w:t>.</w:t>
            </w:r>
          </w:p>
        </w:tc>
        <w:tc>
          <w:tcPr>
            <w:tcW w:w="1843" w:type="dxa"/>
            <w:shd w:val="clear" w:color="auto" w:fill="D9D9D9" w:themeFill="background1" w:themeFillShade="D9"/>
          </w:tcPr>
          <w:p w14:paraId="7A6BAE8B" w14:textId="77777777" w:rsidR="00CF24A6" w:rsidRPr="00F70927" w:rsidRDefault="00CF24A6" w:rsidP="000B1E68">
            <w:pPr>
              <w:pStyle w:val="TableBodyText"/>
            </w:pPr>
          </w:p>
        </w:tc>
        <w:tc>
          <w:tcPr>
            <w:tcW w:w="4394" w:type="dxa"/>
            <w:shd w:val="clear" w:color="auto" w:fill="D9D9D9" w:themeFill="background1" w:themeFillShade="D9"/>
          </w:tcPr>
          <w:p w14:paraId="101405AE" w14:textId="3112D31F" w:rsidR="00CF24A6" w:rsidRPr="00CF24A6" w:rsidRDefault="00CF24A6" w:rsidP="000B1E68">
            <w:pPr>
              <w:pStyle w:val="TableBodyText"/>
            </w:pPr>
            <w:r w:rsidRPr="00CF24A6">
              <w:t xml:space="preserve">Test results showing that the trial </w:t>
            </w:r>
            <w:proofErr w:type="spellStart"/>
            <w:r w:rsidRPr="00CF24A6">
              <w:t>waterblasting</w:t>
            </w:r>
            <w:proofErr w:type="spellEnd"/>
            <w:r w:rsidRPr="00CF24A6">
              <w:t xml:space="preserve"> complies with this Specification</w:t>
            </w:r>
          </w:p>
        </w:tc>
      </w:tr>
      <w:tr w:rsidR="00CF24A6" w:rsidRPr="00F70927" w14:paraId="031739C2" w14:textId="77777777" w:rsidTr="0059043A">
        <w:tc>
          <w:tcPr>
            <w:tcW w:w="1129" w:type="dxa"/>
            <w:shd w:val="clear" w:color="auto" w:fill="D9D9D9" w:themeFill="background1" w:themeFillShade="D9"/>
          </w:tcPr>
          <w:p w14:paraId="4250F66C" w14:textId="1DF99BF1" w:rsidR="00CF24A6" w:rsidRDefault="00CF24A6" w:rsidP="000B1E68">
            <w:pPr>
              <w:pStyle w:val="TableBodyText"/>
            </w:pPr>
            <w:r>
              <w:t>7.8</w:t>
            </w:r>
          </w:p>
        </w:tc>
        <w:tc>
          <w:tcPr>
            <w:tcW w:w="2268" w:type="dxa"/>
            <w:shd w:val="clear" w:color="auto" w:fill="D9D9D9" w:themeFill="background1" w:themeFillShade="D9"/>
          </w:tcPr>
          <w:p w14:paraId="370A565E" w14:textId="78178905" w:rsidR="00CF24A6" w:rsidRPr="00F70927" w:rsidRDefault="00CF24A6" w:rsidP="000B1E68">
            <w:pPr>
              <w:pStyle w:val="TableBodyText"/>
            </w:pPr>
            <w:r w:rsidRPr="00D03C9A">
              <w:t>Rectification of defective work.</w:t>
            </w:r>
          </w:p>
        </w:tc>
        <w:tc>
          <w:tcPr>
            <w:tcW w:w="1843" w:type="dxa"/>
            <w:shd w:val="clear" w:color="auto" w:fill="D9D9D9" w:themeFill="background1" w:themeFillShade="D9"/>
          </w:tcPr>
          <w:p w14:paraId="22A0126A" w14:textId="77777777" w:rsidR="00CF24A6" w:rsidRPr="00F70927" w:rsidRDefault="00CF24A6" w:rsidP="000B1E68">
            <w:pPr>
              <w:pStyle w:val="TableBodyText"/>
            </w:pPr>
          </w:p>
        </w:tc>
        <w:tc>
          <w:tcPr>
            <w:tcW w:w="4394" w:type="dxa"/>
            <w:shd w:val="clear" w:color="auto" w:fill="D9D9D9" w:themeFill="background1" w:themeFillShade="D9"/>
          </w:tcPr>
          <w:p w14:paraId="71EF442C" w14:textId="07026AA6" w:rsidR="00CF24A6" w:rsidRPr="00CF24A6" w:rsidRDefault="00CF24A6" w:rsidP="000B1E68">
            <w:pPr>
              <w:pStyle w:val="TableBodyText"/>
            </w:pPr>
            <w:r w:rsidRPr="00CF24A6">
              <w:t>Proposed method of rectifying the defective work</w:t>
            </w:r>
          </w:p>
        </w:tc>
      </w:tr>
      <w:tr w:rsidR="00CF24A6" w:rsidRPr="00F70927" w14:paraId="5E8D1C90" w14:textId="77777777" w:rsidTr="0059043A">
        <w:tc>
          <w:tcPr>
            <w:tcW w:w="1129" w:type="dxa"/>
            <w:tcBorders>
              <w:bottom w:val="single" w:sz="4" w:space="0" w:color="FFFFFF" w:themeColor="background1"/>
            </w:tcBorders>
            <w:shd w:val="clear" w:color="auto" w:fill="D9D9D9" w:themeFill="background1" w:themeFillShade="D9"/>
          </w:tcPr>
          <w:p w14:paraId="014E4644" w14:textId="4FAE9780" w:rsidR="00CF24A6" w:rsidRDefault="00CF24A6" w:rsidP="000B1E68">
            <w:pPr>
              <w:pStyle w:val="TableBodyText"/>
            </w:pPr>
            <w:r>
              <w:t>8.5</w:t>
            </w:r>
          </w:p>
        </w:tc>
        <w:tc>
          <w:tcPr>
            <w:tcW w:w="2268" w:type="dxa"/>
            <w:tcBorders>
              <w:bottom w:val="single" w:sz="4" w:space="0" w:color="FFFFFF" w:themeColor="background1"/>
            </w:tcBorders>
            <w:shd w:val="clear" w:color="auto" w:fill="D9D9D9" w:themeFill="background1" w:themeFillShade="D9"/>
          </w:tcPr>
          <w:p w14:paraId="32EA4418" w14:textId="77777777" w:rsidR="00CF24A6" w:rsidRPr="00F70927" w:rsidRDefault="00CF24A6" w:rsidP="000B1E68">
            <w:pPr>
              <w:pStyle w:val="TableBodyText"/>
            </w:pPr>
          </w:p>
        </w:tc>
        <w:tc>
          <w:tcPr>
            <w:tcW w:w="1843" w:type="dxa"/>
            <w:tcBorders>
              <w:bottom w:val="single" w:sz="4" w:space="0" w:color="FFFFFF" w:themeColor="background1"/>
            </w:tcBorders>
            <w:shd w:val="clear" w:color="auto" w:fill="D9D9D9" w:themeFill="background1" w:themeFillShade="D9"/>
          </w:tcPr>
          <w:p w14:paraId="604318B2" w14:textId="77777777" w:rsidR="00CF24A6" w:rsidRPr="00F70927" w:rsidRDefault="00CF24A6" w:rsidP="000B1E68">
            <w:pPr>
              <w:pStyle w:val="TableBodyText"/>
            </w:pPr>
          </w:p>
        </w:tc>
        <w:tc>
          <w:tcPr>
            <w:tcW w:w="4394" w:type="dxa"/>
            <w:tcBorders>
              <w:bottom w:val="single" w:sz="4" w:space="0" w:color="FFFFFF" w:themeColor="background1"/>
            </w:tcBorders>
            <w:shd w:val="clear" w:color="auto" w:fill="D9D9D9" w:themeFill="background1" w:themeFillShade="D9"/>
          </w:tcPr>
          <w:p w14:paraId="0917510D" w14:textId="02C21556" w:rsidR="00CF24A6" w:rsidRPr="00CF24A6" w:rsidRDefault="00CF24A6" w:rsidP="000B1E68">
            <w:pPr>
              <w:pStyle w:val="TableBodyText"/>
            </w:pPr>
            <w:r w:rsidRPr="00CF24A6">
              <w:t>Record of disposal at waste facility</w:t>
            </w:r>
          </w:p>
        </w:tc>
      </w:tr>
      <w:tr w:rsidR="00CF24A6" w:rsidRPr="00F70927" w14:paraId="332AD401" w14:textId="77777777" w:rsidTr="0059043A">
        <w:tc>
          <w:tcPr>
            <w:tcW w:w="1129" w:type="dxa"/>
            <w:tcBorders>
              <w:top w:val="single" w:sz="4" w:space="0" w:color="FFFFFF" w:themeColor="background1"/>
              <w:bottom w:val="single" w:sz="8" w:space="0" w:color="004259"/>
            </w:tcBorders>
            <w:shd w:val="clear" w:color="auto" w:fill="D9D9D9" w:themeFill="background1" w:themeFillShade="D9"/>
          </w:tcPr>
          <w:p w14:paraId="59A8DA86" w14:textId="0F0504DA" w:rsidR="00CF24A6" w:rsidRDefault="00CF24A6" w:rsidP="000B1E68">
            <w:pPr>
              <w:pStyle w:val="TableBodyText"/>
            </w:pPr>
            <w:r>
              <w:t>9.1</w:t>
            </w:r>
          </w:p>
        </w:tc>
        <w:tc>
          <w:tcPr>
            <w:tcW w:w="2268" w:type="dxa"/>
            <w:tcBorders>
              <w:top w:val="single" w:sz="4" w:space="0" w:color="FFFFFF" w:themeColor="background1"/>
              <w:bottom w:val="single" w:sz="8" w:space="0" w:color="004259"/>
            </w:tcBorders>
            <w:shd w:val="clear" w:color="auto" w:fill="D9D9D9" w:themeFill="background1" w:themeFillShade="D9"/>
          </w:tcPr>
          <w:p w14:paraId="3DD42B89" w14:textId="77777777" w:rsidR="00CF24A6" w:rsidRPr="00F70927" w:rsidRDefault="00CF24A6" w:rsidP="000B1E68">
            <w:pPr>
              <w:pStyle w:val="TableBodyText"/>
            </w:pPr>
          </w:p>
        </w:tc>
        <w:tc>
          <w:tcPr>
            <w:tcW w:w="1843" w:type="dxa"/>
            <w:tcBorders>
              <w:top w:val="single" w:sz="4" w:space="0" w:color="FFFFFF" w:themeColor="background1"/>
              <w:bottom w:val="single" w:sz="8" w:space="0" w:color="004259"/>
            </w:tcBorders>
            <w:shd w:val="clear" w:color="auto" w:fill="D9D9D9" w:themeFill="background1" w:themeFillShade="D9"/>
          </w:tcPr>
          <w:p w14:paraId="0F96ECFB" w14:textId="77777777" w:rsidR="00CF24A6" w:rsidRPr="00F70927" w:rsidRDefault="00CF24A6" w:rsidP="000B1E68">
            <w:pPr>
              <w:pStyle w:val="TableBodyText"/>
            </w:pPr>
          </w:p>
        </w:tc>
        <w:tc>
          <w:tcPr>
            <w:tcW w:w="4394" w:type="dxa"/>
            <w:tcBorders>
              <w:top w:val="single" w:sz="4" w:space="0" w:color="FFFFFF" w:themeColor="background1"/>
              <w:bottom w:val="single" w:sz="8" w:space="0" w:color="004259"/>
            </w:tcBorders>
            <w:shd w:val="clear" w:color="auto" w:fill="D9D9D9" w:themeFill="background1" w:themeFillShade="D9"/>
          </w:tcPr>
          <w:p w14:paraId="2C0E143B" w14:textId="6AB92C1A" w:rsidR="00CF24A6" w:rsidRPr="00CF24A6" w:rsidRDefault="00CF24A6" w:rsidP="000B1E68">
            <w:pPr>
              <w:pStyle w:val="TableBodyText"/>
            </w:pPr>
            <w:r w:rsidRPr="00CF24A6">
              <w:t>Lot Package Report</w:t>
            </w:r>
          </w:p>
        </w:tc>
      </w:tr>
    </w:tbl>
    <w:p w14:paraId="5F9663BE" w14:textId="77777777" w:rsidR="00A07FEF" w:rsidRDefault="00A07FEF" w:rsidP="00A07FEF">
      <w:pPr>
        <w:ind w:left="851"/>
      </w:pPr>
    </w:p>
    <w:p w14:paraId="669F0CBD" w14:textId="1DDE8F11" w:rsidR="00AF1D72" w:rsidRPr="008C101C" w:rsidRDefault="00AF1D72" w:rsidP="00C668F6">
      <w:pPr>
        <w:pStyle w:val="Heading1nonumber"/>
        <w:pageBreakBefore/>
      </w:pPr>
      <w:r w:rsidRPr="008C101C">
        <w:lastRenderedPageBreak/>
        <w:t>Amendment Record</w:t>
      </w:r>
    </w:p>
    <w:tbl>
      <w:tblPr>
        <w:tblStyle w:val="TMTable"/>
        <w:tblW w:w="5000" w:type="pct"/>
        <w:tblLayout w:type="fixed"/>
        <w:tblLook w:val="01E0" w:firstRow="1" w:lastRow="1" w:firstColumn="1" w:lastColumn="1" w:noHBand="0" w:noVBand="0"/>
      </w:tblPr>
      <w:tblGrid>
        <w:gridCol w:w="1551"/>
        <w:gridCol w:w="4870"/>
        <w:gridCol w:w="1649"/>
        <w:gridCol w:w="1420"/>
      </w:tblGrid>
      <w:tr w:rsidR="00AF1D72" w:rsidRPr="00731EA0" w14:paraId="31CB915B" w14:textId="77777777" w:rsidTr="000B1E68">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77777777" w:rsidR="00AF1D72" w:rsidRPr="001B7F72" w:rsidRDefault="00AF1D72" w:rsidP="001B7F72">
            <w:pPr>
              <w:pStyle w:val="TableBodyText"/>
            </w:pPr>
            <w:r w:rsidRPr="001B7F72">
              <w:t>Amendment no.</w:t>
            </w:r>
          </w:p>
        </w:tc>
        <w:tc>
          <w:tcPr>
            <w:tcW w:w="2566" w:type="pct"/>
          </w:tcPr>
          <w:p w14:paraId="09845ABA" w14:textId="77777777" w:rsidR="00AF1D72" w:rsidRPr="001B7F72" w:rsidRDefault="00AF1D72" w:rsidP="001B7F72">
            <w:pPr>
              <w:pStyle w:val="TableBodyText"/>
            </w:pPr>
            <w:r w:rsidRPr="001B7F72">
              <w:t>Clauses amended</w:t>
            </w:r>
          </w:p>
        </w:tc>
        <w:tc>
          <w:tcPr>
            <w:tcW w:w="869" w:type="pct"/>
          </w:tcPr>
          <w:p w14:paraId="35993E27" w14:textId="77777777" w:rsidR="00AF1D72" w:rsidRPr="001B7F72" w:rsidRDefault="00AF1D72" w:rsidP="001B7F72">
            <w:pPr>
              <w:pStyle w:val="TableBodyText"/>
            </w:pPr>
            <w:r w:rsidRPr="001B7F72">
              <w:t>Action</w:t>
            </w:r>
          </w:p>
        </w:tc>
        <w:tc>
          <w:tcPr>
            <w:tcW w:w="748" w:type="pct"/>
          </w:tcPr>
          <w:p w14:paraId="52F23AEE" w14:textId="77777777" w:rsidR="00AF1D72" w:rsidRPr="001B7F72" w:rsidRDefault="00AF1D72" w:rsidP="001B7F72">
            <w:pPr>
              <w:pStyle w:val="TableBodyText"/>
            </w:pPr>
            <w:r w:rsidRPr="001B7F72">
              <w:t>Date</w:t>
            </w:r>
          </w:p>
        </w:tc>
      </w:tr>
      <w:tr w:rsidR="00AF1D72" w14:paraId="04352636" w14:textId="77777777" w:rsidTr="000B1E68">
        <w:tc>
          <w:tcPr>
            <w:tcW w:w="817" w:type="pct"/>
          </w:tcPr>
          <w:p w14:paraId="6994222E" w14:textId="483314A6" w:rsidR="00AF1D72" w:rsidRPr="00B23DC4" w:rsidRDefault="00C668F6" w:rsidP="00B23DC4">
            <w:pPr>
              <w:pStyle w:val="TableBodyText"/>
              <w:rPr>
                <w:sz w:val="18"/>
                <w:szCs w:val="18"/>
              </w:rPr>
            </w:pPr>
            <w:r>
              <w:rPr>
                <w:sz w:val="18"/>
                <w:szCs w:val="18"/>
              </w:rPr>
              <w:t>-</w:t>
            </w:r>
          </w:p>
        </w:tc>
        <w:tc>
          <w:tcPr>
            <w:tcW w:w="2566" w:type="pct"/>
          </w:tcPr>
          <w:p w14:paraId="72F01B8B" w14:textId="26E15D64" w:rsidR="00AF1D72" w:rsidRPr="00B23DC4" w:rsidRDefault="00B23DC4" w:rsidP="00B23DC4">
            <w:pPr>
              <w:pStyle w:val="TableBodyText"/>
              <w:rPr>
                <w:sz w:val="18"/>
                <w:szCs w:val="18"/>
              </w:rPr>
            </w:pPr>
            <w:r w:rsidRPr="00B23DC4">
              <w:rPr>
                <w:sz w:val="18"/>
                <w:szCs w:val="18"/>
              </w:rPr>
              <w:t>New specification</w:t>
            </w:r>
          </w:p>
        </w:tc>
        <w:tc>
          <w:tcPr>
            <w:tcW w:w="869" w:type="pct"/>
          </w:tcPr>
          <w:p w14:paraId="005DA5BA" w14:textId="4C62EA11" w:rsidR="00AF1D72" w:rsidRPr="00B23DC4" w:rsidRDefault="00C668F6" w:rsidP="00B23DC4">
            <w:pPr>
              <w:pStyle w:val="TableBodyText"/>
              <w:rPr>
                <w:sz w:val="18"/>
                <w:szCs w:val="18"/>
              </w:rPr>
            </w:pPr>
            <w:r>
              <w:rPr>
                <w:sz w:val="18"/>
                <w:szCs w:val="18"/>
              </w:rPr>
              <w:t>New</w:t>
            </w:r>
          </w:p>
        </w:tc>
        <w:tc>
          <w:tcPr>
            <w:tcW w:w="748" w:type="pct"/>
          </w:tcPr>
          <w:p w14:paraId="23AB785C" w14:textId="0BA21899" w:rsidR="00AF1D72" w:rsidRPr="00B23DC4" w:rsidRDefault="00D9206B" w:rsidP="00B23DC4">
            <w:pPr>
              <w:pStyle w:val="TableBodyText"/>
              <w:rPr>
                <w:sz w:val="18"/>
                <w:szCs w:val="18"/>
              </w:rPr>
            </w:pPr>
            <w:r>
              <w:rPr>
                <w:sz w:val="18"/>
                <w:szCs w:val="18"/>
              </w:rPr>
              <w:t>May</w:t>
            </w:r>
            <w:r w:rsidR="00C668F6">
              <w:rPr>
                <w:sz w:val="18"/>
                <w:szCs w:val="18"/>
              </w:rPr>
              <w:t xml:space="preserve"> 2020</w:t>
            </w:r>
          </w:p>
        </w:tc>
      </w:tr>
      <w:tr w:rsidR="00AF1D72" w14:paraId="2517FC0B" w14:textId="77777777" w:rsidTr="000B1E68">
        <w:tc>
          <w:tcPr>
            <w:tcW w:w="817" w:type="pct"/>
          </w:tcPr>
          <w:p w14:paraId="06079DBE" w14:textId="77777777" w:rsidR="00AF1D72" w:rsidRPr="00AF45E6" w:rsidRDefault="00AF1D72" w:rsidP="00AF1D72">
            <w:pPr>
              <w:pStyle w:val="TableFigureCenter"/>
            </w:pPr>
          </w:p>
        </w:tc>
        <w:tc>
          <w:tcPr>
            <w:tcW w:w="2566" w:type="pct"/>
          </w:tcPr>
          <w:p w14:paraId="6D3B375F" w14:textId="77777777" w:rsidR="00AF1D72" w:rsidRPr="00F6126C" w:rsidRDefault="00AF1D72" w:rsidP="00AF1D72">
            <w:pPr>
              <w:pStyle w:val="TableFigureLeft"/>
            </w:pPr>
          </w:p>
        </w:tc>
        <w:tc>
          <w:tcPr>
            <w:tcW w:w="869" w:type="pct"/>
          </w:tcPr>
          <w:p w14:paraId="13C81DF1" w14:textId="77777777" w:rsidR="00AF1D72" w:rsidRPr="008049FA" w:rsidRDefault="00AF1D72" w:rsidP="00AF1D72">
            <w:pPr>
              <w:pStyle w:val="TableFigureCenter"/>
            </w:pPr>
          </w:p>
        </w:tc>
        <w:tc>
          <w:tcPr>
            <w:tcW w:w="748" w:type="pct"/>
          </w:tcPr>
          <w:p w14:paraId="7F3165B6" w14:textId="77777777" w:rsidR="00AF1D72" w:rsidRPr="00AF45E6" w:rsidRDefault="00AF1D72" w:rsidP="00AF1D72">
            <w:pPr>
              <w:pStyle w:val="TableFigureCenter"/>
            </w:pPr>
          </w:p>
        </w:tc>
      </w:tr>
    </w:tbl>
    <w:p w14:paraId="5AA22917" w14:textId="77777777" w:rsidR="00AF1D72"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1B7F72">
            <w:pPr>
              <w:pStyle w:val="TableBodyText"/>
              <w:rPr>
                <w:b/>
                <w:bCs w:val="0"/>
                <w:sz w:val="16"/>
              </w:rPr>
            </w:pPr>
            <w:r w:rsidRPr="001B7F72">
              <w:rPr>
                <w:b/>
                <w:bCs w:val="0"/>
              </w:rPr>
              <w:t>Key</w:t>
            </w:r>
          </w:p>
        </w:tc>
        <w:tc>
          <w:tcPr>
            <w:tcW w:w="8680" w:type="dxa"/>
            <w:shd w:val="clear" w:color="auto" w:fill="auto"/>
          </w:tcPr>
          <w:p w14:paraId="579971E6" w14:textId="77777777" w:rsidR="00AF1D72" w:rsidRPr="0095718B" w:rsidRDefault="00AF1D72" w:rsidP="001B7F72">
            <w:pPr>
              <w:pStyle w:val="TableBodyText"/>
            </w:pPr>
          </w:p>
        </w:tc>
      </w:tr>
      <w:tr w:rsidR="00AF1D72" w14:paraId="2C27FD3C" w14:textId="77777777" w:rsidTr="00AF1D72">
        <w:tc>
          <w:tcPr>
            <w:tcW w:w="1101" w:type="dxa"/>
            <w:shd w:val="clear" w:color="auto" w:fill="auto"/>
          </w:tcPr>
          <w:p w14:paraId="621644E5" w14:textId="77777777" w:rsidR="00AF1D72" w:rsidRPr="00E6543E" w:rsidRDefault="00AF1D72" w:rsidP="001B7F72">
            <w:pPr>
              <w:pStyle w:val="TableBodyText"/>
            </w:pPr>
            <w:r w:rsidRPr="00E6543E">
              <w:t>Format</w:t>
            </w:r>
          </w:p>
        </w:tc>
        <w:tc>
          <w:tcPr>
            <w:tcW w:w="8680" w:type="dxa"/>
            <w:shd w:val="clear" w:color="auto" w:fill="auto"/>
          </w:tcPr>
          <w:p w14:paraId="0B5DE507" w14:textId="77777777" w:rsidR="00AF1D72" w:rsidRPr="00E6543E" w:rsidRDefault="00AF1D72" w:rsidP="001B7F72">
            <w:pPr>
              <w:pStyle w:val="TableBodyText"/>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1B7F72">
            <w:pPr>
              <w:pStyle w:val="TableBodyText"/>
            </w:pPr>
            <w:r w:rsidRPr="00E6543E">
              <w:t>Substitution</w:t>
            </w:r>
          </w:p>
        </w:tc>
        <w:tc>
          <w:tcPr>
            <w:tcW w:w="8680" w:type="dxa"/>
            <w:shd w:val="clear" w:color="auto" w:fill="auto"/>
          </w:tcPr>
          <w:p w14:paraId="20B1E6FB" w14:textId="77777777" w:rsidR="00AF1D72" w:rsidRPr="00E6543E" w:rsidRDefault="00AF1D72" w:rsidP="001B7F72">
            <w:pPr>
              <w:pStyle w:val="TableBodyText"/>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1B7F72">
            <w:pPr>
              <w:pStyle w:val="TableBodyText"/>
            </w:pPr>
            <w:r w:rsidRPr="00E6543E">
              <w:t>New</w:t>
            </w:r>
          </w:p>
        </w:tc>
        <w:tc>
          <w:tcPr>
            <w:tcW w:w="8680" w:type="dxa"/>
            <w:shd w:val="clear" w:color="auto" w:fill="auto"/>
          </w:tcPr>
          <w:p w14:paraId="42D85C62" w14:textId="77777777" w:rsidR="00AF1D72" w:rsidRPr="00E6543E" w:rsidRDefault="00AF1D72" w:rsidP="001B7F72">
            <w:pPr>
              <w:pStyle w:val="TableBodyText"/>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1B7F72">
            <w:pPr>
              <w:pStyle w:val="TableBodyText"/>
            </w:pPr>
            <w:r w:rsidRPr="00E6543E">
              <w:t>Removed</w:t>
            </w:r>
          </w:p>
        </w:tc>
        <w:tc>
          <w:tcPr>
            <w:tcW w:w="8680" w:type="dxa"/>
            <w:shd w:val="clear" w:color="auto" w:fill="auto"/>
          </w:tcPr>
          <w:p w14:paraId="4F68E19E" w14:textId="77777777" w:rsidR="00AF1D72" w:rsidRPr="00E6543E" w:rsidRDefault="00AF1D72" w:rsidP="001B7F72">
            <w:pPr>
              <w:pStyle w:val="TableBodyText"/>
            </w:pPr>
            <w:r w:rsidRPr="00E6543E">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20178" w14:textId="77777777" w:rsidR="006733A2" w:rsidRDefault="006733A2">
      <w:r>
        <w:separator/>
      </w:r>
    </w:p>
  </w:endnote>
  <w:endnote w:type="continuationSeparator" w:id="0">
    <w:p w14:paraId="103A06C7" w14:textId="77777777" w:rsidR="006733A2" w:rsidRDefault="006733A2">
      <w:r>
        <w:continuationSeparator/>
      </w:r>
    </w:p>
  </w:endnote>
  <w:endnote w:type="continuationNotice" w:id="1">
    <w:p w14:paraId="58099638" w14:textId="77777777" w:rsidR="006733A2" w:rsidRDefault="00673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F2B3" w14:textId="4F64FAEE" w:rsidR="00064F5A" w:rsidRDefault="00064F5A"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4A0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" filled="f" stroked="f">
              <v:textbox inset="0,0,0,0">
                <w:txbxContent>
                  <w:p w14:paraId="7FA9F3DA"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" filled="f" stroked="f">
              <v:textbox inset="0,0,0,0">
                <w:txbxContent>
                  <w:p w14:paraId="7FA9F3DB" w14:textId="77777777" w:rsidR="00064F5A" w:rsidRDefault="00064F5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5E90" w14:textId="1846B8C7" w:rsidR="00064F5A" w:rsidRDefault="00064F5A">
    <w:pPr>
      <w:pStyle w:val="Footer"/>
    </w:pPr>
  </w:p>
  <w:p w14:paraId="6C2B5812" w14:textId="3E8920C0" w:rsidR="00064F5A" w:rsidRPr="005252CA" w:rsidRDefault="00064F5A"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1.0 </w:t>
    </w:r>
    <w:r w:rsidR="00D9206B">
      <w:rPr>
        <w:rFonts w:ascii="Arial" w:eastAsia="SimSun" w:hAnsi="Arial" w:cs="Arial"/>
        <w:bCs/>
        <w:sz w:val="16"/>
        <w:szCs w:val="16"/>
        <w:lang w:eastAsia="ja-JP"/>
      </w:rPr>
      <w:t>May</w:t>
    </w:r>
    <w:r>
      <w:rPr>
        <w:rFonts w:ascii="Arial" w:eastAsia="SimSun" w:hAnsi="Arial" w:cs="Arial"/>
        <w:bCs/>
        <w:sz w:val="16"/>
        <w:szCs w:val="16"/>
        <w:lang w:eastAsia="ja-JP"/>
      </w:rPr>
      <w:t xml:space="preserve"> 2020</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1EE4" w14:textId="79F7048C" w:rsidR="00064F5A" w:rsidRDefault="00064F5A">
    <w:pPr>
      <w:pStyle w:val="Footer"/>
    </w:pPr>
  </w:p>
  <w:p w14:paraId="53E5821A" w14:textId="5659C2F3" w:rsidR="00064F5A" w:rsidRPr="004A7CAA" w:rsidRDefault="00064F5A"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1.0 </w:t>
    </w:r>
    <w:r w:rsidR="001F44D9">
      <w:rPr>
        <w:rFonts w:ascii="Arial" w:eastAsia="SimSun" w:hAnsi="Arial" w:cs="Arial"/>
        <w:sz w:val="16"/>
        <w:szCs w:val="16"/>
        <w:lang w:eastAsia="ja-JP"/>
      </w:rPr>
      <w:t>April</w:t>
    </w:r>
    <w:r>
      <w:rPr>
        <w:rFonts w:ascii="Arial" w:eastAsia="SimSun" w:hAnsi="Arial" w:cs="Arial"/>
        <w:sz w:val="16"/>
        <w:szCs w:val="16"/>
        <w:lang w:eastAsia="ja-JP"/>
      </w:rPr>
      <w:t xml:space="preserve"> 2020</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DE275" w14:textId="77777777" w:rsidR="006733A2" w:rsidRDefault="006733A2">
      <w:r>
        <w:separator/>
      </w:r>
    </w:p>
  </w:footnote>
  <w:footnote w:type="continuationSeparator" w:id="0">
    <w:p w14:paraId="2D0483C2" w14:textId="77777777" w:rsidR="006733A2" w:rsidRDefault="006733A2">
      <w:r>
        <w:continuationSeparator/>
      </w:r>
    </w:p>
  </w:footnote>
  <w:footnote w:type="continuationNotice" w:id="1">
    <w:p w14:paraId="18EBD6A6" w14:textId="77777777" w:rsidR="006733A2" w:rsidRDefault="00673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58B9" w14:textId="4BB00571" w:rsidR="00064F5A" w:rsidRPr="003F7623" w:rsidRDefault="00064F5A"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34</w:t>
    </w:r>
    <w:r w:rsidR="00741C11">
      <w:rPr>
        <w:rFonts w:ascii="Arial" w:eastAsia="SimSun" w:hAnsi="Arial" w:cs="Arial"/>
        <w:b/>
        <w:sz w:val="16"/>
        <w:szCs w:val="16"/>
        <w:lang w:eastAsia="ja-JP"/>
      </w:rPr>
      <w:t>8</w:t>
    </w:r>
    <w:r>
      <w:rPr>
        <w:rFonts w:ascii="Arial" w:eastAsia="SimSun" w:hAnsi="Arial" w:cs="Arial"/>
        <w:b/>
        <w:sz w:val="16"/>
        <w:szCs w:val="16"/>
        <w:lang w:eastAsia="ja-JP"/>
      </w:rPr>
      <w:t>0</w:t>
    </w:r>
    <w:r w:rsidRPr="003F7623">
      <w:rPr>
        <w:rFonts w:ascii="Arial" w:eastAsia="SimSun" w:hAnsi="Arial" w:cs="Arial"/>
        <w:b/>
        <w:sz w:val="16"/>
        <w:szCs w:val="16"/>
        <w:lang w:eastAsia="ja-JP"/>
      </w:rPr>
      <w:t xml:space="preserve"> </w:t>
    </w:r>
    <w:r>
      <w:rPr>
        <w:rFonts w:ascii="Arial" w:eastAsia="SimSun" w:hAnsi="Arial" w:cs="Arial"/>
        <w:b/>
        <w:sz w:val="16"/>
        <w:szCs w:val="16"/>
        <w:lang w:eastAsia="ja-JP"/>
      </w:rPr>
      <w:t xml:space="preserve">Bituminous </w:t>
    </w:r>
    <w:r w:rsidR="00741C11">
      <w:rPr>
        <w:rFonts w:ascii="Arial" w:eastAsia="SimSun" w:hAnsi="Arial" w:cs="Arial"/>
        <w:b/>
        <w:sz w:val="16"/>
        <w:szCs w:val="16"/>
        <w:lang w:eastAsia="ja-JP"/>
      </w:rPr>
      <w:t>Surface Retexturing</w:t>
    </w:r>
  </w:p>
  <w:p w14:paraId="35BA0088" w14:textId="7748489B" w:rsidR="00064F5A" w:rsidRPr="00AE427D" w:rsidRDefault="00064F5A" w:rsidP="00AE427D">
    <w:pPr>
      <w:pStyle w:val="Header"/>
      <w:jc w:val="right"/>
      <w:rPr>
        <w:rFonts w:ascii="Arial" w:hAnsi="Arial" w:cs="Arial"/>
        <w:sz w:val="18"/>
        <w:szCs w:val="18"/>
      </w:rPr>
    </w:pPr>
  </w:p>
  <w:p w14:paraId="2B1651BB" w14:textId="77777777" w:rsidR="00064F5A" w:rsidRPr="00AE427D" w:rsidRDefault="00064F5A"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9544" w14:textId="0852E6B9" w:rsidR="00064F5A" w:rsidRDefault="00064F5A">
    <w:pPr>
      <w:pStyle w:val="Header"/>
    </w:pPr>
  </w:p>
  <w:p w14:paraId="53F80914"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8D4B8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50B8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0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08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38EE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D26D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C001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6CD0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9285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6C6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8E3029C"/>
    <w:multiLevelType w:val="hybridMultilevel"/>
    <w:tmpl w:val="83B8CFC6"/>
    <w:lvl w:ilvl="0" w:tplc="6A2A5C32">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2" w15:restartNumberingAfterBreak="0">
    <w:nsid w:val="455061FF"/>
    <w:multiLevelType w:val="hybridMultilevel"/>
    <w:tmpl w:val="7C9025D0"/>
    <w:lvl w:ilvl="0" w:tplc="B270235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4B276394"/>
    <w:multiLevelType w:val="hybridMultilevel"/>
    <w:tmpl w:val="F6409E2E"/>
    <w:lvl w:ilvl="0" w:tplc="22BCD88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455653"/>
    <w:multiLevelType w:val="multilevel"/>
    <w:tmpl w:val="3BCC52F4"/>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F1F0046"/>
    <w:multiLevelType w:val="hybridMultilevel"/>
    <w:tmpl w:val="68DC49B0"/>
    <w:lvl w:ilvl="0" w:tplc="F2B497EA">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8" w15:restartNumberingAfterBreak="0">
    <w:nsid w:val="6C2C280E"/>
    <w:multiLevelType w:val="hybridMultilevel"/>
    <w:tmpl w:val="897E46BA"/>
    <w:lvl w:ilvl="0" w:tplc="4E5E019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9"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1"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3"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4"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33"/>
  </w:num>
  <w:num w:numId="2">
    <w:abstractNumId w:val="21"/>
  </w:num>
  <w:num w:numId="3">
    <w:abstractNumId w:val="30"/>
  </w:num>
  <w:num w:numId="4">
    <w:abstractNumId w:val="18"/>
  </w:num>
  <w:num w:numId="5">
    <w:abstractNumId w:val="11"/>
  </w:num>
  <w:num w:numId="6">
    <w:abstractNumId w:val="29"/>
  </w:num>
  <w:num w:numId="7">
    <w:abstractNumId w:val="19"/>
  </w:num>
  <w:num w:numId="8">
    <w:abstractNumId w:val="27"/>
  </w:num>
  <w:num w:numId="9">
    <w:abstractNumId w:val="15"/>
  </w:num>
  <w:num w:numId="10">
    <w:abstractNumId w:val="12"/>
  </w:num>
  <w:num w:numId="11">
    <w:abstractNumId w:val="25"/>
  </w:num>
  <w:num w:numId="12">
    <w:abstractNumId w:val="32"/>
  </w:num>
  <w:num w:numId="13">
    <w:abstractNumId w:val="31"/>
  </w:num>
  <w:num w:numId="14">
    <w:abstractNumId w:val="17"/>
  </w:num>
  <w:num w:numId="15">
    <w:abstractNumId w:val="10"/>
  </w:num>
  <w:num w:numId="16">
    <w:abstractNumId w:val="13"/>
  </w:num>
  <w:num w:numId="17">
    <w:abstractNumId w:val="16"/>
  </w:num>
  <w:num w:numId="18">
    <w:abstractNumId w:val="20"/>
  </w:num>
  <w:num w:numId="19">
    <w:abstractNumId w:val="34"/>
  </w:num>
  <w:num w:numId="20">
    <w:abstractNumId w:val="24"/>
  </w:num>
  <w:num w:numId="21">
    <w:abstractNumId w:val="34"/>
    <w:lvlOverride w:ilvl="0">
      <w:startOverride w:val="1"/>
    </w:lvlOverride>
  </w:num>
  <w:num w:numId="22">
    <w:abstractNumId w:val="26"/>
  </w:num>
  <w:num w:numId="23">
    <w:abstractNumId w:val="34"/>
    <w:lvlOverride w:ilvl="0">
      <w:startOverride w:val="1"/>
    </w:lvlOverride>
  </w:num>
  <w:num w:numId="24">
    <w:abstractNumId w:val="22"/>
  </w:num>
  <w:num w:numId="25">
    <w:abstractNumId w:val="14"/>
  </w:num>
  <w:num w:numId="26">
    <w:abstractNumId w:val="23"/>
  </w:num>
  <w:num w:numId="27">
    <w:abstractNumId w:val="2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7D92"/>
    <w:rsid w:val="00020BB3"/>
    <w:rsid w:val="00025D9A"/>
    <w:rsid w:val="0003240C"/>
    <w:rsid w:val="00037DFF"/>
    <w:rsid w:val="00042467"/>
    <w:rsid w:val="00045CDF"/>
    <w:rsid w:val="00050542"/>
    <w:rsid w:val="000561B6"/>
    <w:rsid w:val="00057CE9"/>
    <w:rsid w:val="00062399"/>
    <w:rsid w:val="00063F76"/>
    <w:rsid w:val="00064F5A"/>
    <w:rsid w:val="00066FF7"/>
    <w:rsid w:val="00073A3D"/>
    <w:rsid w:val="00075012"/>
    <w:rsid w:val="000750A5"/>
    <w:rsid w:val="00077815"/>
    <w:rsid w:val="00080AB7"/>
    <w:rsid w:val="00082B1B"/>
    <w:rsid w:val="00083DD0"/>
    <w:rsid w:val="00085392"/>
    <w:rsid w:val="000900DB"/>
    <w:rsid w:val="00090BB5"/>
    <w:rsid w:val="000934BE"/>
    <w:rsid w:val="000940DD"/>
    <w:rsid w:val="00095B6D"/>
    <w:rsid w:val="000A4160"/>
    <w:rsid w:val="000A4BE4"/>
    <w:rsid w:val="000A51A0"/>
    <w:rsid w:val="000A5626"/>
    <w:rsid w:val="000A6357"/>
    <w:rsid w:val="000A7CAC"/>
    <w:rsid w:val="000B1E68"/>
    <w:rsid w:val="000B262B"/>
    <w:rsid w:val="000B2831"/>
    <w:rsid w:val="000B3CF1"/>
    <w:rsid w:val="000B5520"/>
    <w:rsid w:val="000C089A"/>
    <w:rsid w:val="000C1C06"/>
    <w:rsid w:val="000C4621"/>
    <w:rsid w:val="000D76D6"/>
    <w:rsid w:val="000D79CC"/>
    <w:rsid w:val="000E3FD7"/>
    <w:rsid w:val="000E508E"/>
    <w:rsid w:val="000E5A77"/>
    <w:rsid w:val="000E5E53"/>
    <w:rsid w:val="000E66B7"/>
    <w:rsid w:val="000E6E2F"/>
    <w:rsid w:val="000F09D1"/>
    <w:rsid w:val="000F1AB8"/>
    <w:rsid w:val="000F600D"/>
    <w:rsid w:val="000F633D"/>
    <w:rsid w:val="000F76C4"/>
    <w:rsid w:val="0010568B"/>
    <w:rsid w:val="001058EC"/>
    <w:rsid w:val="00106602"/>
    <w:rsid w:val="00106951"/>
    <w:rsid w:val="00107CDA"/>
    <w:rsid w:val="001119AB"/>
    <w:rsid w:val="0011467B"/>
    <w:rsid w:val="0011479C"/>
    <w:rsid w:val="00114D7E"/>
    <w:rsid w:val="00116F61"/>
    <w:rsid w:val="0011774C"/>
    <w:rsid w:val="001216A8"/>
    <w:rsid w:val="00121877"/>
    <w:rsid w:val="00121FED"/>
    <w:rsid w:val="0012515A"/>
    <w:rsid w:val="00125972"/>
    <w:rsid w:val="00126E9F"/>
    <w:rsid w:val="001344CC"/>
    <w:rsid w:val="00136BB5"/>
    <w:rsid w:val="00140C1C"/>
    <w:rsid w:val="0014109A"/>
    <w:rsid w:val="00144616"/>
    <w:rsid w:val="00145118"/>
    <w:rsid w:val="0014592C"/>
    <w:rsid w:val="001474AB"/>
    <w:rsid w:val="00147797"/>
    <w:rsid w:val="00151296"/>
    <w:rsid w:val="00151CD8"/>
    <w:rsid w:val="00151D07"/>
    <w:rsid w:val="00155A1F"/>
    <w:rsid w:val="00163BA1"/>
    <w:rsid w:val="0016403A"/>
    <w:rsid w:val="00167824"/>
    <w:rsid w:val="00170376"/>
    <w:rsid w:val="00174BC5"/>
    <w:rsid w:val="00176137"/>
    <w:rsid w:val="00176931"/>
    <w:rsid w:val="0017727E"/>
    <w:rsid w:val="0018067B"/>
    <w:rsid w:val="001852C3"/>
    <w:rsid w:val="001872B3"/>
    <w:rsid w:val="00191F45"/>
    <w:rsid w:val="00193DE3"/>
    <w:rsid w:val="00193ECF"/>
    <w:rsid w:val="001970AC"/>
    <w:rsid w:val="001A2692"/>
    <w:rsid w:val="001A2BE5"/>
    <w:rsid w:val="001A3BE4"/>
    <w:rsid w:val="001A3C09"/>
    <w:rsid w:val="001A5DF5"/>
    <w:rsid w:val="001B0059"/>
    <w:rsid w:val="001B0E77"/>
    <w:rsid w:val="001B1016"/>
    <w:rsid w:val="001B45FD"/>
    <w:rsid w:val="001B7F72"/>
    <w:rsid w:val="001C2754"/>
    <w:rsid w:val="001C3AF9"/>
    <w:rsid w:val="001C5350"/>
    <w:rsid w:val="001C7621"/>
    <w:rsid w:val="001D0B84"/>
    <w:rsid w:val="001E7290"/>
    <w:rsid w:val="001F1124"/>
    <w:rsid w:val="001F256F"/>
    <w:rsid w:val="001F44D9"/>
    <w:rsid w:val="00202253"/>
    <w:rsid w:val="002034F5"/>
    <w:rsid w:val="00205A11"/>
    <w:rsid w:val="0020725E"/>
    <w:rsid w:val="00211052"/>
    <w:rsid w:val="002118F2"/>
    <w:rsid w:val="0022279F"/>
    <w:rsid w:val="002364A3"/>
    <w:rsid w:val="002372EC"/>
    <w:rsid w:val="002423B2"/>
    <w:rsid w:val="00245CF3"/>
    <w:rsid w:val="002616C5"/>
    <w:rsid w:val="00264B4E"/>
    <w:rsid w:val="002652B9"/>
    <w:rsid w:val="002654CE"/>
    <w:rsid w:val="00265C46"/>
    <w:rsid w:val="00265E28"/>
    <w:rsid w:val="00272EF7"/>
    <w:rsid w:val="0027453C"/>
    <w:rsid w:val="0028284E"/>
    <w:rsid w:val="00282B2D"/>
    <w:rsid w:val="002852C2"/>
    <w:rsid w:val="00292D3B"/>
    <w:rsid w:val="002A01BE"/>
    <w:rsid w:val="002A03F6"/>
    <w:rsid w:val="002A13EF"/>
    <w:rsid w:val="002A1D93"/>
    <w:rsid w:val="002A5934"/>
    <w:rsid w:val="002A5FE2"/>
    <w:rsid w:val="002B1188"/>
    <w:rsid w:val="002B1BEB"/>
    <w:rsid w:val="002B3553"/>
    <w:rsid w:val="002B4A84"/>
    <w:rsid w:val="002C13AF"/>
    <w:rsid w:val="002C3A6D"/>
    <w:rsid w:val="002C46FD"/>
    <w:rsid w:val="002C5250"/>
    <w:rsid w:val="002C74E9"/>
    <w:rsid w:val="002D09CA"/>
    <w:rsid w:val="002D17E9"/>
    <w:rsid w:val="002D1BA4"/>
    <w:rsid w:val="002D38E3"/>
    <w:rsid w:val="002D6C9F"/>
    <w:rsid w:val="002E4E55"/>
    <w:rsid w:val="002E5D4C"/>
    <w:rsid w:val="002E643F"/>
    <w:rsid w:val="002E7870"/>
    <w:rsid w:val="002E7CDE"/>
    <w:rsid w:val="002F0386"/>
    <w:rsid w:val="002F2D3C"/>
    <w:rsid w:val="002F4AA6"/>
    <w:rsid w:val="002F6570"/>
    <w:rsid w:val="00300679"/>
    <w:rsid w:val="00301089"/>
    <w:rsid w:val="00302829"/>
    <w:rsid w:val="00303261"/>
    <w:rsid w:val="00303332"/>
    <w:rsid w:val="00303A16"/>
    <w:rsid w:val="003072DE"/>
    <w:rsid w:val="00310369"/>
    <w:rsid w:val="003173C9"/>
    <w:rsid w:val="00321170"/>
    <w:rsid w:val="003215D5"/>
    <w:rsid w:val="00323181"/>
    <w:rsid w:val="003244CB"/>
    <w:rsid w:val="00333742"/>
    <w:rsid w:val="00333FDE"/>
    <w:rsid w:val="00335811"/>
    <w:rsid w:val="00335CFE"/>
    <w:rsid w:val="0034353E"/>
    <w:rsid w:val="003447F6"/>
    <w:rsid w:val="00356525"/>
    <w:rsid w:val="0036499C"/>
    <w:rsid w:val="00364DE9"/>
    <w:rsid w:val="0037122F"/>
    <w:rsid w:val="00372FE5"/>
    <w:rsid w:val="003753A4"/>
    <w:rsid w:val="00376104"/>
    <w:rsid w:val="003772BF"/>
    <w:rsid w:val="003825DE"/>
    <w:rsid w:val="003828D4"/>
    <w:rsid w:val="00382D26"/>
    <w:rsid w:val="00383EA0"/>
    <w:rsid w:val="003851D2"/>
    <w:rsid w:val="003859D0"/>
    <w:rsid w:val="00387A4A"/>
    <w:rsid w:val="00393EDA"/>
    <w:rsid w:val="00396510"/>
    <w:rsid w:val="003A1F38"/>
    <w:rsid w:val="003A36BB"/>
    <w:rsid w:val="003B4784"/>
    <w:rsid w:val="003B51CD"/>
    <w:rsid w:val="003B76B8"/>
    <w:rsid w:val="003B7DCB"/>
    <w:rsid w:val="003D2A92"/>
    <w:rsid w:val="003D30B9"/>
    <w:rsid w:val="003D7B9E"/>
    <w:rsid w:val="003E0011"/>
    <w:rsid w:val="003E0DCC"/>
    <w:rsid w:val="003E1278"/>
    <w:rsid w:val="003E1EC5"/>
    <w:rsid w:val="003E292B"/>
    <w:rsid w:val="003E31BA"/>
    <w:rsid w:val="003E7B6B"/>
    <w:rsid w:val="003F2CC2"/>
    <w:rsid w:val="003F3BBE"/>
    <w:rsid w:val="003F4149"/>
    <w:rsid w:val="003F4501"/>
    <w:rsid w:val="003F7623"/>
    <w:rsid w:val="003F7CD0"/>
    <w:rsid w:val="00400F6C"/>
    <w:rsid w:val="004014BB"/>
    <w:rsid w:val="00401B70"/>
    <w:rsid w:val="00401E9A"/>
    <w:rsid w:val="00402097"/>
    <w:rsid w:val="00402E39"/>
    <w:rsid w:val="004039E5"/>
    <w:rsid w:val="004079E4"/>
    <w:rsid w:val="00407BC8"/>
    <w:rsid w:val="0041075A"/>
    <w:rsid w:val="00411FBE"/>
    <w:rsid w:val="0041743B"/>
    <w:rsid w:val="004237A6"/>
    <w:rsid w:val="00426C2C"/>
    <w:rsid w:val="004330D7"/>
    <w:rsid w:val="00435EDE"/>
    <w:rsid w:val="0043661F"/>
    <w:rsid w:val="00437C48"/>
    <w:rsid w:val="0044402B"/>
    <w:rsid w:val="00450C88"/>
    <w:rsid w:val="00450F14"/>
    <w:rsid w:val="00453734"/>
    <w:rsid w:val="004555A0"/>
    <w:rsid w:val="004561B8"/>
    <w:rsid w:val="00456BAA"/>
    <w:rsid w:val="00461A2B"/>
    <w:rsid w:val="00462624"/>
    <w:rsid w:val="0046275D"/>
    <w:rsid w:val="00471AF6"/>
    <w:rsid w:val="0047210C"/>
    <w:rsid w:val="0048264D"/>
    <w:rsid w:val="004845D9"/>
    <w:rsid w:val="00485544"/>
    <w:rsid w:val="00485E41"/>
    <w:rsid w:val="004860D5"/>
    <w:rsid w:val="004868FA"/>
    <w:rsid w:val="004905F8"/>
    <w:rsid w:val="00492622"/>
    <w:rsid w:val="00492F96"/>
    <w:rsid w:val="00495509"/>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629B"/>
    <w:rsid w:val="004C0A60"/>
    <w:rsid w:val="004C0DEA"/>
    <w:rsid w:val="004C3B9E"/>
    <w:rsid w:val="004C50CF"/>
    <w:rsid w:val="004E0C55"/>
    <w:rsid w:val="004E2059"/>
    <w:rsid w:val="004E293C"/>
    <w:rsid w:val="004E4E46"/>
    <w:rsid w:val="004F200B"/>
    <w:rsid w:val="004F2C7D"/>
    <w:rsid w:val="004F39EE"/>
    <w:rsid w:val="004F3C82"/>
    <w:rsid w:val="004F48F2"/>
    <w:rsid w:val="00501BD1"/>
    <w:rsid w:val="00502381"/>
    <w:rsid w:val="005060D1"/>
    <w:rsid w:val="00510256"/>
    <w:rsid w:val="005113F9"/>
    <w:rsid w:val="00514D64"/>
    <w:rsid w:val="0051540A"/>
    <w:rsid w:val="005154B9"/>
    <w:rsid w:val="00517C2B"/>
    <w:rsid w:val="0052098C"/>
    <w:rsid w:val="00522C55"/>
    <w:rsid w:val="005230B1"/>
    <w:rsid w:val="005252CA"/>
    <w:rsid w:val="00526E2C"/>
    <w:rsid w:val="00526F85"/>
    <w:rsid w:val="005366E4"/>
    <w:rsid w:val="00537A89"/>
    <w:rsid w:val="00540242"/>
    <w:rsid w:val="00540A85"/>
    <w:rsid w:val="00541015"/>
    <w:rsid w:val="005417E9"/>
    <w:rsid w:val="00543EF6"/>
    <w:rsid w:val="00545DF6"/>
    <w:rsid w:val="005468C4"/>
    <w:rsid w:val="00546A4D"/>
    <w:rsid w:val="00546A7E"/>
    <w:rsid w:val="00547389"/>
    <w:rsid w:val="00556793"/>
    <w:rsid w:val="00557601"/>
    <w:rsid w:val="00560D94"/>
    <w:rsid w:val="0056195E"/>
    <w:rsid w:val="00563984"/>
    <w:rsid w:val="00564CBD"/>
    <w:rsid w:val="00565DFA"/>
    <w:rsid w:val="005675C1"/>
    <w:rsid w:val="005739C7"/>
    <w:rsid w:val="00575444"/>
    <w:rsid w:val="005764D1"/>
    <w:rsid w:val="00580551"/>
    <w:rsid w:val="00582820"/>
    <w:rsid w:val="0058543E"/>
    <w:rsid w:val="00586E7A"/>
    <w:rsid w:val="0059043A"/>
    <w:rsid w:val="00592A38"/>
    <w:rsid w:val="005935AE"/>
    <w:rsid w:val="00597374"/>
    <w:rsid w:val="005A1104"/>
    <w:rsid w:val="005A3D67"/>
    <w:rsid w:val="005A3DFC"/>
    <w:rsid w:val="005A3EEA"/>
    <w:rsid w:val="005A70E2"/>
    <w:rsid w:val="005A72AE"/>
    <w:rsid w:val="005B20A5"/>
    <w:rsid w:val="005B3CEF"/>
    <w:rsid w:val="005B4D72"/>
    <w:rsid w:val="005B4DF1"/>
    <w:rsid w:val="005B59EE"/>
    <w:rsid w:val="005B67EA"/>
    <w:rsid w:val="005C0086"/>
    <w:rsid w:val="005C0923"/>
    <w:rsid w:val="005C1D9E"/>
    <w:rsid w:val="005C24F8"/>
    <w:rsid w:val="005C732A"/>
    <w:rsid w:val="005D2099"/>
    <w:rsid w:val="005D26A2"/>
    <w:rsid w:val="005D7851"/>
    <w:rsid w:val="005F034C"/>
    <w:rsid w:val="005F2F98"/>
    <w:rsid w:val="00601022"/>
    <w:rsid w:val="00601E10"/>
    <w:rsid w:val="00602587"/>
    <w:rsid w:val="0060703A"/>
    <w:rsid w:val="006072FF"/>
    <w:rsid w:val="0061151F"/>
    <w:rsid w:val="00612591"/>
    <w:rsid w:val="0061511A"/>
    <w:rsid w:val="0061717F"/>
    <w:rsid w:val="00620A30"/>
    <w:rsid w:val="006226ED"/>
    <w:rsid w:val="00622B75"/>
    <w:rsid w:val="00624966"/>
    <w:rsid w:val="006258D4"/>
    <w:rsid w:val="00627CFE"/>
    <w:rsid w:val="00627FA4"/>
    <w:rsid w:val="00632C58"/>
    <w:rsid w:val="006340D1"/>
    <w:rsid w:val="00637261"/>
    <w:rsid w:val="00637A34"/>
    <w:rsid w:val="0064731F"/>
    <w:rsid w:val="0065153A"/>
    <w:rsid w:val="006627ED"/>
    <w:rsid w:val="00662EAC"/>
    <w:rsid w:val="006653CE"/>
    <w:rsid w:val="006706B6"/>
    <w:rsid w:val="006708E9"/>
    <w:rsid w:val="006733A2"/>
    <w:rsid w:val="0067345E"/>
    <w:rsid w:val="00676D46"/>
    <w:rsid w:val="0067705E"/>
    <w:rsid w:val="0067737B"/>
    <w:rsid w:val="006776C5"/>
    <w:rsid w:val="00680436"/>
    <w:rsid w:val="006830DD"/>
    <w:rsid w:val="00692658"/>
    <w:rsid w:val="006A3505"/>
    <w:rsid w:val="006A4A97"/>
    <w:rsid w:val="006A4C68"/>
    <w:rsid w:val="006A6DF3"/>
    <w:rsid w:val="006A7BE0"/>
    <w:rsid w:val="006B49B7"/>
    <w:rsid w:val="006B6F9C"/>
    <w:rsid w:val="006C183A"/>
    <w:rsid w:val="006C3B3F"/>
    <w:rsid w:val="006C497B"/>
    <w:rsid w:val="006C55D5"/>
    <w:rsid w:val="006C5BE9"/>
    <w:rsid w:val="006C66E9"/>
    <w:rsid w:val="006C77EE"/>
    <w:rsid w:val="006D0CD8"/>
    <w:rsid w:val="006D487B"/>
    <w:rsid w:val="006D4A3B"/>
    <w:rsid w:val="006D6F11"/>
    <w:rsid w:val="006E17EB"/>
    <w:rsid w:val="006E2495"/>
    <w:rsid w:val="006E2B0F"/>
    <w:rsid w:val="006E4368"/>
    <w:rsid w:val="006E5888"/>
    <w:rsid w:val="006E6067"/>
    <w:rsid w:val="006E71F2"/>
    <w:rsid w:val="006F78DA"/>
    <w:rsid w:val="00700A13"/>
    <w:rsid w:val="00703242"/>
    <w:rsid w:val="00704FB2"/>
    <w:rsid w:val="00706D3A"/>
    <w:rsid w:val="00706D9C"/>
    <w:rsid w:val="007130DF"/>
    <w:rsid w:val="00714595"/>
    <w:rsid w:val="00715F90"/>
    <w:rsid w:val="00716130"/>
    <w:rsid w:val="00722D93"/>
    <w:rsid w:val="007261D3"/>
    <w:rsid w:val="00733163"/>
    <w:rsid w:val="0073440A"/>
    <w:rsid w:val="00736509"/>
    <w:rsid w:val="00740269"/>
    <w:rsid w:val="00741372"/>
    <w:rsid w:val="00741C11"/>
    <w:rsid w:val="0074545A"/>
    <w:rsid w:val="007501E1"/>
    <w:rsid w:val="00751F63"/>
    <w:rsid w:val="00752524"/>
    <w:rsid w:val="007576FC"/>
    <w:rsid w:val="00760A37"/>
    <w:rsid w:val="00760D5D"/>
    <w:rsid w:val="00761330"/>
    <w:rsid w:val="00765197"/>
    <w:rsid w:val="0076643A"/>
    <w:rsid w:val="00770ACC"/>
    <w:rsid w:val="00771612"/>
    <w:rsid w:val="00773BD5"/>
    <w:rsid w:val="007750D1"/>
    <w:rsid w:val="007753C2"/>
    <w:rsid w:val="00776284"/>
    <w:rsid w:val="00776E79"/>
    <w:rsid w:val="00781035"/>
    <w:rsid w:val="007828D9"/>
    <w:rsid w:val="00783F83"/>
    <w:rsid w:val="00787F76"/>
    <w:rsid w:val="007904F3"/>
    <w:rsid w:val="00792D9C"/>
    <w:rsid w:val="00795981"/>
    <w:rsid w:val="00795BF2"/>
    <w:rsid w:val="007A1E2F"/>
    <w:rsid w:val="007A37FA"/>
    <w:rsid w:val="007B18F2"/>
    <w:rsid w:val="007B4B5C"/>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5E9C"/>
    <w:rsid w:val="00811495"/>
    <w:rsid w:val="00817CE2"/>
    <w:rsid w:val="00821A90"/>
    <w:rsid w:val="00821F86"/>
    <w:rsid w:val="00824C0E"/>
    <w:rsid w:val="00827FCF"/>
    <w:rsid w:val="0083703A"/>
    <w:rsid w:val="008405F7"/>
    <w:rsid w:val="008409A1"/>
    <w:rsid w:val="00840A04"/>
    <w:rsid w:val="00841D5F"/>
    <w:rsid w:val="00843508"/>
    <w:rsid w:val="00845113"/>
    <w:rsid w:val="00845940"/>
    <w:rsid w:val="00846925"/>
    <w:rsid w:val="00847E7D"/>
    <w:rsid w:val="008545AF"/>
    <w:rsid w:val="00862130"/>
    <w:rsid w:val="0086443D"/>
    <w:rsid w:val="008658A8"/>
    <w:rsid w:val="0086612A"/>
    <w:rsid w:val="00872A67"/>
    <w:rsid w:val="008746BE"/>
    <w:rsid w:val="0087479A"/>
    <w:rsid w:val="0087697A"/>
    <w:rsid w:val="00877BB2"/>
    <w:rsid w:val="00882342"/>
    <w:rsid w:val="00883BAC"/>
    <w:rsid w:val="00885442"/>
    <w:rsid w:val="00887E19"/>
    <w:rsid w:val="00887EC6"/>
    <w:rsid w:val="00890348"/>
    <w:rsid w:val="00890C98"/>
    <w:rsid w:val="00890D14"/>
    <w:rsid w:val="008931D4"/>
    <w:rsid w:val="00894A14"/>
    <w:rsid w:val="00897B04"/>
    <w:rsid w:val="00897DC5"/>
    <w:rsid w:val="008B2FCF"/>
    <w:rsid w:val="008B40CA"/>
    <w:rsid w:val="008B424E"/>
    <w:rsid w:val="008B726F"/>
    <w:rsid w:val="008C209E"/>
    <w:rsid w:val="008C22D7"/>
    <w:rsid w:val="008C41A3"/>
    <w:rsid w:val="008C5383"/>
    <w:rsid w:val="008C555A"/>
    <w:rsid w:val="008D01EF"/>
    <w:rsid w:val="008D2926"/>
    <w:rsid w:val="008D6532"/>
    <w:rsid w:val="008D694B"/>
    <w:rsid w:val="008D7E39"/>
    <w:rsid w:val="008F2BA6"/>
    <w:rsid w:val="008F445D"/>
    <w:rsid w:val="008F472B"/>
    <w:rsid w:val="008F56ED"/>
    <w:rsid w:val="008F672B"/>
    <w:rsid w:val="0090207A"/>
    <w:rsid w:val="009031ED"/>
    <w:rsid w:val="00906646"/>
    <w:rsid w:val="00914EAD"/>
    <w:rsid w:val="009206B9"/>
    <w:rsid w:val="00920B43"/>
    <w:rsid w:val="009235DC"/>
    <w:rsid w:val="00933C96"/>
    <w:rsid w:val="00935E20"/>
    <w:rsid w:val="00937B27"/>
    <w:rsid w:val="00940D87"/>
    <w:rsid w:val="009420CF"/>
    <w:rsid w:val="0094489A"/>
    <w:rsid w:val="00945044"/>
    <w:rsid w:val="00947689"/>
    <w:rsid w:val="00950912"/>
    <w:rsid w:val="009623A7"/>
    <w:rsid w:val="009665B4"/>
    <w:rsid w:val="00966D0C"/>
    <w:rsid w:val="00971602"/>
    <w:rsid w:val="00972027"/>
    <w:rsid w:val="009720F2"/>
    <w:rsid w:val="00975DFD"/>
    <w:rsid w:val="009815B3"/>
    <w:rsid w:val="00982032"/>
    <w:rsid w:val="009840D4"/>
    <w:rsid w:val="00991F4D"/>
    <w:rsid w:val="009A4F89"/>
    <w:rsid w:val="009A5139"/>
    <w:rsid w:val="009A64EC"/>
    <w:rsid w:val="009B005D"/>
    <w:rsid w:val="009B1195"/>
    <w:rsid w:val="009B5834"/>
    <w:rsid w:val="009C1D78"/>
    <w:rsid w:val="009C38B6"/>
    <w:rsid w:val="009C4B72"/>
    <w:rsid w:val="009C5AB2"/>
    <w:rsid w:val="009D179E"/>
    <w:rsid w:val="009D6280"/>
    <w:rsid w:val="009D6F5B"/>
    <w:rsid w:val="009E0204"/>
    <w:rsid w:val="009E1699"/>
    <w:rsid w:val="009E1F92"/>
    <w:rsid w:val="009E521D"/>
    <w:rsid w:val="009E6F16"/>
    <w:rsid w:val="009E7768"/>
    <w:rsid w:val="009F08ED"/>
    <w:rsid w:val="009F1982"/>
    <w:rsid w:val="009F28F9"/>
    <w:rsid w:val="009F41DB"/>
    <w:rsid w:val="009F4B86"/>
    <w:rsid w:val="00A016F3"/>
    <w:rsid w:val="00A05F6E"/>
    <w:rsid w:val="00A068B6"/>
    <w:rsid w:val="00A069C9"/>
    <w:rsid w:val="00A070F3"/>
    <w:rsid w:val="00A07FEF"/>
    <w:rsid w:val="00A11E91"/>
    <w:rsid w:val="00A13A70"/>
    <w:rsid w:val="00A17BC6"/>
    <w:rsid w:val="00A23D9B"/>
    <w:rsid w:val="00A24134"/>
    <w:rsid w:val="00A251CE"/>
    <w:rsid w:val="00A27029"/>
    <w:rsid w:val="00A31CCA"/>
    <w:rsid w:val="00A32A8B"/>
    <w:rsid w:val="00A34119"/>
    <w:rsid w:val="00A34A45"/>
    <w:rsid w:val="00A37B7E"/>
    <w:rsid w:val="00A37EC3"/>
    <w:rsid w:val="00A460F1"/>
    <w:rsid w:val="00A50483"/>
    <w:rsid w:val="00A53022"/>
    <w:rsid w:val="00A54C0A"/>
    <w:rsid w:val="00A54DA7"/>
    <w:rsid w:val="00A61AC9"/>
    <w:rsid w:val="00A61EA9"/>
    <w:rsid w:val="00A62D33"/>
    <w:rsid w:val="00A64438"/>
    <w:rsid w:val="00A64AA3"/>
    <w:rsid w:val="00A65212"/>
    <w:rsid w:val="00A73EEE"/>
    <w:rsid w:val="00A77DF0"/>
    <w:rsid w:val="00A851FE"/>
    <w:rsid w:val="00A86B82"/>
    <w:rsid w:val="00A9007F"/>
    <w:rsid w:val="00A96A6D"/>
    <w:rsid w:val="00A972AD"/>
    <w:rsid w:val="00AA1678"/>
    <w:rsid w:val="00AA2454"/>
    <w:rsid w:val="00AA3B1B"/>
    <w:rsid w:val="00AA5053"/>
    <w:rsid w:val="00AA642B"/>
    <w:rsid w:val="00AA7263"/>
    <w:rsid w:val="00AA7568"/>
    <w:rsid w:val="00AB0254"/>
    <w:rsid w:val="00AB107D"/>
    <w:rsid w:val="00AB7863"/>
    <w:rsid w:val="00AC14F8"/>
    <w:rsid w:val="00AC4084"/>
    <w:rsid w:val="00AC7D06"/>
    <w:rsid w:val="00AD1BAC"/>
    <w:rsid w:val="00AD2384"/>
    <w:rsid w:val="00AD2C4F"/>
    <w:rsid w:val="00AD41AD"/>
    <w:rsid w:val="00AD613A"/>
    <w:rsid w:val="00AE17EB"/>
    <w:rsid w:val="00AE427D"/>
    <w:rsid w:val="00AE43B9"/>
    <w:rsid w:val="00AE57ED"/>
    <w:rsid w:val="00AE6938"/>
    <w:rsid w:val="00AE6F16"/>
    <w:rsid w:val="00AE7626"/>
    <w:rsid w:val="00AE7EB7"/>
    <w:rsid w:val="00AF1D72"/>
    <w:rsid w:val="00AF2CE3"/>
    <w:rsid w:val="00AF4051"/>
    <w:rsid w:val="00AF5456"/>
    <w:rsid w:val="00AF60AC"/>
    <w:rsid w:val="00B05AA3"/>
    <w:rsid w:val="00B069D0"/>
    <w:rsid w:val="00B14381"/>
    <w:rsid w:val="00B162A1"/>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670"/>
    <w:rsid w:val="00B467EE"/>
    <w:rsid w:val="00B50A4D"/>
    <w:rsid w:val="00B5652C"/>
    <w:rsid w:val="00B57303"/>
    <w:rsid w:val="00B600E8"/>
    <w:rsid w:val="00B71310"/>
    <w:rsid w:val="00B75258"/>
    <w:rsid w:val="00B772A4"/>
    <w:rsid w:val="00B83813"/>
    <w:rsid w:val="00B83B9C"/>
    <w:rsid w:val="00B84426"/>
    <w:rsid w:val="00B87214"/>
    <w:rsid w:val="00B9000E"/>
    <w:rsid w:val="00B90AC6"/>
    <w:rsid w:val="00B93D9E"/>
    <w:rsid w:val="00BA034C"/>
    <w:rsid w:val="00BA195A"/>
    <w:rsid w:val="00BA2A2D"/>
    <w:rsid w:val="00BA45C9"/>
    <w:rsid w:val="00BA5854"/>
    <w:rsid w:val="00BA623A"/>
    <w:rsid w:val="00BB1468"/>
    <w:rsid w:val="00BB5BD5"/>
    <w:rsid w:val="00BC785F"/>
    <w:rsid w:val="00BC7D3F"/>
    <w:rsid w:val="00BD3A7F"/>
    <w:rsid w:val="00BE3093"/>
    <w:rsid w:val="00BE3095"/>
    <w:rsid w:val="00BE3D99"/>
    <w:rsid w:val="00BF05B1"/>
    <w:rsid w:val="00BF2861"/>
    <w:rsid w:val="00C0206C"/>
    <w:rsid w:val="00C054EA"/>
    <w:rsid w:val="00C10D9F"/>
    <w:rsid w:val="00C12910"/>
    <w:rsid w:val="00C2036C"/>
    <w:rsid w:val="00C2045A"/>
    <w:rsid w:val="00C23008"/>
    <w:rsid w:val="00C24FEA"/>
    <w:rsid w:val="00C323F4"/>
    <w:rsid w:val="00C32C62"/>
    <w:rsid w:val="00C35C17"/>
    <w:rsid w:val="00C40007"/>
    <w:rsid w:val="00C411E5"/>
    <w:rsid w:val="00C427EC"/>
    <w:rsid w:val="00C443A9"/>
    <w:rsid w:val="00C45558"/>
    <w:rsid w:val="00C472D1"/>
    <w:rsid w:val="00C540D7"/>
    <w:rsid w:val="00C6531D"/>
    <w:rsid w:val="00C65440"/>
    <w:rsid w:val="00C668F6"/>
    <w:rsid w:val="00C72B5B"/>
    <w:rsid w:val="00C73AEB"/>
    <w:rsid w:val="00C741C0"/>
    <w:rsid w:val="00C76C3A"/>
    <w:rsid w:val="00C80945"/>
    <w:rsid w:val="00C86E96"/>
    <w:rsid w:val="00C96A56"/>
    <w:rsid w:val="00CA223C"/>
    <w:rsid w:val="00CA485B"/>
    <w:rsid w:val="00CA4A84"/>
    <w:rsid w:val="00CA62F4"/>
    <w:rsid w:val="00CB1275"/>
    <w:rsid w:val="00CB2E3A"/>
    <w:rsid w:val="00CB5FAF"/>
    <w:rsid w:val="00CB771B"/>
    <w:rsid w:val="00CB7BD9"/>
    <w:rsid w:val="00CC202C"/>
    <w:rsid w:val="00CD2CAC"/>
    <w:rsid w:val="00CD58C8"/>
    <w:rsid w:val="00CD58E1"/>
    <w:rsid w:val="00CD6F15"/>
    <w:rsid w:val="00CD726C"/>
    <w:rsid w:val="00CE116A"/>
    <w:rsid w:val="00CE19AD"/>
    <w:rsid w:val="00CE31C5"/>
    <w:rsid w:val="00CE6502"/>
    <w:rsid w:val="00CF1EC2"/>
    <w:rsid w:val="00CF24A6"/>
    <w:rsid w:val="00CF5ED4"/>
    <w:rsid w:val="00D007E0"/>
    <w:rsid w:val="00D00B38"/>
    <w:rsid w:val="00D0567E"/>
    <w:rsid w:val="00D065D1"/>
    <w:rsid w:val="00D06C37"/>
    <w:rsid w:val="00D15A6E"/>
    <w:rsid w:val="00D16EF4"/>
    <w:rsid w:val="00D20104"/>
    <w:rsid w:val="00D265DB"/>
    <w:rsid w:val="00D31754"/>
    <w:rsid w:val="00D3244D"/>
    <w:rsid w:val="00D32834"/>
    <w:rsid w:val="00D344F4"/>
    <w:rsid w:val="00D357E2"/>
    <w:rsid w:val="00D3619B"/>
    <w:rsid w:val="00D37191"/>
    <w:rsid w:val="00D3735D"/>
    <w:rsid w:val="00D402EC"/>
    <w:rsid w:val="00D41738"/>
    <w:rsid w:val="00D51473"/>
    <w:rsid w:val="00D51813"/>
    <w:rsid w:val="00D53F84"/>
    <w:rsid w:val="00D55501"/>
    <w:rsid w:val="00D55931"/>
    <w:rsid w:val="00D55CD5"/>
    <w:rsid w:val="00D60D6E"/>
    <w:rsid w:val="00D63A5E"/>
    <w:rsid w:val="00D6747C"/>
    <w:rsid w:val="00D70C11"/>
    <w:rsid w:val="00D76C55"/>
    <w:rsid w:val="00D80282"/>
    <w:rsid w:val="00D81AF4"/>
    <w:rsid w:val="00D84292"/>
    <w:rsid w:val="00D85ED1"/>
    <w:rsid w:val="00D8793B"/>
    <w:rsid w:val="00D917AD"/>
    <w:rsid w:val="00D9206B"/>
    <w:rsid w:val="00D92271"/>
    <w:rsid w:val="00D93ACA"/>
    <w:rsid w:val="00DA4DEE"/>
    <w:rsid w:val="00DA5A3D"/>
    <w:rsid w:val="00DA5B5E"/>
    <w:rsid w:val="00DA68DA"/>
    <w:rsid w:val="00DB030F"/>
    <w:rsid w:val="00DB1AB8"/>
    <w:rsid w:val="00DC02AA"/>
    <w:rsid w:val="00DC0992"/>
    <w:rsid w:val="00DC0DC8"/>
    <w:rsid w:val="00DC1702"/>
    <w:rsid w:val="00DC26A9"/>
    <w:rsid w:val="00DD15C5"/>
    <w:rsid w:val="00DD26AA"/>
    <w:rsid w:val="00DD35F9"/>
    <w:rsid w:val="00DD662D"/>
    <w:rsid w:val="00DD699F"/>
    <w:rsid w:val="00DE2530"/>
    <w:rsid w:val="00DF1218"/>
    <w:rsid w:val="00DF1C58"/>
    <w:rsid w:val="00DF2D84"/>
    <w:rsid w:val="00DF3981"/>
    <w:rsid w:val="00DF4166"/>
    <w:rsid w:val="00DF72D5"/>
    <w:rsid w:val="00DF783F"/>
    <w:rsid w:val="00E01A9D"/>
    <w:rsid w:val="00E12001"/>
    <w:rsid w:val="00E13CBF"/>
    <w:rsid w:val="00E20D50"/>
    <w:rsid w:val="00E2158E"/>
    <w:rsid w:val="00E24594"/>
    <w:rsid w:val="00E25184"/>
    <w:rsid w:val="00E25AA9"/>
    <w:rsid w:val="00E27757"/>
    <w:rsid w:val="00E31159"/>
    <w:rsid w:val="00E31531"/>
    <w:rsid w:val="00E32D1F"/>
    <w:rsid w:val="00E33032"/>
    <w:rsid w:val="00E37A0C"/>
    <w:rsid w:val="00E40242"/>
    <w:rsid w:val="00E50E67"/>
    <w:rsid w:val="00E562B0"/>
    <w:rsid w:val="00E61B85"/>
    <w:rsid w:val="00E630C9"/>
    <w:rsid w:val="00E635CA"/>
    <w:rsid w:val="00E64D04"/>
    <w:rsid w:val="00E656C6"/>
    <w:rsid w:val="00E667BC"/>
    <w:rsid w:val="00E66A60"/>
    <w:rsid w:val="00E70C3E"/>
    <w:rsid w:val="00E7240A"/>
    <w:rsid w:val="00E724D8"/>
    <w:rsid w:val="00E72AE5"/>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C012E"/>
    <w:rsid w:val="00EC12EE"/>
    <w:rsid w:val="00EC650E"/>
    <w:rsid w:val="00EC74E8"/>
    <w:rsid w:val="00ED0DFB"/>
    <w:rsid w:val="00ED3212"/>
    <w:rsid w:val="00ED3A2A"/>
    <w:rsid w:val="00EE00E0"/>
    <w:rsid w:val="00EE094F"/>
    <w:rsid w:val="00EE0B53"/>
    <w:rsid w:val="00EE18D6"/>
    <w:rsid w:val="00EF1B29"/>
    <w:rsid w:val="00EF5C98"/>
    <w:rsid w:val="00EF71F8"/>
    <w:rsid w:val="00EF74BD"/>
    <w:rsid w:val="00F023D7"/>
    <w:rsid w:val="00F02507"/>
    <w:rsid w:val="00F037A6"/>
    <w:rsid w:val="00F055A0"/>
    <w:rsid w:val="00F07550"/>
    <w:rsid w:val="00F11589"/>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3952"/>
    <w:rsid w:val="00F53955"/>
    <w:rsid w:val="00F57E52"/>
    <w:rsid w:val="00F645B0"/>
    <w:rsid w:val="00F71560"/>
    <w:rsid w:val="00F71B98"/>
    <w:rsid w:val="00F75B6E"/>
    <w:rsid w:val="00F77275"/>
    <w:rsid w:val="00F819E1"/>
    <w:rsid w:val="00F8235E"/>
    <w:rsid w:val="00F8435C"/>
    <w:rsid w:val="00F9045E"/>
    <w:rsid w:val="00F90D3B"/>
    <w:rsid w:val="00F95938"/>
    <w:rsid w:val="00F95A0D"/>
    <w:rsid w:val="00F96469"/>
    <w:rsid w:val="00F96FCE"/>
    <w:rsid w:val="00FA360E"/>
    <w:rsid w:val="00FB025A"/>
    <w:rsid w:val="00FB3D03"/>
    <w:rsid w:val="00FB3D8D"/>
    <w:rsid w:val="00FB5264"/>
    <w:rsid w:val="00FB686D"/>
    <w:rsid w:val="00FC0193"/>
    <w:rsid w:val="00FC14EA"/>
    <w:rsid w:val="00FC6427"/>
    <w:rsid w:val="00FD294A"/>
    <w:rsid w:val="00FD2E43"/>
    <w:rsid w:val="00FD6FB3"/>
    <w:rsid w:val="00FD7F36"/>
    <w:rsid w:val="00FE2278"/>
    <w:rsid w:val="00FE2297"/>
    <w:rsid w:val="00FE3474"/>
    <w:rsid w:val="00FE4F58"/>
    <w:rsid w:val="00FE5E22"/>
    <w:rsid w:val="00FE5FF9"/>
    <w:rsid w:val="00FE6B4C"/>
    <w:rsid w:val="00FE7C2B"/>
    <w:rsid w:val="00FF0769"/>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CF24A6"/>
    <w:pPr>
      <w:numPr>
        <w:ilvl w:val="0"/>
        <w:numId w:val="19"/>
      </w:numPr>
      <w:spacing w:before="120"/>
      <w:ind w:left="924" w:hanging="357"/>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DF2D84"/>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15DB16ED-B961-47B8-9FF8-88B78F92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1891</Words>
  <Characters>10026</Characters>
  <Application>Microsoft Office Word</Application>
  <DocSecurity>0</DocSecurity>
  <Lines>334</Lines>
  <Paragraphs>277</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8</cp:revision>
  <dcterms:created xsi:type="dcterms:W3CDTF">2020-05-05T01:21:00Z</dcterms:created>
  <dcterms:modified xsi:type="dcterms:W3CDTF">2020-05-08T04:51:00Z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