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C0B2" w14:textId="77777777" w:rsidR="004C1CC1" w:rsidRPr="004C1CC1" w:rsidRDefault="004C1CC1" w:rsidP="00206105">
      <w:pPr>
        <w:spacing w:before="120"/>
        <w:ind w:left="142"/>
        <w:rPr>
          <w:rFonts w:ascii="Arial" w:hAnsi="Arial" w:cs="Arial"/>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E70AB2" w:rsidRPr="00B14381" w14:paraId="6A745DD7" w14:textId="77777777">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74672938" w14:textId="5CC38A0B" w:rsidR="00E70AB2" w:rsidRPr="00FB1221" w:rsidRDefault="00E70AB2">
            <w:pPr>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D254EA">
              <w:rPr>
                <w:rFonts w:ascii="Arial" w:eastAsia="SimSun" w:hAnsi="Arial" w:cs="Arial"/>
                <w:color w:val="004259"/>
                <w:sz w:val="28"/>
                <w:szCs w:val="28"/>
              </w:rPr>
              <w:t xml:space="preserve"> </w:t>
            </w:r>
            <w:r w:rsidR="004369F1">
              <w:rPr>
                <w:rFonts w:ascii="Arial" w:eastAsia="SimSun" w:hAnsi="Arial" w:cs="Arial"/>
                <w:color w:val="004259"/>
                <w:sz w:val="28"/>
                <w:szCs w:val="28"/>
              </w:rPr>
              <w:t>1160</w:t>
            </w:r>
          </w:p>
          <w:p w14:paraId="34A534DE" w14:textId="552F4B1C" w:rsidR="00E70AB2" w:rsidRPr="003B7DCB" w:rsidRDefault="006370F6">
            <w:pPr>
              <w:tabs>
                <w:tab w:val="center" w:pos="4513"/>
                <w:tab w:val="right" w:pos="9026"/>
              </w:tabs>
              <w:rPr>
                <w:rFonts w:ascii="Arial" w:eastAsia="SimSun" w:hAnsi="Arial" w:cs="Arial"/>
                <w:b w:val="0"/>
                <w:bCs/>
                <w:color w:val="6F7C87"/>
                <w:sz w:val="32"/>
                <w:szCs w:val="32"/>
              </w:rPr>
            </w:pPr>
            <w:r w:rsidRPr="006370F6">
              <w:rPr>
                <w:rFonts w:ascii="Arial" w:hAnsi="Arial" w:cs="Arial"/>
                <w:b w:val="0"/>
                <w:bCs/>
                <w:color w:val="004259"/>
                <w:sz w:val="32"/>
                <w:szCs w:val="32"/>
              </w:rPr>
              <w:t>Safety Management Systems</w:t>
            </w:r>
          </w:p>
        </w:tc>
        <w:tc>
          <w:tcPr>
            <w:tcW w:w="1366" w:type="dxa"/>
            <w:shd w:val="clear" w:color="auto" w:fill="auto"/>
            <w:vAlign w:val="bottom"/>
          </w:tcPr>
          <w:p w14:paraId="40E9F54D" w14:textId="77777777" w:rsidR="00E70AB2" w:rsidRPr="00B14381" w:rsidRDefault="00E70AB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17BEFC85" wp14:editId="14EA4420">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E70AB2" w14:paraId="73FBA392" w14:textId="77777777">
        <w:trPr>
          <w:trHeight w:val="3941"/>
        </w:trPr>
        <w:tc>
          <w:tcPr>
            <w:tcW w:w="9500" w:type="dxa"/>
            <w:tcBorders>
              <w:top w:val="nil"/>
              <w:left w:val="nil"/>
              <w:bottom w:val="nil"/>
              <w:right w:val="nil"/>
            </w:tcBorders>
            <w:shd w:val="clear" w:color="auto" w:fill="F2F2F2" w:themeFill="background1" w:themeFillShade="F2"/>
          </w:tcPr>
          <w:bookmarkStart w:id="2" w:name="1.1_Scope" w:displacedByCustomXml="next"/>
          <w:bookmarkEnd w:id="2" w:displacedByCustomXml="next"/>
          <w:sdt>
            <w:sdtPr>
              <w:rPr>
                <w:rFonts w:ascii="Times New Roman" w:eastAsia="Times New Roman" w:hAnsi="Times New Roman" w:cs="Times New Roman"/>
                <w:b w:val="0"/>
                <w:bCs w:val="0"/>
                <w:caps w:val="0"/>
                <w:color w:val="auto"/>
                <w:sz w:val="22"/>
                <w:szCs w:val="22"/>
              </w:rPr>
              <w:id w:val="-889418727"/>
              <w:docPartObj>
                <w:docPartGallery w:val="Table of Contents"/>
                <w:docPartUnique/>
              </w:docPartObj>
            </w:sdtPr>
            <w:sdtEndPr>
              <w:rPr>
                <w:rFonts w:ascii="Arial" w:hAnsi="Arial"/>
                <w:b/>
                <w:sz w:val="18"/>
                <w:szCs w:val="18"/>
              </w:rPr>
            </w:sdtEndPr>
            <w:sdtContent>
              <w:p w14:paraId="0D40FD44" w14:textId="56DEE06C" w:rsidR="00E70AB2" w:rsidRPr="006B49B7" w:rsidRDefault="00E70AB2">
                <w:pPr>
                  <w:pStyle w:val="Heading1nonumber"/>
                </w:pPr>
                <w:r w:rsidRPr="006B49B7">
                  <w:t>C</w:t>
                </w:r>
                <w:r w:rsidRPr="006B49B7">
                  <w:rPr>
                    <w:caps w:val="0"/>
                  </w:rPr>
                  <w:t>ontents</w:t>
                </w:r>
              </w:p>
              <w:p w14:paraId="4F282EE9" w14:textId="343B0591" w:rsidR="00C417A9" w:rsidRDefault="00E70AB2">
                <w:pPr>
                  <w:pStyle w:val="TOC1"/>
                  <w:rPr>
                    <w:rFonts w:asciiTheme="minorHAnsi" w:eastAsiaTheme="minorEastAsia" w:hAnsiTheme="minorHAnsi" w:cstheme="minorBidi"/>
                    <w:b w:val="0"/>
                    <w:noProof/>
                    <w:kern w:val="2"/>
                    <w:sz w:val="22"/>
                    <w:szCs w:val="22"/>
                    <w:lang w:eastAsia="en-AU"/>
                    <w14:ligatures w14:val="standardContextual"/>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149574680" w:history="1">
                  <w:r w:rsidR="00C417A9" w:rsidRPr="0058437B">
                    <w:rPr>
                      <w:rStyle w:val="Hyperlink"/>
                      <w:rFonts w:eastAsia="SimSun"/>
                      <w:noProof/>
                      <w14:scene3d>
                        <w14:camera w14:prst="orthographicFront"/>
                        <w14:lightRig w14:rig="threePt" w14:dir="t">
                          <w14:rot w14:lat="0" w14:lon="0" w14:rev="0"/>
                        </w14:lightRig>
                      </w14:scene3d>
                    </w:rPr>
                    <w:t>1.</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Scope</w:t>
                  </w:r>
                  <w:r w:rsidR="00C417A9">
                    <w:rPr>
                      <w:noProof/>
                      <w:webHidden/>
                    </w:rPr>
                    <w:tab/>
                  </w:r>
                  <w:r w:rsidR="00C417A9">
                    <w:rPr>
                      <w:noProof/>
                      <w:webHidden/>
                    </w:rPr>
                    <w:fldChar w:fldCharType="begin"/>
                  </w:r>
                  <w:r w:rsidR="00C417A9">
                    <w:rPr>
                      <w:noProof/>
                      <w:webHidden/>
                    </w:rPr>
                    <w:instrText xml:space="preserve"> PAGEREF _Toc149574680 \h </w:instrText>
                  </w:r>
                  <w:r w:rsidR="00C417A9">
                    <w:rPr>
                      <w:noProof/>
                      <w:webHidden/>
                    </w:rPr>
                  </w:r>
                  <w:r w:rsidR="00C417A9">
                    <w:rPr>
                      <w:noProof/>
                      <w:webHidden/>
                    </w:rPr>
                    <w:fldChar w:fldCharType="separate"/>
                  </w:r>
                  <w:r w:rsidR="00C417A9">
                    <w:rPr>
                      <w:noProof/>
                      <w:webHidden/>
                    </w:rPr>
                    <w:t>2</w:t>
                  </w:r>
                  <w:r w:rsidR="00C417A9">
                    <w:rPr>
                      <w:noProof/>
                      <w:webHidden/>
                    </w:rPr>
                    <w:fldChar w:fldCharType="end"/>
                  </w:r>
                </w:hyperlink>
              </w:p>
              <w:p w14:paraId="539C904A" w14:textId="43009758"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1" w:history="1">
                  <w:r w:rsidR="00C417A9" w:rsidRPr="0058437B">
                    <w:rPr>
                      <w:rStyle w:val="Hyperlink"/>
                      <w:rFonts w:eastAsia="SimSun"/>
                      <w:noProof/>
                      <w14:scene3d>
                        <w14:camera w14:prst="orthographicFront"/>
                        <w14:lightRig w14:rig="threePt" w14:dir="t">
                          <w14:rot w14:lat="0" w14:lon="0" w14:rev="0"/>
                        </w14:lightRig>
                      </w14:scene3d>
                    </w:rPr>
                    <w:t>2.</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Referenced Documents</w:t>
                  </w:r>
                  <w:r w:rsidR="00C417A9">
                    <w:rPr>
                      <w:noProof/>
                      <w:webHidden/>
                    </w:rPr>
                    <w:tab/>
                  </w:r>
                  <w:r w:rsidR="00C417A9">
                    <w:rPr>
                      <w:noProof/>
                      <w:webHidden/>
                    </w:rPr>
                    <w:fldChar w:fldCharType="begin"/>
                  </w:r>
                  <w:r w:rsidR="00C417A9">
                    <w:rPr>
                      <w:noProof/>
                      <w:webHidden/>
                    </w:rPr>
                    <w:instrText xml:space="preserve"> PAGEREF _Toc149574681 \h </w:instrText>
                  </w:r>
                  <w:r w:rsidR="00C417A9">
                    <w:rPr>
                      <w:noProof/>
                      <w:webHidden/>
                    </w:rPr>
                  </w:r>
                  <w:r w:rsidR="00C417A9">
                    <w:rPr>
                      <w:noProof/>
                      <w:webHidden/>
                    </w:rPr>
                    <w:fldChar w:fldCharType="separate"/>
                  </w:r>
                  <w:r w:rsidR="00C417A9">
                    <w:rPr>
                      <w:noProof/>
                      <w:webHidden/>
                    </w:rPr>
                    <w:t>2</w:t>
                  </w:r>
                  <w:r w:rsidR="00C417A9">
                    <w:rPr>
                      <w:noProof/>
                      <w:webHidden/>
                    </w:rPr>
                    <w:fldChar w:fldCharType="end"/>
                  </w:r>
                </w:hyperlink>
              </w:p>
              <w:p w14:paraId="38584A17" w14:textId="23C57295"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2" w:history="1">
                  <w:r w:rsidR="00C417A9" w:rsidRPr="0058437B">
                    <w:rPr>
                      <w:rStyle w:val="Hyperlink"/>
                      <w:rFonts w:eastAsia="SimSun"/>
                      <w:noProof/>
                      <w14:scene3d>
                        <w14:camera w14:prst="orthographicFront"/>
                        <w14:lightRig w14:rig="threePt" w14:dir="t">
                          <w14:rot w14:lat="0" w14:lon="0" w14:rev="0"/>
                        </w14:lightRig>
                      </w14:scene3d>
                    </w:rPr>
                    <w:t>3.</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Definitions</w:t>
                  </w:r>
                  <w:r w:rsidR="00C417A9">
                    <w:rPr>
                      <w:noProof/>
                      <w:webHidden/>
                    </w:rPr>
                    <w:tab/>
                  </w:r>
                  <w:r w:rsidR="00C417A9">
                    <w:rPr>
                      <w:noProof/>
                      <w:webHidden/>
                    </w:rPr>
                    <w:fldChar w:fldCharType="begin"/>
                  </w:r>
                  <w:r w:rsidR="00C417A9">
                    <w:rPr>
                      <w:noProof/>
                      <w:webHidden/>
                    </w:rPr>
                    <w:instrText xml:space="preserve"> PAGEREF _Toc149574682 \h </w:instrText>
                  </w:r>
                  <w:r w:rsidR="00C417A9">
                    <w:rPr>
                      <w:noProof/>
                      <w:webHidden/>
                    </w:rPr>
                  </w:r>
                  <w:r w:rsidR="00C417A9">
                    <w:rPr>
                      <w:noProof/>
                      <w:webHidden/>
                    </w:rPr>
                    <w:fldChar w:fldCharType="separate"/>
                  </w:r>
                  <w:r w:rsidR="00C417A9">
                    <w:rPr>
                      <w:noProof/>
                      <w:webHidden/>
                    </w:rPr>
                    <w:t>2</w:t>
                  </w:r>
                  <w:r w:rsidR="00C417A9">
                    <w:rPr>
                      <w:noProof/>
                      <w:webHidden/>
                    </w:rPr>
                    <w:fldChar w:fldCharType="end"/>
                  </w:r>
                </w:hyperlink>
              </w:p>
              <w:p w14:paraId="2E1F1AB7" w14:textId="5F386664"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3" w:history="1">
                  <w:r w:rsidR="00C417A9" w:rsidRPr="0058437B">
                    <w:rPr>
                      <w:rStyle w:val="Hyperlink"/>
                      <w:rFonts w:eastAsia="SimSun"/>
                      <w:noProof/>
                      <w14:scene3d>
                        <w14:camera w14:prst="orthographicFront"/>
                        <w14:lightRig w14:rig="threePt" w14:dir="t">
                          <w14:rot w14:lat="0" w14:lon="0" w14:rev="0"/>
                        </w14:lightRig>
                      </w14:scene3d>
                    </w:rPr>
                    <w:t>4.</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The Contractor’s WHS Obligations</w:t>
                  </w:r>
                  <w:r w:rsidR="00C417A9">
                    <w:rPr>
                      <w:noProof/>
                      <w:webHidden/>
                    </w:rPr>
                    <w:tab/>
                  </w:r>
                  <w:r w:rsidR="00C417A9">
                    <w:rPr>
                      <w:noProof/>
                      <w:webHidden/>
                    </w:rPr>
                    <w:fldChar w:fldCharType="begin"/>
                  </w:r>
                  <w:r w:rsidR="00C417A9">
                    <w:rPr>
                      <w:noProof/>
                      <w:webHidden/>
                    </w:rPr>
                    <w:instrText xml:space="preserve"> PAGEREF _Toc149574683 \h </w:instrText>
                  </w:r>
                  <w:r w:rsidR="00C417A9">
                    <w:rPr>
                      <w:noProof/>
                      <w:webHidden/>
                    </w:rPr>
                  </w:r>
                  <w:r w:rsidR="00C417A9">
                    <w:rPr>
                      <w:noProof/>
                      <w:webHidden/>
                    </w:rPr>
                    <w:fldChar w:fldCharType="separate"/>
                  </w:r>
                  <w:r w:rsidR="00C417A9">
                    <w:rPr>
                      <w:noProof/>
                      <w:webHidden/>
                    </w:rPr>
                    <w:t>2</w:t>
                  </w:r>
                  <w:r w:rsidR="00C417A9">
                    <w:rPr>
                      <w:noProof/>
                      <w:webHidden/>
                    </w:rPr>
                    <w:fldChar w:fldCharType="end"/>
                  </w:r>
                </w:hyperlink>
              </w:p>
              <w:p w14:paraId="7A50A775" w14:textId="3CC0A3A8"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4" w:history="1">
                  <w:r w:rsidR="00C417A9" w:rsidRPr="0058437B">
                    <w:rPr>
                      <w:rStyle w:val="Hyperlink"/>
                      <w:rFonts w:eastAsia="SimSun"/>
                      <w:noProof/>
                      <w14:scene3d>
                        <w14:camera w14:prst="orthographicFront"/>
                        <w14:lightRig w14:rig="threePt" w14:dir="t">
                          <w14:rot w14:lat="0" w14:lon="0" w14:rev="0"/>
                        </w14:lightRig>
                      </w14:scene3d>
                    </w:rPr>
                    <w:t>5.</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Safety Management System</w:t>
                  </w:r>
                  <w:r w:rsidR="00C417A9">
                    <w:rPr>
                      <w:noProof/>
                      <w:webHidden/>
                    </w:rPr>
                    <w:tab/>
                  </w:r>
                  <w:r w:rsidR="00C417A9">
                    <w:rPr>
                      <w:noProof/>
                      <w:webHidden/>
                    </w:rPr>
                    <w:fldChar w:fldCharType="begin"/>
                  </w:r>
                  <w:r w:rsidR="00C417A9">
                    <w:rPr>
                      <w:noProof/>
                      <w:webHidden/>
                    </w:rPr>
                    <w:instrText xml:space="preserve"> PAGEREF _Toc149574684 \h </w:instrText>
                  </w:r>
                  <w:r w:rsidR="00C417A9">
                    <w:rPr>
                      <w:noProof/>
                      <w:webHidden/>
                    </w:rPr>
                  </w:r>
                  <w:r w:rsidR="00C417A9">
                    <w:rPr>
                      <w:noProof/>
                      <w:webHidden/>
                    </w:rPr>
                    <w:fldChar w:fldCharType="separate"/>
                  </w:r>
                  <w:r w:rsidR="00C417A9">
                    <w:rPr>
                      <w:noProof/>
                      <w:webHidden/>
                    </w:rPr>
                    <w:t>3</w:t>
                  </w:r>
                  <w:r w:rsidR="00C417A9">
                    <w:rPr>
                      <w:noProof/>
                      <w:webHidden/>
                    </w:rPr>
                    <w:fldChar w:fldCharType="end"/>
                  </w:r>
                </w:hyperlink>
              </w:p>
              <w:p w14:paraId="03353090" w14:textId="262DD8FC"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5" w:history="1">
                  <w:r w:rsidR="00C417A9" w:rsidRPr="0058437B">
                    <w:rPr>
                      <w:rStyle w:val="Hyperlink"/>
                      <w:rFonts w:eastAsia="SimSun"/>
                      <w:noProof/>
                      <w14:scene3d>
                        <w14:camera w14:prst="orthographicFront"/>
                        <w14:lightRig w14:rig="threePt" w14:dir="t">
                          <w14:rot w14:lat="0" w14:lon="0" w14:rev="0"/>
                        </w14:lightRig>
                      </w14:scene3d>
                    </w:rPr>
                    <w:t>6.</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WHS Management Plan</w:t>
                  </w:r>
                  <w:r w:rsidR="00C417A9">
                    <w:rPr>
                      <w:noProof/>
                      <w:webHidden/>
                    </w:rPr>
                    <w:tab/>
                  </w:r>
                  <w:r w:rsidR="00C417A9">
                    <w:rPr>
                      <w:noProof/>
                      <w:webHidden/>
                    </w:rPr>
                    <w:fldChar w:fldCharType="begin"/>
                  </w:r>
                  <w:r w:rsidR="00C417A9">
                    <w:rPr>
                      <w:noProof/>
                      <w:webHidden/>
                    </w:rPr>
                    <w:instrText xml:space="preserve"> PAGEREF _Toc149574685 \h </w:instrText>
                  </w:r>
                  <w:r w:rsidR="00C417A9">
                    <w:rPr>
                      <w:noProof/>
                      <w:webHidden/>
                    </w:rPr>
                  </w:r>
                  <w:r w:rsidR="00C417A9">
                    <w:rPr>
                      <w:noProof/>
                      <w:webHidden/>
                    </w:rPr>
                    <w:fldChar w:fldCharType="separate"/>
                  </w:r>
                  <w:r w:rsidR="00C417A9">
                    <w:rPr>
                      <w:noProof/>
                      <w:webHidden/>
                    </w:rPr>
                    <w:t>3</w:t>
                  </w:r>
                  <w:r w:rsidR="00C417A9">
                    <w:rPr>
                      <w:noProof/>
                      <w:webHidden/>
                    </w:rPr>
                    <w:fldChar w:fldCharType="end"/>
                  </w:r>
                </w:hyperlink>
              </w:p>
              <w:p w14:paraId="2A94BDEF" w14:textId="70CB12B5"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6" w:history="1">
                  <w:r w:rsidR="00C417A9" w:rsidRPr="0058437B">
                    <w:rPr>
                      <w:rStyle w:val="Hyperlink"/>
                      <w:rFonts w:eastAsia="SimSun"/>
                      <w:noProof/>
                      <w14:scene3d>
                        <w14:camera w14:prst="orthographicFront"/>
                        <w14:lightRig w14:rig="threePt" w14:dir="t">
                          <w14:rot w14:lat="0" w14:lon="0" w14:rev="0"/>
                        </w14:lightRig>
                      </w14:scene3d>
                    </w:rPr>
                    <w:t>7.</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Safety in Design of Construction Work</w:t>
                  </w:r>
                  <w:r w:rsidR="00C417A9">
                    <w:rPr>
                      <w:noProof/>
                      <w:webHidden/>
                    </w:rPr>
                    <w:tab/>
                  </w:r>
                  <w:r w:rsidR="00C417A9">
                    <w:rPr>
                      <w:noProof/>
                      <w:webHidden/>
                    </w:rPr>
                    <w:fldChar w:fldCharType="begin"/>
                  </w:r>
                  <w:r w:rsidR="00C417A9">
                    <w:rPr>
                      <w:noProof/>
                      <w:webHidden/>
                    </w:rPr>
                    <w:instrText xml:space="preserve"> PAGEREF _Toc149574686 \h </w:instrText>
                  </w:r>
                  <w:r w:rsidR="00C417A9">
                    <w:rPr>
                      <w:noProof/>
                      <w:webHidden/>
                    </w:rPr>
                  </w:r>
                  <w:r w:rsidR="00C417A9">
                    <w:rPr>
                      <w:noProof/>
                      <w:webHidden/>
                    </w:rPr>
                    <w:fldChar w:fldCharType="separate"/>
                  </w:r>
                  <w:r w:rsidR="00C417A9">
                    <w:rPr>
                      <w:noProof/>
                      <w:webHidden/>
                    </w:rPr>
                    <w:t>4</w:t>
                  </w:r>
                  <w:r w:rsidR="00C417A9">
                    <w:rPr>
                      <w:noProof/>
                      <w:webHidden/>
                    </w:rPr>
                    <w:fldChar w:fldCharType="end"/>
                  </w:r>
                </w:hyperlink>
              </w:p>
              <w:p w14:paraId="27474774" w14:textId="098B9E9A"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7" w:history="1">
                  <w:r w:rsidR="00C417A9" w:rsidRPr="0058437B">
                    <w:rPr>
                      <w:rStyle w:val="Hyperlink"/>
                      <w:rFonts w:eastAsia="SimSun"/>
                      <w:noProof/>
                      <w14:scene3d>
                        <w14:camera w14:prst="orthographicFront"/>
                        <w14:lightRig w14:rig="threePt" w14:dir="t">
                          <w14:rot w14:lat="0" w14:lon="0" w14:rev="0"/>
                        </w14:lightRig>
                      </w14:scene3d>
                    </w:rPr>
                    <w:t>8.</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Hazardous Chemicals and Asbestos</w:t>
                  </w:r>
                  <w:r w:rsidR="00C417A9">
                    <w:rPr>
                      <w:noProof/>
                      <w:webHidden/>
                    </w:rPr>
                    <w:tab/>
                  </w:r>
                  <w:r w:rsidR="00C417A9">
                    <w:rPr>
                      <w:noProof/>
                      <w:webHidden/>
                    </w:rPr>
                    <w:fldChar w:fldCharType="begin"/>
                  </w:r>
                  <w:r w:rsidR="00C417A9">
                    <w:rPr>
                      <w:noProof/>
                      <w:webHidden/>
                    </w:rPr>
                    <w:instrText xml:space="preserve"> PAGEREF _Toc149574687 \h </w:instrText>
                  </w:r>
                  <w:r w:rsidR="00C417A9">
                    <w:rPr>
                      <w:noProof/>
                      <w:webHidden/>
                    </w:rPr>
                  </w:r>
                  <w:r w:rsidR="00C417A9">
                    <w:rPr>
                      <w:noProof/>
                      <w:webHidden/>
                    </w:rPr>
                    <w:fldChar w:fldCharType="separate"/>
                  </w:r>
                  <w:r w:rsidR="00C417A9">
                    <w:rPr>
                      <w:noProof/>
                      <w:webHidden/>
                    </w:rPr>
                    <w:t>4</w:t>
                  </w:r>
                  <w:r w:rsidR="00C417A9">
                    <w:rPr>
                      <w:noProof/>
                      <w:webHidden/>
                    </w:rPr>
                    <w:fldChar w:fldCharType="end"/>
                  </w:r>
                </w:hyperlink>
              </w:p>
              <w:p w14:paraId="748CFE83" w14:textId="5689CB22"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8" w:history="1">
                  <w:r w:rsidR="00C417A9" w:rsidRPr="0058437B">
                    <w:rPr>
                      <w:rStyle w:val="Hyperlink"/>
                      <w:rFonts w:eastAsia="SimSun"/>
                      <w:noProof/>
                      <w14:scene3d>
                        <w14:camera w14:prst="orthographicFront"/>
                        <w14:lightRig w14:rig="threePt" w14:dir="t">
                          <w14:rot w14:lat="0" w14:lon="0" w14:rev="0"/>
                        </w14:lightRig>
                      </w14:scene3d>
                    </w:rPr>
                    <w:t>9.</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Surveillance and Auditing</w:t>
                  </w:r>
                  <w:r w:rsidR="00C417A9">
                    <w:rPr>
                      <w:noProof/>
                      <w:webHidden/>
                    </w:rPr>
                    <w:tab/>
                  </w:r>
                  <w:r w:rsidR="00C417A9">
                    <w:rPr>
                      <w:noProof/>
                      <w:webHidden/>
                    </w:rPr>
                    <w:fldChar w:fldCharType="begin"/>
                  </w:r>
                  <w:r w:rsidR="00C417A9">
                    <w:rPr>
                      <w:noProof/>
                      <w:webHidden/>
                    </w:rPr>
                    <w:instrText xml:space="preserve"> PAGEREF _Toc149574688 \h </w:instrText>
                  </w:r>
                  <w:r w:rsidR="00C417A9">
                    <w:rPr>
                      <w:noProof/>
                      <w:webHidden/>
                    </w:rPr>
                  </w:r>
                  <w:r w:rsidR="00C417A9">
                    <w:rPr>
                      <w:noProof/>
                      <w:webHidden/>
                    </w:rPr>
                    <w:fldChar w:fldCharType="separate"/>
                  </w:r>
                  <w:r w:rsidR="00C417A9">
                    <w:rPr>
                      <w:noProof/>
                      <w:webHidden/>
                    </w:rPr>
                    <w:t>4</w:t>
                  </w:r>
                  <w:r w:rsidR="00C417A9">
                    <w:rPr>
                      <w:noProof/>
                      <w:webHidden/>
                    </w:rPr>
                    <w:fldChar w:fldCharType="end"/>
                  </w:r>
                </w:hyperlink>
              </w:p>
              <w:p w14:paraId="600CCB78" w14:textId="72CF86BA"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89" w:history="1">
                  <w:r w:rsidR="00C417A9" w:rsidRPr="0058437B">
                    <w:rPr>
                      <w:rStyle w:val="Hyperlink"/>
                      <w:rFonts w:eastAsia="SimSun"/>
                      <w:noProof/>
                      <w14:scene3d>
                        <w14:camera w14:prst="orthographicFront"/>
                        <w14:lightRig w14:rig="threePt" w14:dir="t">
                          <w14:rot w14:lat="0" w14:lon="0" w14:rev="0"/>
                        </w14:lightRig>
                      </w14:scene3d>
                    </w:rPr>
                    <w:t>10.</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WHS Records and Performance Reporting</w:t>
                  </w:r>
                  <w:r w:rsidR="00C417A9">
                    <w:rPr>
                      <w:noProof/>
                      <w:webHidden/>
                    </w:rPr>
                    <w:tab/>
                  </w:r>
                  <w:r w:rsidR="00C417A9">
                    <w:rPr>
                      <w:noProof/>
                      <w:webHidden/>
                    </w:rPr>
                    <w:fldChar w:fldCharType="begin"/>
                  </w:r>
                  <w:r w:rsidR="00C417A9">
                    <w:rPr>
                      <w:noProof/>
                      <w:webHidden/>
                    </w:rPr>
                    <w:instrText xml:space="preserve"> PAGEREF _Toc149574689 \h </w:instrText>
                  </w:r>
                  <w:r w:rsidR="00C417A9">
                    <w:rPr>
                      <w:noProof/>
                      <w:webHidden/>
                    </w:rPr>
                  </w:r>
                  <w:r w:rsidR="00C417A9">
                    <w:rPr>
                      <w:noProof/>
                      <w:webHidden/>
                    </w:rPr>
                    <w:fldChar w:fldCharType="separate"/>
                  </w:r>
                  <w:r w:rsidR="00C417A9">
                    <w:rPr>
                      <w:noProof/>
                      <w:webHidden/>
                    </w:rPr>
                    <w:t>5</w:t>
                  </w:r>
                  <w:r w:rsidR="00C417A9">
                    <w:rPr>
                      <w:noProof/>
                      <w:webHidden/>
                    </w:rPr>
                    <w:fldChar w:fldCharType="end"/>
                  </w:r>
                </w:hyperlink>
              </w:p>
              <w:p w14:paraId="65E69960" w14:textId="1B447099"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90" w:history="1">
                  <w:r w:rsidR="00C417A9" w:rsidRPr="0058437B">
                    <w:rPr>
                      <w:rStyle w:val="Hyperlink"/>
                      <w:rFonts w:eastAsia="SimSun"/>
                      <w:noProof/>
                      <w14:scene3d>
                        <w14:camera w14:prst="orthographicFront"/>
                        <w14:lightRig w14:rig="threePt" w14:dir="t">
                          <w14:rot w14:lat="0" w14:lon="0" w14:rev="0"/>
                        </w14:lightRig>
                      </w14:scene3d>
                    </w:rPr>
                    <w:t>11.</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Incident Reporting and Investigation</w:t>
                  </w:r>
                  <w:r w:rsidR="00C417A9">
                    <w:rPr>
                      <w:noProof/>
                      <w:webHidden/>
                    </w:rPr>
                    <w:tab/>
                  </w:r>
                  <w:r w:rsidR="00C417A9">
                    <w:rPr>
                      <w:noProof/>
                      <w:webHidden/>
                    </w:rPr>
                    <w:fldChar w:fldCharType="begin"/>
                  </w:r>
                  <w:r w:rsidR="00C417A9">
                    <w:rPr>
                      <w:noProof/>
                      <w:webHidden/>
                    </w:rPr>
                    <w:instrText xml:space="preserve"> PAGEREF _Toc149574690 \h </w:instrText>
                  </w:r>
                  <w:r w:rsidR="00C417A9">
                    <w:rPr>
                      <w:noProof/>
                      <w:webHidden/>
                    </w:rPr>
                  </w:r>
                  <w:r w:rsidR="00C417A9">
                    <w:rPr>
                      <w:noProof/>
                      <w:webHidden/>
                    </w:rPr>
                    <w:fldChar w:fldCharType="separate"/>
                  </w:r>
                  <w:r w:rsidR="00C417A9">
                    <w:rPr>
                      <w:noProof/>
                      <w:webHidden/>
                    </w:rPr>
                    <w:t>6</w:t>
                  </w:r>
                  <w:r w:rsidR="00C417A9">
                    <w:rPr>
                      <w:noProof/>
                      <w:webHidden/>
                    </w:rPr>
                    <w:fldChar w:fldCharType="end"/>
                  </w:r>
                </w:hyperlink>
              </w:p>
              <w:p w14:paraId="5A96EF76" w14:textId="351BB1F2" w:rsidR="00C417A9" w:rsidRDefault="00A56260">
                <w:pPr>
                  <w:pStyle w:val="TOC2"/>
                  <w:rPr>
                    <w:rFonts w:asciiTheme="minorHAnsi" w:eastAsiaTheme="minorEastAsia" w:hAnsiTheme="minorHAnsi" w:cstheme="minorBidi"/>
                    <w:bCs w:val="0"/>
                    <w:noProof/>
                    <w:kern w:val="2"/>
                    <w:sz w:val="22"/>
                    <w:lang w:eastAsia="en-AU"/>
                    <w14:ligatures w14:val="standardContextual"/>
                  </w:rPr>
                </w:pPr>
                <w:hyperlink w:anchor="_Toc149574691" w:history="1">
                  <w:r w:rsidR="00C417A9" w:rsidRPr="0058437B">
                    <w:rPr>
                      <w:rStyle w:val="Hyperlink"/>
                      <w:rFonts w:eastAsia="SimSun"/>
                      <w:noProof/>
                    </w:rPr>
                    <w:t>General</w:t>
                  </w:r>
                  <w:r w:rsidR="00C417A9">
                    <w:rPr>
                      <w:noProof/>
                      <w:webHidden/>
                    </w:rPr>
                    <w:tab/>
                  </w:r>
                  <w:r w:rsidR="00C417A9">
                    <w:rPr>
                      <w:noProof/>
                      <w:webHidden/>
                    </w:rPr>
                    <w:fldChar w:fldCharType="begin"/>
                  </w:r>
                  <w:r w:rsidR="00C417A9">
                    <w:rPr>
                      <w:noProof/>
                      <w:webHidden/>
                    </w:rPr>
                    <w:instrText xml:space="preserve"> PAGEREF _Toc149574691 \h </w:instrText>
                  </w:r>
                  <w:r w:rsidR="00C417A9">
                    <w:rPr>
                      <w:noProof/>
                      <w:webHidden/>
                    </w:rPr>
                  </w:r>
                  <w:r w:rsidR="00C417A9">
                    <w:rPr>
                      <w:noProof/>
                      <w:webHidden/>
                    </w:rPr>
                    <w:fldChar w:fldCharType="separate"/>
                  </w:r>
                  <w:r w:rsidR="00C417A9">
                    <w:rPr>
                      <w:noProof/>
                      <w:webHidden/>
                    </w:rPr>
                    <w:t>6</w:t>
                  </w:r>
                  <w:r w:rsidR="00C417A9">
                    <w:rPr>
                      <w:noProof/>
                      <w:webHidden/>
                    </w:rPr>
                    <w:fldChar w:fldCharType="end"/>
                  </w:r>
                </w:hyperlink>
              </w:p>
              <w:p w14:paraId="6B6D57CF" w14:textId="00E888C7" w:rsidR="00C417A9" w:rsidRDefault="00A56260">
                <w:pPr>
                  <w:pStyle w:val="TOC2"/>
                  <w:rPr>
                    <w:rFonts w:asciiTheme="minorHAnsi" w:eastAsiaTheme="minorEastAsia" w:hAnsiTheme="minorHAnsi" w:cstheme="minorBidi"/>
                    <w:bCs w:val="0"/>
                    <w:noProof/>
                    <w:kern w:val="2"/>
                    <w:sz w:val="22"/>
                    <w:lang w:eastAsia="en-AU"/>
                    <w14:ligatures w14:val="standardContextual"/>
                  </w:rPr>
                </w:pPr>
                <w:hyperlink w:anchor="_Toc149574692" w:history="1">
                  <w:r w:rsidR="00C417A9" w:rsidRPr="0058437B">
                    <w:rPr>
                      <w:rStyle w:val="Hyperlink"/>
                      <w:rFonts w:eastAsia="SimSun"/>
                      <w:noProof/>
                    </w:rPr>
                    <w:t>Notifiable Incidents</w:t>
                  </w:r>
                  <w:r w:rsidR="00C417A9">
                    <w:rPr>
                      <w:noProof/>
                      <w:webHidden/>
                    </w:rPr>
                    <w:tab/>
                  </w:r>
                  <w:r w:rsidR="00C417A9">
                    <w:rPr>
                      <w:noProof/>
                      <w:webHidden/>
                    </w:rPr>
                    <w:fldChar w:fldCharType="begin"/>
                  </w:r>
                  <w:r w:rsidR="00C417A9">
                    <w:rPr>
                      <w:noProof/>
                      <w:webHidden/>
                    </w:rPr>
                    <w:instrText xml:space="preserve"> PAGEREF _Toc149574692 \h </w:instrText>
                  </w:r>
                  <w:r w:rsidR="00C417A9">
                    <w:rPr>
                      <w:noProof/>
                      <w:webHidden/>
                    </w:rPr>
                  </w:r>
                  <w:r w:rsidR="00C417A9">
                    <w:rPr>
                      <w:noProof/>
                      <w:webHidden/>
                    </w:rPr>
                    <w:fldChar w:fldCharType="separate"/>
                  </w:r>
                  <w:r w:rsidR="00C417A9">
                    <w:rPr>
                      <w:noProof/>
                      <w:webHidden/>
                    </w:rPr>
                    <w:t>6</w:t>
                  </w:r>
                  <w:r w:rsidR="00C417A9">
                    <w:rPr>
                      <w:noProof/>
                      <w:webHidden/>
                    </w:rPr>
                    <w:fldChar w:fldCharType="end"/>
                  </w:r>
                </w:hyperlink>
              </w:p>
              <w:p w14:paraId="5CCE8726" w14:textId="7EA69D26" w:rsidR="00C417A9" w:rsidRDefault="00A56260">
                <w:pPr>
                  <w:pStyle w:val="TOC2"/>
                  <w:rPr>
                    <w:rFonts w:asciiTheme="minorHAnsi" w:eastAsiaTheme="minorEastAsia" w:hAnsiTheme="minorHAnsi" w:cstheme="minorBidi"/>
                    <w:bCs w:val="0"/>
                    <w:noProof/>
                    <w:kern w:val="2"/>
                    <w:sz w:val="22"/>
                    <w:lang w:eastAsia="en-AU"/>
                    <w14:ligatures w14:val="standardContextual"/>
                  </w:rPr>
                </w:pPr>
                <w:hyperlink w:anchor="_Toc149574693" w:history="1">
                  <w:r w:rsidR="00C417A9" w:rsidRPr="0058437B">
                    <w:rPr>
                      <w:rStyle w:val="Hyperlink"/>
                      <w:rFonts w:eastAsia="SimSun"/>
                      <w:noProof/>
                    </w:rPr>
                    <w:t>Non-Notifiable Incidents</w:t>
                  </w:r>
                  <w:r w:rsidR="00C417A9">
                    <w:rPr>
                      <w:noProof/>
                      <w:webHidden/>
                    </w:rPr>
                    <w:tab/>
                  </w:r>
                  <w:r w:rsidR="00C417A9">
                    <w:rPr>
                      <w:noProof/>
                      <w:webHidden/>
                    </w:rPr>
                    <w:fldChar w:fldCharType="begin"/>
                  </w:r>
                  <w:r w:rsidR="00C417A9">
                    <w:rPr>
                      <w:noProof/>
                      <w:webHidden/>
                    </w:rPr>
                    <w:instrText xml:space="preserve"> PAGEREF _Toc149574693 \h </w:instrText>
                  </w:r>
                  <w:r w:rsidR="00C417A9">
                    <w:rPr>
                      <w:noProof/>
                      <w:webHidden/>
                    </w:rPr>
                  </w:r>
                  <w:r w:rsidR="00C417A9">
                    <w:rPr>
                      <w:noProof/>
                      <w:webHidden/>
                    </w:rPr>
                    <w:fldChar w:fldCharType="separate"/>
                  </w:r>
                  <w:r w:rsidR="00C417A9">
                    <w:rPr>
                      <w:noProof/>
                      <w:webHidden/>
                    </w:rPr>
                    <w:t>7</w:t>
                  </w:r>
                  <w:r w:rsidR="00C417A9">
                    <w:rPr>
                      <w:noProof/>
                      <w:webHidden/>
                    </w:rPr>
                    <w:fldChar w:fldCharType="end"/>
                  </w:r>
                </w:hyperlink>
              </w:p>
              <w:p w14:paraId="7A23ACD2" w14:textId="066127FD"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94" w:history="1">
                  <w:r w:rsidR="00C417A9" w:rsidRPr="0058437B">
                    <w:rPr>
                      <w:rStyle w:val="Hyperlink"/>
                      <w:rFonts w:eastAsia="SimSun"/>
                      <w:noProof/>
                      <w14:scene3d>
                        <w14:camera w14:prst="orthographicFront"/>
                        <w14:lightRig w14:rig="threePt" w14:dir="t">
                          <w14:rot w14:lat="0" w14:lon="0" w14:rev="0"/>
                        </w14:lightRig>
                      </w14:scene3d>
                    </w:rPr>
                    <w:t>12.</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Heavy Vehicle National Law – Chain of Responsibility</w:t>
                  </w:r>
                  <w:r w:rsidR="00C417A9">
                    <w:rPr>
                      <w:noProof/>
                      <w:webHidden/>
                    </w:rPr>
                    <w:tab/>
                  </w:r>
                  <w:r w:rsidR="00C417A9">
                    <w:rPr>
                      <w:noProof/>
                      <w:webHidden/>
                    </w:rPr>
                    <w:fldChar w:fldCharType="begin"/>
                  </w:r>
                  <w:r w:rsidR="00C417A9">
                    <w:rPr>
                      <w:noProof/>
                      <w:webHidden/>
                    </w:rPr>
                    <w:instrText xml:space="preserve"> PAGEREF _Toc149574694 \h </w:instrText>
                  </w:r>
                  <w:r w:rsidR="00C417A9">
                    <w:rPr>
                      <w:noProof/>
                      <w:webHidden/>
                    </w:rPr>
                  </w:r>
                  <w:r w:rsidR="00C417A9">
                    <w:rPr>
                      <w:noProof/>
                      <w:webHidden/>
                    </w:rPr>
                    <w:fldChar w:fldCharType="separate"/>
                  </w:r>
                  <w:r w:rsidR="00C417A9">
                    <w:rPr>
                      <w:noProof/>
                      <w:webHidden/>
                    </w:rPr>
                    <w:t>7</w:t>
                  </w:r>
                  <w:r w:rsidR="00C417A9">
                    <w:rPr>
                      <w:noProof/>
                      <w:webHidden/>
                    </w:rPr>
                    <w:fldChar w:fldCharType="end"/>
                  </w:r>
                </w:hyperlink>
              </w:p>
              <w:p w14:paraId="45A9E355" w14:textId="203C1C91" w:rsidR="00C417A9" w:rsidRDefault="00A56260">
                <w:pPr>
                  <w:pStyle w:val="TOC2"/>
                  <w:rPr>
                    <w:rFonts w:asciiTheme="minorHAnsi" w:eastAsiaTheme="minorEastAsia" w:hAnsiTheme="minorHAnsi" w:cstheme="minorBidi"/>
                    <w:bCs w:val="0"/>
                    <w:noProof/>
                    <w:kern w:val="2"/>
                    <w:sz w:val="22"/>
                    <w:lang w:eastAsia="en-AU"/>
                    <w14:ligatures w14:val="standardContextual"/>
                  </w:rPr>
                </w:pPr>
                <w:hyperlink w:anchor="_Toc149574695" w:history="1">
                  <w:r w:rsidR="00C417A9" w:rsidRPr="0058437B">
                    <w:rPr>
                      <w:rStyle w:val="Hyperlink"/>
                      <w:rFonts w:eastAsia="SimSun"/>
                      <w:noProof/>
                    </w:rPr>
                    <w:t>General</w:t>
                  </w:r>
                  <w:r w:rsidR="00C417A9">
                    <w:rPr>
                      <w:noProof/>
                      <w:webHidden/>
                    </w:rPr>
                    <w:tab/>
                  </w:r>
                  <w:r w:rsidR="00C417A9">
                    <w:rPr>
                      <w:noProof/>
                      <w:webHidden/>
                    </w:rPr>
                    <w:fldChar w:fldCharType="begin"/>
                  </w:r>
                  <w:r w:rsidR="00C417A9">
                    <w:rPr>
                      <w:noProof/>
                      <w:webHidden/>
                    </w:rPr>
                    <w:instrText xml:space="preserve"> PAGEREF _Toc149574695 \h </w:instrText>
                  </w:r>
                  <w:r w:rsidR="00C417A9">
                    <w:rPr>
                      <w:noProof/>
                      <w:webHidden/>
                    </w:rPr>
                  </w:r>
                  <w:r w:rsidR="00C417A9">
                    <w:rPr>
                      <w:noProof/>
                      <w:webHidden/>
                    </w:rPr>
                    <w:fldChar w:fldCharType="separate"/>
                  </w:r>
                  <w:r w:rsidR="00C417A9">
                    <w:rPr>
                      <w:noProof/>
                      <w:webHidden/>
                    </w:rPr>
                    <w:t>7</w:t>
                  </w:r>
                  <w:r w:rsidR="00C417A9">
                    <w:rPr>
                      <w:noProof/>
                      <w:webHidden/>
                    </w:rPr>
                    <w:fldChar w:fldCharType="end"/>
                  </w:r>
                </w:hyperlink>
              </w:p>
              <w:p w14:paraId="21831537" w14:textId="41604A4E" w:rsidR="00C417A9" w:rsidRDefault="00A56260">
                <w:pPr>
                  <w:pStyle w:val="TOC2"/>
                  <w:rPr>
                    <w:rFonts w:asciiTheme="minorHAnsi" w:eastAsiaTheme="minorEastAsia" w:hAnsiTheme="minorHAnsi" w:cstheme="minorBidi"/>
                    <w:bCs w:val="0"/>
                    <w:noProof/>
                    <w:kern w:val="2"/>
                    <w:sz w:val="22"/>
                    <w:lang w:eastAsia="en-AU"/>
                    <w14:ligatures w14:val="standardContextual"/>
                  </w:rPr>
                </w:pPr>
                <w:hyperlink w:anchor="_Toc149574696" w:history="1">
                  <w:r w:rsidR="00C417A9" w:rsidRPr="0058437B">
                    <w:rPr>
                      <w:rStyle w:val="Hyperlink"/>
                      <w:rFonts w:eastAsia="SimSun"/>
                      <w:noProof/>
                    </w:rPr>
                    <w:t>Heavy Vehicle Chain of Responsibility Management Plan</w:t>
                  </w:r>
                  <w:r w:rsidR="00C417A9">
                    <w:rPr>
                      <w:noProof/>
                      <w:webHidden/>
                    </w:rPr>
                    <w:tab/>
                  </w:r>
                  <w:r w:rsidR="00C417A9">
                    <w:rPr>
                      <w:noProof/>
                      <w:webHidden/>
                    </w:rPr>
                    <w:fldChar w:fldCharType="begin"/>
                  </w:r>
                  <w:r w:rsidR="00C417A9">
                    <w:rPr>
                      <w:noProof/>
                      <w:webHidden/>
                    </w:rPr>
                    <w:instrText xml:space="preserve"> PAGEREF _Toc149574696 \h </w:instrText>
                  </w:r>
                  <w:r w:rsidR="00C417A9">
                    <w:rPr>
                      <w:noProof/>
                      <w:webHidden/>
                    </w:rPr>
                  </w:r>
                  <w:r w:rsidR="00C417A9">
                    <w:rPr>
                      <w:noProof/>
                      <w:webHidden/>
                    </w:rPr>
                    <w:fldChar w:fldCharType="separate"/>
                  </w:r>
                  <w:r w:rsidR="00C417A9">
                    <w:rPr>
                      <w:noProof/>
                      <w:webHidden/>
                    </w:rPr>
                    <w:t>7</w:t>
                  </w:r>
                  <w:r w:rsidR="00C417A9">
                    <w:rPr>
                      <w:noProof/>
                      <w:webHidden/>
                    </w:rPr>
                    <w:fldChar w:fldCharType="end"/>
                  </w:r>
                </w:hyperlink>
              </w:p>
              <w:p w14:paraId="3CD19095" w14:textId="2F79D125" w:rsidR="00C417A9" w:rsidRDefault="00A56260">
                <w:pPr>
                  <w:pStyle w:val="TOC1"/>
                  <w:rPr>
                    <w:rFonts w:asciiTheme="minorHAnsi" w:eastAsiaTheme="minorEastAsia" w:hAnsiTheme="minorHAnsi" w:cstheme="minorBidi"/>
                    <w:b w:val="0"/>
                    <w:noProof/>
                    <w:kern w:val="2"/>
                    <w:sz w:val="22"/>
                    <w:szCs w:val="22"/>
                    <w:lang w:eastAsia="en-AU"/>
                    <w14:ligatures w14:val="standardContextual"/>
                  </w:rPr>
                </w:pPr>
                <w:hyperlink w:anchor="_Toc149574697" w:history="1">
                  <w:r w:rsidR="00C417A9" w:rsidRPr="0058437B">
                    <w:rPr>
                      <w:rStyle w:val="Hyperlink"/>
                      <w:rFonts w:eastAsia="SimSun"/>
                      <w:noProof/>
                      <w14:scene3d>
                        <w14:camera w14:prst="orthographicFront"/>
                        <w14:lightRig w14:rig="threePt" w14:dir="t">
                          <w14:rot w14:lat="0" w14:lon="0" w14:rev="0"/>
                        </w14:lightRig>
                      </w14:scene3d>
                    </w:rPr>
                    <w:t>13.</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Interventions</w:t>
                  </w:r>
                  <w:r w:rsidR="00C417A9">
                    <w:rPr>
                      <w:noProof/>
                      <w:webHidden/>
                    </w:rPr>
                    <w:tab/>
                  </w:r>
                  <w:r w:rsidR="00C417A9">
                    <w:rPr>
                      <w:noProof/>
                      <w:webHidden/>
                    </w:rPr>
                    <w:fldChar w:fldCharType="begin"/>
                  </w:r>
                  <w:r w:rsidR="00C417A9">
                    <w:rPr>
                      <w:noProof/>
                      <w:webHidden/>
                    </w:rPr>
                    <w:instrText xml:space="preserve"> PAGEREF _Toc149574697 \h </w:instrText>
                  </w:r>
                  <w:r w:rsidR="00C417A9">
                    <w:rPr>
                      <w:noProof/>
                      <w:webHidden/>
                    </w:rPr>
                  </w:r>
                  <w:r w:rsidR="00C417A9">
                    <w:rPr>
                      <w:noProof/>
                      <w:webHidden/>
                    </w:rPr>
                    <w:fldChar w:fldCharType="separate"/>
                  </w:r>
                  <w:r w:rsidR="00C417A9">
                    <w:rPr>
                      <w:noProof/>
                      <w:webHidden/>
                    </w:rPr>
                    <w:t>8</w:t>
                  </w:r>
                  <w:r w:rsidR="00C417A9">
                    <w:rPr>
                      <w:noProof/>
                      <w:webHidden/>
                    </w:rPr>
                    <w:fldChar w:fldCharType="end"/>
                  </w:r>
                </w:hyperlink>
              </w:p>
              <w:p w14:paraId="4EA48769" w14:textId="3248BE1C" w:rsidR="00C417A9" w:rsidRDefault="00A5626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9574698" w:history="1">
                  <w:r w:rsidR="00C417A9" w:rsidRPr="0058437B">
                    <w:rPr>
                      <w:rStyle w:val="Hyperlink"/>
                      <w:rFonts w:eastAsia="SimSun"/>
                      <w:noProof/>
                    </w:rPr>
                    <w:t>Annexure A:</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Summary of Hold Points, Witness Points and Records</w:t>
                  </w:r>
                  <w:r w:rsidR="00C417A9">
                    <w:rPr>
                      <w:noProof/>
                      <w:webHidden/>
                    </w:rPr>
                    <w:tab/>
                  </w:r>
                  <w:r w:rsidR="00C417A9">
                    <w:rPr>
                      <w:noProof/>
                      <w:webHidden/>
                    </w:rPr>
                    <w:fldChar w:fldCharType="begin"/>
                  </w:r>
                  <w:r w:rsidR="00C417A9">
                    <w:rPr>
                      <w:noProof/>
                      <w:webHidden/>
                    </w:rPr>
                    <w:instrText xml:space="preserve"> PAGEREF _Toc149574698 \h </w:instrText>
                  </w:r>
                  <w:r w:rsidR="00C417A9">
                    <w:rPr>
                      <w:noProof/>
                      <w:webHidden/>
                    </w:rPr>
                  </w:r>
                  <w:r w:rsidR="00C417A9">
                    <w:rPr>
                      <w:noProof/>
                      <w:webHidden/>
                    </w:rPr>
                    <w:fldChar w:fldCharType="separate"/>
                  </w:r>
                  <w:r w:rsidR="00C417A9">
                    <w:rPr>
                      <w:noProof/>
                      <w:webHidden/>
                    </w:rPr>
                    <w:t>9</w:t>
                  </w:r>
                  <w:r w:rsidR="00C417A9">
                    <w:rPr>
                      <w:noProof/>
                      <w:webHidden/>
                    </w:rPr>
                    <w:fldChar w:fldCharType="end"/>
                  </w:r>
                </w:hyperlink>
              </w:p>
              <w:p w14:paraId="18EB9479" w14:textId="05E4C436" w:rsidR="00C417A9" w:rsidRDefault="00A5626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9574699" w:history="1">
                  <w:r w:rsidR="00C417A9" w:rsidRPr="0058437B">
                    <w:rPr>
                      <w:rStyle w:val="Hyperlink"/>
                      <w:rFonts w:eastAsia="SimSun"/>
                      <w:noProof/>
                    </w:rPr>
                    <w:t>Annexure B:</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WHS Law and WHS Regulators</w:t>
                  </w:r>
                  <w:r w:rsidR="00C417A9">
                    <w:rPr>
                      <w:noProof/>
                      <w:webHidden/>
                    </w:rPr>
                    <w:tab/>
                  </w:r>
                  <w:r w:rsidR="00C417A9">
                    <w:rPr>
                      <w:noProof/>
                      <w:webHidden/>
                    </w:rPr>
                    <w:fldChar w:fldCharType="begin"/>
                  </w:r>
                  <w:r w:rsidR="00C417A9">
                    <w:rPr>
                      <w:noProof/>
                      <w:webHidden/>
                    </w:rPr>
                    <w:instrText xml:space="preserve"> PAGEREF _Toc149574699 \h </w:instrText>
                  </w:r>
                  <w:r w:rsidR="00C417A9">
                    <w:rPr>
                      <w:noProof/>
                      <w:webHidden/>
                    </w:rPr>
                  </w:r>
                  <w:r w:rsidR="00C417A9">
                    <w:rPr>
                      <w:noProof/>
                      <w:webHidden/>
                    </w:rPr>
                    <w:fldChar w:fldCharType="separate"/>
                  </w:r>
                  <w:r w:rsidR="00C417A9">
                    <w:rPr>
                      <w:noProof/>
                      <w:webHidden/>
                    </w:rPr>
                    <w:t>10</w:t>
                  </w:r>
                  <w:r w:rsidR="00C417A9">
                    <w:rPr>
                      <w:noProof/>
                      <w:webHidden/>
                    </w:rPr>
                    <w:fldChar w:fldCharType="end"/>
                  </w:r>
                </w:hyperlink>
              </w:p>
              <w:p w14:paraId="20ABAAD2" w14:textId="3F304D96" w:rsidR="00C417A9" w:rsidRDefault="00A56260">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9574700" w:history="1">
                  <w:r w:rsidR="00C417A9" w:rsidRPr="0058437B">
                    <w:rPr>
                      <w:rStyle w:val="Hyperlink"/>
                      <w:rFonts w:eastAsia="SimSun"/>
                      <w:noProof/>
                    </w:rPr>
                    <w:t>Annexure C:</w:t>
                  </w:r>
                  <w:r w:rsidR="00C417A9">
                    <w:rPr>
                      <w:rFonts w:asciiTheme="minorHAnsi" w:eastAsiaTheme="minorEastAsia" w:hAnsiTheme="minorHAnsi" w:cstheme="minorBidi"/>
                      <w:b w:val="0"/>
                      <w:noProof/>
                      <w:kern w:val="2"/>
                      <w:sz w:val="22"/>
                      <w:szCs w:val="22"/>
                      <w:lang w:eastAsia="en-AU"/>
                      <w14:ligatures w14:val="standardContextual"/>
                    </w:rPr>
                    <w:tab/>
                  </w:r>
                  <w:r w:rsidR="00C417A9" w:rsidRPr="0058437B">
                    <w:rPr>
                      <w:rStyle w:val="Hyperlink"/>
                      <w:rFonts w:eastAsia="SimSun"/>
                      <w:noProof/>
                    </w:rPr>
                    <w:t>Heavy Vehicle National Law</w:t>
                  </w:r>
                  <w:r w:rsidR="00C417A9">
                    <w:rPr>
                      <w:noProof/>
                      <w:webHidden/>
                    </w:rPr>
                    <w:tab/>
                  </w:r>
                  <w:r w:rsidR="00C417A9">
                    <w:rPr>
                      <w:noProof/>
                      <w:webHidden/>
                    </w:rPr>
                    <w:fldChar w:fldCharType="begin"/>
                  </w:r>
                  <w:r w:rsidR="00C417A9">
                    <w:rPr>
                      <w:noProof/>
                      <w:webHidden/>
                    </w:rPr>
                    <w:instrText xml:space="preserve"> PAGEREF _Toc149574700 \h </w:instrText>
                  </w:r>
                  <w:r w:rsidR="00C417A9">
                    <w:rPr>
                      <w:noProof/>
                      <w:webHidden/>
                    </w:rPr>
                  </w:r>
                  <w:r w:rsidR="00C417A9">
                    <w:rPr>
                      <w:noProof/>
                      <w:webHidden/>
                    </w:rPr>
                    <w:fldChar w:fldCharType="separate"/>
                  </w:r>
                  <w:r w:rsidR="00C417A9">
                    <w:rPr>
                      <w:noProof/>
                      <w:webHidden/>
                    </w:rPr>
                    <w:t>12</w:t>
                  </w:r>
                  <w:r w:rsidR="00C417A9">
                    <w:rPr>
                      <w:noProof/>
                      <w:webHidden/>
                    </w:rPr>
                    <w:fldChar w:fldCharType="end"/>
                  </w:r>
                </w:hyperlink>
              </w:p>
              <w:p w14:paraId="2927B947" w14:textId="74C4EAFD" w:rsidR="00E70AB2" w:rsidRPr="003F7623" w:rsidRDefault="00E70AB2">
                <w:pPr>
                  <w:pStyle w:val="TOC1"/>
                  <w:tabs>
                    <w:tab w:val="left" w:pos="1571"/>
                  </w:tabs>
                  <w:rPr>
                    <w:rFonts w:cs="Arial"/>
                    <w:b w:val="0"/>
                    <w:bCs/>
                  </w:rPr>
                </w:pPr>
                <w:r w:rsidRPr="00E562B0">
                  <w:rPr>
                    <w:rFonts w:cs="Arial"/>
                    <w:b w:val="0"/>
                    <w:bCs/>
                  </w:rPr>
                  <w:fldChar w:fldCharType="end"/>
                </w:r>
              </w:p>
            </w:sdtContent>
          </w:sdt>
        </w:tc>
      </w:tr>
    </w:tbl>
    <w:p w14:paraId="7FA9E9E5" w14:textId="6708DCEB" w:rsidR="00991F4D" w:rsidRPr="002C385A" w:rsidRDefault="002B444A" w:rsidP="00633DAA">
      <w:pPr>
        <w:pStyle w:val="Heading1"/>
        <w:pageBreakBefore/>
        <w:ind w:left="567" w:hanging="567"/>
        <w:rPr>
          <w:rFonts w:ascii="Arial" w:hAnsi="Arial"/>
        </w:rPr>
      </w:pPr>
      <w:bookmarkStart w:id="3" w:name="_Toc134517061"/>
      <w:bookmarkStart w:id="4" w:name="_Toc148520740"/>
      <w:bookmarkStart w:id="5" w:name="_Toc149574680"/>
      <w:r w:rsidRPr="002C385A">
        <w:rPr>
          <w:rFonts w:ascii="Arial" w:hAnsi="Arial"/>
          <w:caps w:val="0"/>
        </w:rPr>
        <w:lastRenderedPageBreak/>
        <w:t>Scope</w:t>
      </w:r>
      <w:bookmarkEnd w:id="1"/>
      <w:bookmarkEnd w:id="3"/>
      <w:bookmarkEnd w:id="4"/>
      <w:bookmarkEnd w:id="5"/>
    </w:p>
    <w:p w14:paraId="7A38F5CA" w14:textId="57201130" w:rsidR="009A5C48" w:rsidRDefault="00E42229" w:rsidP="00F27FC3">
      <w:pPr>
        <w:pStyle w:val="Bodynumbered1"/>
      </w:pPr>
      <w:bookmarkStart w:id="6" w:name="_Toc514678946"/>
      <w:bookmarkStart w:id="7" w:name="_Toc886733"/>
      <w:bookmarkStart w:id="8" w:name="_Toc886732"/>
      <w:r w:rsidRPr="00DE33D3">
        <w:t xml:space="preserve">Austroads Technical Specification ATS </w:t>
      </w:r>
      <w:r w:rsidR="00126621">
        <w:t>1160</w:t>
      </w:r>
      <w:r w:rsidRPr="00DE33D3">
        <w:t xml:space="preserve"> sets out </w:t>
      </w:r>
      <w:r w:rsidR="00F27FC3" w:rsidRPr="00F27FC3">
        <w:t xml:space="preserve">the Contractor’s obligations </w:t>
      </w:r>
      <w:proofErr w:type="gramStart"/>
      <w:r w:rsidR="00F27FC3" w:rsidRPr="00F27FC3">
        <w:t>in regard to</w:t>
      </w:r>
      <w:proofErr w:type="gramEnd"/>
      <w:r w:rsidR="00F27FC3" w:rsidRPr="00F27FC3">
        <w:t xml:space="preserve"> Work Health and Safety (WHS</w:t>
      </w:r>
      <w:r w:rsidR="00101B83" w:rsidRPr="00F27FC3">
        <w:t>)</w:t>
      </w:r>
      <w:r w:rsidR="00BB3B79">
        <w:t xml:space="preserve"> for the work under the Contract</w:t>
      </w:r>
      <w:r w:rsidR="00101B83" w:rsidRPr="00F27FC3">
        <w:t>.</w:t>
      </w:r>
      <w:r w:rsidR="00101B83">
        <w:t xml:space="preserve"> It</w:t>
      </w:r>
      <w:r w:rsidR="00E10FC4">
        <w:t xml:space="preserve"> applies </w:t>
      </w:r>
      <w:r w:rsidR="00B14398">
        <w:t xml:space="preserve">to contracts </w:t>
      </w:r>
      <w:r w:rsidR="00A87D7C">
        <w:t xml:space="preserve">where the </w:t>
      </w:r>
      <w:r w:rsidR="0077072F">
        <w:t xml:space="preserve">Contractor is appointed to be the </w:t>
      </w:r>
      <w:r w:rsidR="0077072F" w:rsidRPr="00811650">
        <w:rPr>
          <w:i/>
          <w:iCs/>
        </w:rPr>
        <w:t xml:space="preserve">principal contractor </w:t>
      </w:r>
      <w:r w:rsidR="00B14398">
        <w:t xml:space="preserve">for </w:t>
      </w:r>
      <w:r w:rsidR="0026154F">
        <w:t xml:space="preserve">a </w:t>
      </w:r>
      <w:r w:rsidR="0024596C" w:rsidRPr="0024596C">
        <w:rPr>
          <w:i/>
          <w:iCs/>
        </w:rPr>
        <w:t>construction project</w:t>
      </w:r>
      <w:r w:rsidR="0026154F">
        <w:t xml:space="preserve"> (as defined in the </w:t>
      </w:r>
      <w:r w:rsidR="009A5C48">
        <w:t>WHS Law).</w:t>
      </w:r>
    </w:p>
    <w:p w14:paraId="2099917E" w14:textId="4316CA44" w:rsidR="00F40305" w:rsidRPr="000D556D" w:rsidRDefault="003F7623" w:rsidP="002B444A">
      <w:pPr>
        <w:pStyle w:val="Heading1"/>
        <w:ind w:left="567" w:hanging="567"/>
        <w:rPr>
          <w:rFonts w:ascii="Arial" w:hAnsi="Arial"/>
          <w:caps w:val="0"/>
        </w:rPr>
      </w:pPr>
      <w:bookmarkStart w:id="9" w:name="_Toc134517062"/>
      <w:bookmarkStart w:id="10" w:name="_Toc148520741"/>
      <w:bookmarkStart w:id="11" w:name="_Toc149574681"/>
      <w:r w:rsidRPr="000D556D">
        <w:rPr>
          <w:rFonts w:ascii="Arial" w:hAnsi="Arial"/>
          <w:caps w:val="0"/>
        </w:rPr>
        <w:t>Referenced Documents</w:t>
      </w:r>
      <w:bookmarkEnd w:id="6"/>
      <w:bookmarkEnd w:id="7"/>
      <w:bookmarkEnd w:id="9"/>
      <w:bookmarkEnd w:id="10"/>
      <w:bookmarkEnd w:id="11"/>
    </w:p>
    <w:p w14:paraId="7DFBB3FB" w14:textId="77777777" w:rsidR="00D8058C" w:rsidRPr="00045CDF" w:rsidRDefault="005417E9" w:rsidP="00D8058C">
      <w:pPr>
        <w:pStyle w:val="Bodynumbered1"/>
        <w:keepNext/>
      </w:pPr>
      <w:r w:rsidRPr="00DE33D3">
        <w:t xml:space="preserve">The following documents are referenced in this </w:t>
      </w:r>
      <w:r w:rsidR="00063F76" w:rsidRPr="00DE33D3">
        <w:t>Specification</w:t>
      </w:r>
      <w:r w:rsidR="00502381" w:rsidRPr="00DE33D3">
        <w:t>:</w:t>
      </w:r>
    </w:p>
    <w:p w14:paraId="3C34A489" w14:textId="54EEBFEF" w:rsidR="00D8058C" w:rsidRPr="00A54C0A" w:rsidRDefault="00D8058C" w:rsidP="00D8058C">
      <w:pPr>
        <w:pStyle w:val="BodyTextIndent"/>
        <w:keepNext/>
        <w:pBdr>
          <w:top w:val="single" w:sz="2" w:space="1" w:color="004259"/>
        </w:pBdr>
        <w:ind w:left="1843" w:hanging="1276"/>
        <w:rPr>
          <w:rFonts w:cs="Arial"/>
          <w:b/>
          <w:bCs w:val="0"/>
          <w:color w:val="004259"/>
          <w:sz w:val="22"/>
        </w:rPr>
      </w:pPr>
      <w:r w:rsidRPr="00A54C0A">
        <w:rPr>
          <w:b/>
          <w:bCs w:val="0"/>
          <w:color w:val="004259"/>
        </w:rPr>
        <w:t>Austr</w:t>
      </w:r>
      <w:r>
        <w:rPr>
          <w:b/>
          <w:bCs w:val="0"/>
          <w:color w:val="004259"/>
        </w:rPr>
        <w:t>alian/New Zealand Standards</w:t>
      </w:r>
    </w:p>
    <w:p w14:paraId="6CFD07AC" w14:textId="5B70EE96" w:rsidR="00AF0658" w:rsidRDefault="00D8058C" w:rsidP="00BF2A86">
      <w:pPr>
        <w:pStyle w:val="BodyTextIndent"/>
        <w:keepNext/>
        <w:spacing w:before="120"/>
      </w:pPr>
      <w:r w:rsidRPr="00D8058C">
        <w:t>AS/NZS</w:t>
      </w:r>
      <w:r w:rsidR="00554E70">
        <w:t> </w:t>
      </w:r>
      <w:r w:rsidRPr="00D8058C">
        <w:t>ISO 45001</w:t>
      </w:r>
      <w:r>
        <w:tab/>
      </w:r>
      <w:r w:rsidRPr="00D8058C">
        <w:t>Occupational Health and Safety Management Systems</w:t>
      </w:r>
    </w:p>
    <w:p w14:paraId="3776DE9B" w14:textId="00EACC4F" w:rsidR="006E1EC7" w:rsidRDefault="00C56298" w:rsidP="00C56298">
      <w:pPr>
        <w:pStyle w:val="Bodynumbered1"/>
      </w:pPr>
      <w:bookmarkStart w:id="12" w:name="_Toc514678947"/>
      <w:bookmarkStart w:id="13" w:name="_Toc886734"/>
      <w:bookmarkEnd w:id="8"/>
      <w:r>
        <w:t xml:space="preserve">This </w:t>
      </w:r>
      <w:r w:rsidR="00BA6366">
        <w:t>S</w:t>
      </w:r>
      <w:r>
        <w:t xml:space="preserve">pecification also references legislation </w:t>
      </w:r>
      <w:r w:rsidR="00C50DF9">
        <w:t>and subordinate legis</w:t>
      </w:r>
      <w:r w:rsidR="00DB1F15">
        <w:t xml:space="preserve">lation </w:t>
      </w:r>
      <w:r w:rsidR="00811650">
        <w:t xml:space="preserve">which is </w:t>
      </w:r>
      <w:r w:rsidR="00216708">
        <w:t>published in each jur</w:t>
      </w:r>
      <w:r w:rsidR="007B158D">
        <w:t>isdiction.</w:t>
      </w:r>
    </w:p>
    <w:p w14:paraId="526E67DB" w14:textId="6718A4CB" w:rsidR="00652BDE" w:rsidRPr="0074656D" w:rsidRDefault="00652BDE" w:rsidP="002B444A">
      <w:pPr>
        <w:pStyle w:val="Heading1"/>
        <w:ind w:left="567" w:hanging="567"/>
        <w:rPr>
          <w:rFonts w:ascii="Arial" w:hAnsi="Arial"/>
        </w:rPr>
      </w:pPr>
      <w:bookmarkStart w:id="14" w:name="_Toc134517063"/>
      <w:bookmarkStart w:id="15" w:name="_Toc148520742"/>
      <w:bookmarkStart w:id="16" w:name="_Toc149574682"/>
      <w:r w:rsidRPr="0074656D">
        <w:rPr>
          <w:rFonts w:ascii="Arial" w:hAnsi="Arial"/>
          <w:caps w:val="0"/>
        </w:rPr>
        <w:t>Definitions</w:t>
      </w:r>
      <w:bookmarkEnd w:id="14"/>
      <w:bookmarkEnd w:id="15"/>
      <w:bookmarkEnd w:id="16"/>
    </w:p>
    <w:p w14:paraId="0936C0BC" w14:textId="660408DF" w:rsidR="008E735A" w:rsidRPr="00DE33D3" w:rsidRDefault="00026EE7" w:rsidP="005D46DC">
      <w:pPr>
        <w:pStyle w:val="Bodynumbered1"/>
      </w:pPr>
      <w:r>
        <w:t>T</w:t>
      </w:r>
      <w:r w:rsidR="008E735A" w:rsidRPr="00DE33D3">
        <w:t xml:space="preserve">he following definitions </w:t>
      </w:r>
      <w:r w:rsidR="007D122A" w:rsidRPr="00DE33D3">
        <w:t>app</w:t>
      </w:r>
      <w:r w:rsidR="007D122A">
        <w:t>ly</w:t>
      </w:r>
      <w:r w:rsidR="008E735A" w:rsidRPr="00DE33D3">
        <w:t xml:space="preserve"> to this Specification</w:t>
      </w:r>
      <w:r w:rsidR="00A45188">
        <w:t xml:space="preserve">, as </w:t>
      </w:r>
      <w:r w:rsidR="00E26E37">
        <w:t>a</w:t>
      </w:r>
      <w:r w:rsidR="00A45188">
        <w:t>ppl</w:t>
      </w:r>
      <w:r w:rsidR="00E26E37">
        <w:t xml:space="preserve">icable in the </w:t>
      </w:r>
      <w:r w:rsidR="00E26E37" w:rsidRPr="00DD1865">
        <w:rPr>
          <w:rFonts w:eastAsia="SimSun" w:cs="Arial"/>
        </w:rPr>
        <w:t>jurisdiction</w:t>
      </w:r>
      <w:r w:rsidR="00E26E37">
        <w:rPr>
          <w:rFonts w:eastAsia="SimSun" w:cs="Arial"/>
        </w:rPr>
        <w:t xml:space="preserve"> where the Works are being constructed</w:t>
      </w:r>
      <w:r w:rsidR="00E26E37" w:rsidRPr="00DD1865">
        <w:rPr>
          <w:rFonts w:eastAsia="SimSun" w:cs="Arial"/>
        </w:rPr>
        <w:t>.</w:t>
      </w:r>
    </w:p>
    <w:tbl>
      <w:tblPr>
        <w:tblStyle w:val="TableGrid"/>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37"/>
        <w:gridCol w:w="6535"/>
      </w:tblGrid>
      <w:tr w:rsidR="0025772F" w:rsidRPr="00DE33D3" w14:paraId="5C3F1C90" w14:textId="77777777" w:rsidTr="00896742">
        <w:tc>
          <w:tcPr>
            <w:tcW w:w="2537" w:type="dxa"/>
          </w:tcPr>
          <w:p w14:paraId="54B2E1B6" w14:textId="77777777" w:rsidR="0025772F" w:rsidRPr="00DE33D3" w:rsidRDefault="0025772F">
            <w:pPr>
              <w:pStyle w:val="BodyText"/>
              <w:spacing w:before="120"/>
              <w:rPr>
                <w:b/>
                <w:bCs w:val="0"/>
              </w:rPr>
            </w:pPr>
            <w:r w:rsidRPr="008B18D6">
              <w:rPr>
                <w:b/>
                <w:bCs w:val="0"/>
              </w:rPr>
              <w:t>Code of Practice</w:t>
            </w:r>
          </w:p>
        </w:tc>
        <w:tc>
          <w:tcPr>
            <w:tcW w:w="6535" w:type="dxa"/>
          </w:tcPr>
          <w:p w14:paraId="6D89D862" w14:textId="5C4C18B1" w:rsidR="0025772F" w:rsidRPr="00DE33D3" w:rsidRDefault="0025772F">
            <w:pPr>
              <w:pStyle w:val="BodyText"/>
              <w:spacing w:before="120"/>
            </w:pPr>
            <w:r>
              <w:t xml:space="preserve">A Code of Practice published by the </w:t>
            </w:r>
            <w:r w:rsidR="00EE7E4C">
              <w:t>WHS</w:t>
            </w:r>
            <w:r>
              <w:t xml:space="preserve"> </w:t>
            </w:r>
            <w:r w:rsidR="003B0482">
              <w:t>Regulator</w:t>
            </w:r>
            <w:r>
              <w:t xml:space="preserve"> a</w:t>
            </w:r>
            <w:r w:rsidRPr="00804B79">
              <w:t>pplicable to the work under Contract</w:t>
            </w:r>
            <w:r>
              <w:t xml:space="preserve">. If no applicable Code of Practice is published by the </w:t>
            </w:r>
            <w:r w:rsidR="00EE7E4C">
              <w:t>WHS</w:t>
            </w:r>
            <w:r>
              <w:t xml:space="preserve"> </w:t>
            </w:r>
            <w:r w:rsidR="007B1771">
              <w:t>Regulator</w:t>
            </w:r>
            <w:r>
              <w:t>, the model Codes of Practice published by Safe Work Australia apply.</w:t>
            </w:r>
          </w:p>
        </w:tc>
      </w:tr>
      <w:tr w:rsidR="003176CF" w:rsidRPr="00DE33D3" w14:paraId="4EE593F1" w14:textId="77777777" w:rsidTr="00896742">
        <w:tc>
          <w:tcPr>
            <w:tcW w:w="2537" w:type="dxa"/>
          </w:tcPr>
          <w:p w14:paraId="172D9758" w14:textId="4C4AFF36" w:rsidR="003176CF" w:rsidRDefault="003176CF">
            <w:pPr>
              <w:pStyle w:val="BodyText"/>
              <w:spacing w:before="120"/>
              <w:rPr>
                <w:rFonts w:eastAsia="SimSun" w:cs="Arial"/>
                <w:b/>
                <w:bCs w:val="0"/>
              </w:rPr>
            </w:pPr>
            <w:r w:rsidRPr="003176CF">
              <w:rPr>
                <w:rFonts w:eastAsia="SimSun" w:cs="Arial"/>
                <w:b/>
                <w:bCs w:val="0"/>
              </w:rPr>
              <w:t>Heavy Vehicle National Law</w:t>
            </w:r>
            <w:r>
              <w:rPr>
                <w:rFonts w:eastAsia="SimSun" w:cs="Arial"/>
                <w:b/>
                <w:bCs w:val="0"/>
              </w:rPr>
              <w:t xml:space="preserve"> </w:t>
            </w:r>
          </w:p>
        </w:tc>
        <w:tc>
          <w:tcPr>
            <w:tcW w:w="6535" w:type="dxa"/>
          </w:tcPr>
          <w:p w14:paraId="4B13BA79" w14:textId="0D1B01D3" w:rsidR="003176CF" w:rsidRDefault="003176CF">
            <w:pPr>
              <w:pStyle w:val="BodyText"/>
              <w:spacing w:before="120"/>
              <w:rPr>
                <w:rFonts w:eastAsia="SimSun"/>
              </w:rPr>
            </w:pPr>
            <w:r>
              <w:rPr>
                <w:rFonts w:eastAsia="SimSun"/>
              </w:rPr>
              <w:t xml:space="preserve">The </w:t>
            </w:r>
            <w:r w:rsidR="00AC3FEA" w:rsidRPr="00AC3FEA">
              <w:rPr>
                <w:rFonts w:eastAsia="SimSun"/>
              </w:rPr>
              <w:t>Heavy Vehicle National Law</w:t>
            </w:r>
            <w:r>
              <w:rPr>
                <w:rFonts w:eastAsia="SimSun"/>
              </w:rPr>
              <w:t xml:space="preserve"> </w:t>
            </w:r>
            <w:r w:rsidR="00C23F2B">
              <w:rPr>
                <w:rFonts w:eastAsia="SimSun"/>
              </w:rPr>
              <w:t xml:space="preserve">(where </w:t>
            </w:r>
            <w:r w:rsidRPr="008A754C">
              <w:rPr>
                <w:rFonts w:eastAsia="SimSun"/>
              </w:rPr>
              <w:t>applicable</w:t>
            </w:r>
            <w:r w:rsidR="00C23F2B">
              <w:rPr>
                <w:rFonts w:eastAsia="SimSun"/>
              </w:rPr>
              <w:t>)</w:t>
            </w:r>
            <w:r w:rsidR="00AC3FEA">
              <w:rPr>
                <w:rFonts w:eastAsia="SimSun"/>
              </w:rPr>
              <w:t xml:space="preserve"> </w:t>
            </w:r>
            <w:r w:rsidR="00816443">
              <w:rPr>
                <w:rFonts w:eastAsia="SimSun"/>
              </w:rPr>
              <w:t xml:space="preserve">enacted </w:t>
            </w:r>
            <w:r w:rsidR="00AC3FEA">
              <w:rPr>
                <w:rFonts w:eastAsia="SimSun"/>
              </w:rPr>
              <w:t xml:space="preserve">in the </w:t>
            </w:r>
            <w:r w:rsidR="0082348E">
              <w:rPr>
                <w:rFonts w:eastAsia="SimSun"/>
              </w:rPr>
              <w:t xml:space="preserve">jurisdiction </w:t>
            </w:r>
            <w:r w:rsidR="00685DD2">
              <w:rPr>
                <w:rFonts w:eastAsia="SimSun"/>
              </w:rPr>
              <w:t xml:space="preserve">where the </w:t>
            </w:r>
            <w:r w:rsidRPr="008A754C">
              <w:rPr>
                <w:rFonts w:eastAsia="SimSun"/>
              </w:rPr>
              <w:t xml:space="preserve">work under Contract </w:t>
            </w:r>
            <w:r w:rsidR="00685DD2">
              <w:rPr>
                <w:rFonts w:eastAsia="SimSun"/>
              </w:rPr>
              <w:t xml:space="preserve">is being carried out </w:t>
            </w:r>
            <w:r w:rsidRPr="008A754C">
              <w:rPr>
                <w:rFonts w:eastAsia="SimSun"/>
              </w:rPr>
              <w:t xml:space="preserve">and listed in Annexure </w:t>
            </w:r>
            <w:r w:rsidR="00685DD2">
              <w:rPr>
                <w:rFonts w:eastAsia="SimSun"/>
              </w:rPr>
              <w:t>C</w:t>
            </w:r>
            <w:r w:rsidRPr="008A754C">
              <w:rPr>
                <w:rFonts w:eastAsia="SimSun"/>
              </w:rPr>
              <w:t>.</w:t>
            </w:r>
          </w:p>
        </w:tc>
      </w:tr>
      <w:tr w:rsidR="006F3CC1" w:rsidRPr="00DE33D3" w14:paraId="5421D28D" w14:textId="77777777" w:rsidTr="00896742">
        <w:tc>
          <w:tcPr>
            <w:tcW w:w="2537" w:type="dxa"/>
          </w:tcPr>
          <w:p w14:paraId="7BEF59F7" w14:textId="77777777" w:rsidR="006F3CC1" w:rsidRPr="00DE33D3" w:rsidRDefault="006F3CC1">
            <w:pPr>
              <w:pStyle w:val="BodyText"/>
              <w:spacing w:before="120"/>
              <w:rPr>
                <w:b/>
                <w:bCs w:val="0"/>
              </w:rPr>
            </w:pPr>
            <w:r>
              <w:rPr>
                <w:rFonts w:eastAsia="SimSun" w:cs="Arial"/>
                <w:b/>
                <w:bCs w:val="0"/>
              </w:rPr>
              <w:t>WHS Law</w:t>
            </w:r>
          </w:p>
        </w:tc>
        <w:tc>
          <w:tcPr>
            <w:tcW w:w="6535" w:type="dxa"/>
          </w:tcPr>
          <w:p w14:paraId="285B5D95" w14:textId="7530C64E" w:rsidR="006F3CC1" w:rsidRPr="00DE33D3" w:rsidRDefault="006F3CC1">
            <w:pPr>
              <w:pStyle w:val="BodyText"/>
              <w:spacing w:before="120"/>
            </w:pPr>
            <w:r>
              <w:rPr>
                <w:rFonts w:eastAsia="SimSun"/>
              </w:rPr>
              <w:t xml:space="preserve">The WHS </w:t>
            </w:r>
            <w:r w:rsidRPr="00DD1865">
              <w:rPr>
                <w:rFonts w:eastAsia="SimSun" w:cs="Arial"/>
              </w:rPr>
              <w:t xml:space="preserve">legislation, </w:t>
            </w:r>
            <w:proofErr w:type="gramStart"/>
            <w:r w:rsidRPr="00DD1865">
              <w:rPr>
                <w:rFonts w:eastAsia="SimSun" w:cs="Arial"/>
              </w:rPr>
              <w:t>regulations</w:t>
            </w:r>
            <w:proofErr w:type="gramEnd"/>
            <w:r w:rsidR="005B2F7D">
              <w:rPr>
                <w:rFonts w:eastAsia="SimSun" w:cs="Arial"/>
              </w:rPr>
              <w:t xml:space="preserve"> and</w:t>
            </w:r>
            <w:r w:rsidRPr="00DD1865">
              <w:rPr>
                <w:rFonts w:eastAsia="SimSun" w:cs="Arial"/>
              </w:rPr>
              <w:t xml:space="preserve"> </w:t>
            </w:r>
            <w:r w:rsidR="000910E5">
              <w:rPr>
                <w:rFonts w:eastAsia="SimSun" w:cs="Arial"/>
              </w:rPr>
              <w:t>C</w:t>
            </w:r>
            <w:r w:rsidRPr="00DD1865">
              <w:rPr>
                <w:rFonts w:eastAsia="SimSun" w:cs="Arial"/>
              </w:rPr>
              <w:t xml:space="preserve">odes of </w:t>
            </w:r>
            <w:r w:rsidR="000910E5">
              <w:rPr>
                <w:rFonts w:eastAsia="SimSun" w:cs="Arial"/>
              </w:rPr>
              <w:t>P</w:t>
            </w:r>
            <w:r w:rsidRPr="00DD1865">
              <w:rPr>
                <w:rFonts w:eastAsia="SimSun" w:cs="Arial"/>
              </w:rPr>
              <w:t xml:space="preserve">ractice </w:t>
            </w:r>
            <w:r w:rsidR="005B2F7D" w:rsidRPr="005B2F7D">
              <w:rPr>
                <w:rFonts w:eastAsia="SimSun" w:cs="Arial"/>
              </w:rPr>
              <w:t>applicable in the jurisdiction where the work is being carried out</w:t>
            </w:r>
            <w:r>
              <w:rPr>
                <w:rFonts w:eastAsia="SimSun" w:cs="Arial"/>
              </w:rPr>
              <w:t>.</w:t>
            </w:r>
          </w:p>
        </w:tc>
      </w:tr>
      <w:tr w:rsidR="006F3CC1" w:rsidRPr="00DE33D3" w14:paraId="6F508BE6" w14:textId="77777777" w:rsidTr="00896742">
        <w:tc>
          <w:tcPr>
            <w:tcW w:w="2537" w:type="dxa"/>
          </w:tcPr>
          <w:p w14:paraId="3097589F" w14:textId="77777777" w:rsidR="006F3CC1" w:rsidRDefault="006F3CC1">
            <w:pPr>
              <w:pStyle w:val="BodyText"/>
              <w:spacing w:before="120"/>
              <w:rPr>
                <w:rFonts w:eastAsia="SimSun" w:cs="Arial"/>
                <w:b/>
                <w:bCs w:val="0"/>
              </w:rPr>
            </w:pPr>
            <w:r>
              <w:rPr>
                <w:rFonts w:eastAsia="SimSun" w:cs="Arial"/>
                <w:b/>
                <w:bCs w:val="0"/>
              </w:rPr>
              <w:t>WHS Regulations</w:t>
            </w:r>
          </w:p>
        </w:tc>
        <w:tc>
          <w:tcPr>
            <w:tcW w:w="6535" w:type="dxa"/>
          </w:tcPr>
          <w:p w14:paraId="392F86BB" w14:textId="77777777" w:rsidR="006F3CC1" w:rsidRDefault="006F3CC1">
            <w:pPr>
              <w:pStyle w:val="BodyText"/>
              <w:spacing w:before="120"/>
              <w:rPr>
                <w:rFonts w:eastAsia="SimSun"/>
              </w:rPr>
            </w:pPr>
            <w:r>
              <w:rPr>
                <w:rFonts w:eastAsia="SimSun"/>
              </w:rPr>
              <w:t xml:space="preserve">The regulations issue pursuant to the WHS legislation </w:t>
            </w:r>
            <w:r w:rsidRPr="008A754C">
              <w:rPr>
                <w:rFonts w:eastAsia="SimSun"/>
              </w:rPr>
              <w:t>applicable to the work under Contract and listed in Annexure B.</w:t>
            </w:r>
          </w:p>
        </w:tc>
      </w:tr>
      <w:tr w:rsidR="0025772F" w:rsidRPr="00DE33D3" w14:paraId="70DB5E19" w14:textId="77777777" w:rsidTr="00896742">
        <w:trPr>
          <w:trHeight w:val="412"/>
        </w:trPr>
        <w:tc>
          <w:tcPr>
            <w:tcW w:w="2537" w:type="dxa"/>
          </w:tcPr>
          <w:p w14:paraId="7C37AEFA" w14:textId="0398438C" w:rsidR="0025772F" w:rsidRPr="00DE33D3" w:rsidRDefault="007F60E3">
            <w:pPr>
              <w:pStyle w:val="BodyText"/>
              <w:spacing w:before="120"/>
              <w:rPr>
                <w:b/>
                <w:bCs w:val="0"/>
              </w:rPr>
            </w:pPr>
            <w:r>
              <w:rPr>
                <w:b/>
                <w:bCs w:val="0"/>
              </w:rPr>
              <w:t>WHS</w:t>
            </w:r>
            <w:r w:rsidR="0025772F">
              <w:rPr>
                <w:b/>
                <w:bCs w:val="0"/>
              </w:rPr>
              <w:t xml:space="preserve"> </w:t>
            </w:r>
            <w:r w:rsidR="00053943">
              <w:rPr>
                <w:b/>
                <w:bCs w:val="0"/>
              </w:rPr>
              <w:t>Regulator</w:t>
            </w:r>
          </w:p>
        </w:tc>
        <w:tc>
          <w:tcPr>
            <w:tcW w:w="6535" w:type="dxa"/>
          </w:tcPr>
          <w:p w14:paraId="7F40B7E2" w14:textId="77777777" w:rsidR="0025772F" w:rsidRPr="00DE33D3" w:rsidRDefault="0025772F">
            <w:pPr>
              <w:pStyle w:val="BodyText"/>
              <w:spacing w:before="120"/>
              <w:rPr>
                <w:rFonts w:eastAsia="SimSun" w:cs="Arial"/>
              </w:rPr>
            </w:pPr>
            <w:bookmarkStart w:id="17" w:name="_Hlk129333539"/>
            <w:r>
              <w:rPr>
                <w:rFonts w:eastAsia="SimSun" w:cs="Arial"/>
              </w:rPr>
              <w:t>The government agency listed in Annexure B with the authority to administer the WHS laws a</w:t>
            </w:r>
            <w:r w:rsidRPr="00A40971">
              <w:rPr>
                <w:rFonts w:eastAsia="SimSun" w:cs="Arial"/>
              </w:rPr>
              <w:t>pplicable to the work under Contract</w:t>
            </w:r>
            <w:r w:rsidRPr="00DD1865">
              <w:rPr>
                <w:rFonts w:eastAsia="SimSun" w:cs="Arial"/>
              </w:rPr>
              <w:t>.</w:t>
            </w:r>
            <w:bookmarkEnd w:id="17"/>
          </w:p>
        </w:tc>
      </w:tr>
    </w:tbl>
    <w:p w14:paraId="61E79C41" w14:textId="7DDCF065" w:rsidR="00B876A3" w:rsidRDefault="00BA6366" w:rsidP="00A46112">
      <w:pPr>
        <w:pStyle w:val="Notes"/>
        <w:ind w:firstLine="567"/>
      </w:pPr>
      <w:bookmarkStart w:id="18" w:name="_Toc74148885"/>
      <w:bookmarkStart w:id="19" w:name="_Ref9599800"/>
      <w:bookmarkEnd w:id="12"/>
      <w:bookmarkEnd w:id="13"/>
      <w:r>
        <w:t xml:space="preserve">Note: </w:t>
      </w:r>
      <w:r w:rsidR="001E71E2">
        <w:t>A</w:t>
      </w:r>
      <w:r>
        <w:t xml:space="preserve"> list </w:t>
      </w:r>
      <w:r w:rsidR="00CA4584">
        <w:t xml:space="preserve">of the Australian WHS Legislation and WHS Regulations is </w:t>
      </w:r>
      <w:r w:rsidR="00B876A3">
        <w:t>included in Annexure B</w:t>
      </w:r>
      <w:r w:rsidR="009A616C">
        <w:t>.</w:t>
      </w:r>
    </w:p>
    <w:p w14:paraId="45206109" w14:textId="77777777" w:rsidR="00294CA9" w:rsidRDefault="00294CA9" w:rsidP="00294CA9">
      <w:pPr>
        <w:pStyle w:val="Bodynumbered1"/>
      </w:pPr>
      <w:r>
        <w:t>‘Occupational Health and Safety’ has the same meaning as ‘Work Health and Safety’.</w:t>
      </w:r>
    </w:p>
    <w:p w14:paraId="04C9E185" w14:textId="77777777" w:rsidR="00294CA9" w:rsidRDefault="00026EE7">
      <w:pPr>
        <w:pStyle w:val="Bodynumbered1"/>
      </w:pPr>
      <w:r>
        <w:t>Te</w:t>
      </w:r>
      <w:r w:rsidR="00BA6366">
        <w:t>rm</w:t>
      </w:r>
      <w:r>
        <w:t xml:space="preserve">s defined in the WHS Law </w:t>
      </w:r>
      <w:r w:rsidR="00382B8B">
        <w:t>have the same meaning in this Specification</w:t>
      </w:r>
      <w:r w:rsidR="0056764D">
        <w:t xml:space="preserve"> and are identified </w:t>
      </w:r>
      <w:proofErr w:type="gramStart"/>
      <w:r w:rsidR="0056764D">
        <w:t>by the use of</w:t>
      </w:r>
      <w:proofErr w:type="gramEnd"/>
      <w:r w:rsidR="0056764D">
        <w:t xml:space="preserve"> italic font</w:t>
      </w:r>
      <w:r w:rsidR="000F0081">
        <w:t>.</w:t>
      </w:r>
    </w:p>
    <w:p w14:paraId="2A2F5D65" w14:textId="5ED0042E" w:rsidR="00442A35" w:rsidRPr="00055190" w:rsidRDefault="00101B83" w:rsidP="002B444A">
      <w:pPr>
        <w:pStyle w:val="Heading1"/>
        <w:ind w:left="567" w:hanging="567"/>
        <w:rPr>
          <w:rFonts w:ascii="Arial" w:hAnsi="Arial"/>
        </w:rPr>
      </w:pPr>
      <w:bookmarkStart w:id="20" w:name="_Toc134517064"/>
      <w:bookmarkStart w:id="21" w:name="_Toc148520743"/>
      <w:bookmarkStart w:id="22" w:name="_Toc149574683"/>
      <w:r w:rsidRPr="00055190">
        <w:rPr>
          <w:rFonts w:ascii="Arial" w:hAnsi="Arial"/>
          <w:caps w:val="0"/>
        </w:rPr>
        <w:t>The</w:t>
      </w:r>
      <w:r w:rsidRPr="00055190">
        <w:rPr>
          <w:rFonts w:ascii="Arial" w:hAnsi="Arial"/>
        </w:rPr>
        <w:t xml:space="preserve"> </w:t>
      </w:r>
      <w:r w:rsidRPr="00055190">
        <w:rPr>
          <w:rFonts w:ascii="Arial" w:hAnsi="Arial"/>
          <w:caps w:val="0"/>
        </w:rPr>
        <w:t>Contractor’s</w:t>
      </w:r>
      <w:r w:rsidRPr="00055190">
        <w:rPr>
          <w:rFonts w:ascii="Arial" w:hAnsi="Arial"/>
        </w:rPr>
        <w:t xml:space="preserve"> </w:t>
      </w:r>
      <w:r w:rsidRPr="00055190">
        <w:rPr>
          <w:rFonts w:ascii="Arial" w:hAnsi="Arial"/>
          <w:caps w:val="0"/>
        </w:rPr>
        <w:t>WHS</w:t>
      </w:r>
      <w:r w:rsidRPr="00055190">
        <w:rPr>
          <w:rFonts w:ascii="Arial" w:hAnsi="Arial"/>
        </w:rPr>
        <w:t xml:space="preserve"> </w:t>
      </w:r>
      <w:r w:rsidRPr="00055190">
        <w:rPr>
          <w:rFonts w:ascii="Arial" w:hAnsi="Arial"/>
          <w:caps w:val="0"/>
        </w:rPr>
        <w:t>Obligations</w:t>
      </w:r>
      <w:bookmarkEnd w:id="18"/>
      <w:bookmarkEnd w:id="20"/>
      <w:bookmarkEnd w:id="21"/>
      <w:bookmarkEnd w:id="22"/>
    </w:p>
    <w:p w14:paraId="74F2513A" w14:textId="73625A5A" w:rsidR="009D1A48" w:rsidRDefault="007C0316" w:rsidP="00FE469B">
      <w:pPr>
        <w:pStyle w:val="Bodynumbered1"/>
        <w:keepNext/>
        <w:rPr>
          <w:rFonts w:eastAsia="Arial"/>
          <w:lang w:val="en-US" w:bidi="en-US"/>
        </w:rPr>
      </w:pPr>
      <w:r w:rsidRPr="00DE33D3">
        <w:rPr>
          <w:rFonts w:eastAsia="Arial"/>
          <w:lang w:val="en-US" w:bidi="en-US"/>
        </w:rPr>
        <w:t xml:space="preserve">The </w:t>
      </w:r>
      <w:r w:rsidR="009D1A48" w:rsidRPr="00DE33D3">
        <w:rPr>
          <w:rFonts w:eastAsia="Arial"/>
          <w:lang w:val="en-US" w:bidi="en-US"/>
        </w:rPr>
        <w:t>Contractor</w:t>
      </w:r>
      <w:r w:rsidR="009D1A48">
        <w:rPr>
          <w:rFonts w:eastAsia="Arial"/>
          <w:lang w:val="en-US" w:bidi="en-US"/>
        </w:rPr>
        <w:t>:</w:t>
      </w:r>
    </w:p>
    <w:p w14:paraId="3D96F0E7" w14:textId="0DE18727" w:rsidR="00541C82" w:rsidRDefault="0031154B" w:rsidP="008B04C7">
      <w:pPr>
        <w:pStyle w:val="Bodynumbered2"/>
        <w:ind w:left="993" w:hanging="426"/>
        <w:rPr>
          <w:rFonts w:eastAsia="Arial"/>
          <w:lang w:val="en-US" w:bidi="en-US"/>
        </w:rPr>
      </w:pPr>
      <w:r>
        <w:rPr>
          <w:rFonts w:eastAsia="Arial"/>
          <w:lang w:val="en-US" w:bidi="en-US"/>
        </w:rPr>
        <w:t>i</w:t>
      </w:r>
      <w:r w:rsidR="00585F01">
        <w:rPr>
          <w:rFonts w:eastAsia="Arial"/>
          <w:lang w:val="en-US" w:bidi="en-US"/>
        </w:rPr>
        <w:t xml:space="preserve">s </w:t>
      </w:r>
      <w:r w:rsidR="00541C82" w:rsidRPr="00541C82">
        <w:rPr>
          <w:rFonts w:eastAsia="Arial"/>
          <w:lang w:val="en-US" w:bidi="en-US"/>
        </w:rPr>
        <w:t xml:space="preserve">appointed as </w:t>
      </w:r>
      <w:r w:rsidR="00541C82">
        <w:rPr>
          <w:rFonts w:eastAsia="Arial"/>
          <w:lang w:val="en-US" w:bidi="en-US"/>
        </w:rPr>
        <w:t xml:space="preserve">the </w:t>
      </w:r>
      <w:r w:rsidR="00541C82" w:rsidRPr="000F0081">
        <w:rPr>
          <w:rFonts w:eastAsia="Arial"/>
          <w:i/>
          <w:iCs/>
          <w:lang w:val="en-US" w:bidi="en-US"/>
        </w:rPr>
        <w:t>principal contractor</w:t>
      </w:r>
      <w:r w:rsidR="0091359F">
        <w:rPr>
          <w:rFonts w:eastAsia="Arial"/>
          <w:lang w:val="en-US" w:bidi="en-US"/>
        </w:rPr>
        <w:t>; and</w:t>
      </w:r>
    </w:p>
    <w:p w14:paraId="67A3179E" w14:textId="591551ED" w:rsidR="0091359F" w:rsidRPr="00541C82" w:rsidRDefault="00D82A3C" w:rsidP="008B04C7">
      <w:pPr>
        <w:pStyle w:val="Bodynumbered2"/>
        <w:ind w:left="993" w:hanging="426"/>
        <w:rPr>
          <w:rFonts w:eastAsia="Arial"/>
          <w:lang w:val="en-US" w:bidi="en-US"/>
        </w:rPr>
      </w:pPr>
      <w:r>
        <w:rPr>
          <w:rFonts w:eastAsia="Arial"/>
          <w:lang w:val="en-US" w:bidi="en-US"/>
        </w:rPr>
        <w:t>m</w:t>
      </w:r>
      <w:r w:rsidR="0091359F">
        <w:rPr>
          <w:rFonts w:eastAsia="Arial"/>
          <w:lang w:val="en-US" w:bidi="en-US"/>
        </w:rPr>
        <w:t xml:space="preserve">ust </w:t>
      </w:r>
      <w:r w:rsidR="0091359F" w:rsidRPr="0091359F">
        <w:rPr>
          <w:rFonts w:eastAsia="Arial"/>
          <w:lang w:val="en-US" w:bidi="en-US"/>
        </w:rPr>
        <w:t xml:space="preserve">discharge the duties of a </w:t>
      </w:r>
      <w:r w:rsidR="0091359F" w:rsidRPr="000F0081">
        <w:rPr>
          <w:rFonts w:eastAsia="Arial"/>
          <w:i/>
          <w:iCs/>
          <w:lang w:val="en-US" w:bidi="en-US"/>
        </w:rPr>
        <w:t>principal contractor</w:t>
      </w:r>
      <w:r w:rsidR="0091359F" w:rsidRPr="0091359F">
        <w:rPr>
          <w:rFonts w:eastAsia="Arial"/>
          <w:lang w:val="en-US" w:bidi="en-US"/>
        </w:rPr>
        <w:t xml:space="preserve"> as required by </w:t>
      </w:r>
      <w:r>
        <w:rPr>
          <w:rFonts w:eastAsia="Arial"/>
          <w:lang w:val="en-US" w:bidi="en-US"/>
        </w:rPr>
        <w:t xml:space="preserve">the </w:t>
      </w:r>
      <w:r w:rsidR="0091359F" w:rsidRPr="0091359F">
        <w:rPr>
          <w:rFonts w:eastAsia="Arial"/>
          <w:lang w:val="en-US" w:bidi="en-US"/>
        </w:rPr>
        <w:t xml:space="preserve">WHS </w:t>
      </w:r>
      <w:r>
        <w:rPr>
          <w:rFonts w:eastAsia="Arial"/>
          <w:lang w:val="en-US" w:bidi="en-US"/>
        </w:rPr>
        <w:t>Law.</w:t>
      </w:r>
    </w:p>
    <w:p w14:paraId="02BDAAE9" w14:textId="2F86B3CF" w:rsidR="007C0316" w:rsidRPr="00DE33D3" w:rsidRDefault="0079336A" w:rsidP="004D0F77">
      <w:pPr>
        <w:pStyle w:val="Heading1"/>
        <w:ind w:left="567" w:hanging="567"/>
        <w:rPr>
          <w:rFonts w:hint="eastAsia"/>
        </w:rPr>
      </w:pPr>
      <w:bookmarkStart w:id="23" w:name="_Ref16595278"/>
      <w:bookmarkStart w:id="24" w:name="_Toc47437429"/>
      <w:bookmarkStart w:id="25" w:name="_Toc74148886"/>
      <w:bookmarkStart w:id="26" w:name="_Toc134517065"/>
      <w:bookmarkStart w:id="27" w:name="_Toc148520744"/>
      <w:bookmarkStart w:id="28" w:name="_Toc149574684"/>
      <w:bookmarkStart w:id="29" w:name="_Toc29489164"/>
      <w:bookmarkStart w:id="30" w:name="_Ref55460709"/>
      <w:bookmarkStart w:id="31" w:name="_Ref55470685"/>
      <w:bookmarkStart w:id="32" w:name="_Toc1138829"/>
      <w:bookmarkStart w:id="33" w:name="_Toc9850016"/>
      <w:bookmarkStart w:id="34" w:name="_Hlk9434043"/>
      <w:bookmarkEnd w:id="19"/>
      <w:r w:rsidRPr="004D0F77">
        <w:rPr>
          <w:rFonts w:ascii="Arial" w:hAnsi="Arial"/>
          <w:caps w:val="0"/>
        </w:rPr>
        <w:lastRenderedPageBreak/>
        <w:t>Safet</w:t>
      </w:r>
      <w:r w:rsidR="00FA2CCB" w:rsidRPr="004D0F77">
        <w:rPr>
          <w:rFonts w:ascii="Arial" w:hAnsi="Arial"/>
          <w:caps w:val="0"/>
        </w:rPr>
        <w:t>y</w:t>
      </w:r>
      <w:r>
        <w:t xml:space="preserve"> </w:t>
      </w:r>
      <w:r w:rsidRPr="004D0F77">
        <w:rPr>
          <w:rFonts w:ascii="Arial" w:hAnsi="Arial"/>
          <w:caps w:val="0"/>
        </w:rPr>
        <w:t>Management</w:t>
      </w:r>
      <w:r>
        <w:t xml:space="preserve"> </w:t>
      </w:r>
      <w:r w:rsidRPr="004D0F77">
        <w:rPr>
          <w:rFonts w:ascii="Arial" w:hAnsi="Arial"/>
          <w:caps w:val="0"/>
        </w:rPr>
        <w:t>System</w:t>
      </w:r>
      <w:bookmarkEnd w:id="23"/>
      <w:bookmarkEnd w:id="24"/>
      <w:bookmarkEnd w:id="25"/>
      <w:bookmarkEnd w:id="26"/>
      <w:bookmarkEnd w:id="27"/>
      <w:bookmarkEnd w:id="28"/>
    </w:p>
    <w:p w14:paraId="3B68D9CB" w14:textId="6A6AED08" w:rsidR="006A4BB2" w:rsidRDefault="0077742A" w:rsidP="00EB00E8">
      <w:pPr>
        <w:pStyle w:val="Bodynumbered1"/>
      </w:pPr>
      <w:bookmarkStart w:id="35" w:name="_Ref134451949"/>
      <w:bookmarkStart w:id="36" w:name="_Ref24712535"/>
      <w:r>
        <w:t xml:space="preserve">The Contractor must </w:t>
      </w:r>
      <w:r w:rsidR="00F30C3E">
        <w:t>pla</w:t>
      </w:r>
      <w:r w:rsidR="00FB364F">
        <w:t>n</w:t>
      </w:r>
      <w:r w:rsidR="00F30C3E">
        <w:t xml:space="preserve">, </w:t>
      </w:r>
      <w:proofErr w:type="gramStart"/>
      <w:r w:rsidR="00F30C3E">
        <w:t>implement</w:t>
      </w:r>
      <w:proofErr w:type="gramEnd"/>
      <w:r w:rsidR="00F30C3E">
        <w:t xml:space="preserve"> and comply with a safety </w:t>
      </w:r>
      <w:r w:rsidR="00FB364F">
        <w:t>management</w:t>
      </w:r>
      <w:r w:rsidR="00F30C3E">
        <w:t xml:space="preserve"> system which </w:t>
      </w:r>
      <w:r w:rsidR="000854B3">
        <w:t xml:space="preserve">meets the requirements of </w:t>
      </w:r>
      <w:bookmarkStart w:id="37" w:name="_Hlk129263327"/>
      <w:r w:rsidR="005621BB" w:rsidRPr="00FB364F">
        <w:t>AS/NZS</w:t>
      </w:r>
      <w:r w:rsidR="00554E70">
        <w:t> </w:t>
      </w:r>
      <w:r w:rsidR="00430034" w:rsidRPr="00430034">
        <w:t>ISO 45001</w:t>
      </w:r>
      <w:r w:rsidR="00FB364F">
        <w:t>.</w:t>
      </w:r>
      <w:bookmarkEnd w:id="35"/>
      <w:bookmarkEnd w:id="37"/>
    </w:p>
    <w:p w14:paraId="6E85BAC5" w14:textId="75BF4400" w:rsidR="002B045B" w:rsidRDefault="007C0316" w:rsidP="006C299F">
      <w:pPr>
        <w:pStyle w:val="Bodynumbered1"/>
      </w:pPr>
      <w:r w:rsidRPr="00DE33D3">
        <w:t>Unless specified otherwise</w:t>
      </w:r>
      <w:r w:rsidR="00FB364F">
        <w:t xml:space="preserve"> in the </w:t>
      </w:r>
      <w:r w:rsidR="005D5625">
        <w:t>C</w:t>
      </w:r>
      <w:r w:rsidR="00FB364F">
        <w:t>ontract documents</w:t>
      </w:r>
      <w:r w:rsidRPr="00DE33D3">
        <w:t xml:space="preserve">, the </w:t>
      </w:r>
      <w:bookmarkStart w:id="38" w:name="_Hlk16405106"/>
      <w:r w:rsidRPr="00DE33D3">
        <w:t xml:space="preserve">Contractor must </w:t>
      </w:r>
      <w:r w:rsidR="00C812FF">
        <w:t xml:space="preserve">be certified to </w:t>
      </w:r>
      <w:bookmarkStart w:id="39" w:name="_Hlk132716264"/>
      <w:r w:rsidR="006C299F" w:rsidRPr="006C299F">
        <w:t>AS/NZS</w:t>
      </w:r>
      <w:r w:rsidR="0013597A">
        <w:t> </w:t>
      </w:r>
      <w:r w:rsidR="006C299F" w:rsidRPr="006C299F">
        <w:t>ISO 45001</w:t>
      </w:r>
      <w:bookmarkEnd w:id="39"/>
      <w:r w:rsidR="00DD5D48">
        <w:t xml:space="preserve"> by an organisation which is accredited by the J</w:t>
      </w:r>
      <w:r w:rsidR="00EB00E8" w:rsidRPr="00EB00E8">
        <w:t>oint Accreditation System of Australia and New Zealand</w:t>
      </w:r>
      <w:r w:rsidR="00EB00E8">
        <w:t xml:space="preserve"> (</w:t>
      </w:r>
      <w:r w:rsidR="001C1113">
        <w:t>JAS</w:t>
      </w:r>
      <w:r w:rsidR="00521760">
        <w:t>-</w:t>
      </w:r>
      <w:r w:rsidR="001C1113">
        <w:t>ANZ</w:t>
      </w:r>
      <w:r w:rsidR="002B045B">
        <w:t>)</w:t>
      </w:r>
      <w:r w:rsidR="00055D7F">
        <w:t>.</w:t>
      </w:r>
    </w:p>
    <w:p w14:paraId="40A0A2EA" w14:textId="0962785D" w:rsidR="00F14049" w:rsidRDefault="00F14049" w:rsidP="00DC3F73">
      <w:pPr>
        <w:pStyle w:val="Bodynumbered1"/>
      </w:pPr>
      <w:r>
        <w:t>Notwi</w:t>
      </w:r>
      <w:r w:rsidR="00DC3F73">
        <w:t xml:space="preserve">thstanding </w:t>
      </w:r>
      <w:r w:rsidR="00DC3F73" w:rsidRPr="00DC3F73">
        <w:t>AS/NZS</w:t>
      </w:r>
      <w:r w:rsidR="00554E70">
        <w:t> </w:t>
      </w:r>
      <w:r w:rsidR="00DC3F73" w:rsidRPr="00DC3F73">
        <w:t>ISO 45001</w:t>
      </w:r>
      <w:r w:rsidR="00DC3F73">
        <w:t xml:space="preserve">, all procedures required </w:t>
      </w:r>
      <w:r w:rsidR="000537F9">
        <w:t xml:space="preserve">for operation of the safety management system </w:t>
      </w:r>
      <w:r w:rsidR="00567831">
        <w:t xml:space="preserve">to </w:t>
      </w:r>
      <w:r w:rsidR="000537F9">
        <w:t>compl</w:t>
      </w:r>
      <w:r w:rsidR="00567831">
        <w:t>y</w:t>
      </w:r>
      <w:r w:rsidR="000537F9">
        <w:t xml:space="preserve"> with this Specification must be </w:t>
      </w:r>
      <w:r w:rsidR="00347735">
        <w:t>documented</w:t>
      </w:r>
      <w:r w:rsidR="00852E39">
        <w:t>.</w:t>
      </w:r>
    </w:p>
    <w:p w14:paraId="4620C027" w14:textId="7810B461" w:rsidR="00DC3390" w:rsidRPr="000B2379" w:rsidRDefault="007C183A" w:rsidP="00DC3390">
      <w:pPr>
        <w:pStyle w:val="Bodynumbered1"/>
        <w:rPr>
          <w:rFonts w:eastAsia="Arial"/>
          <w:lang w:val="en-US" w:bidi="en-US"/>
        </w:rPr>
      </w:pPr>
      <w:r>
        <w:rPr>
          <w:rFonts w:eastAsia="Arial"/>
          <w:lang w:val="en-US" w:bidi="en-US"/>
        </w:rPr>
        <w:t>Where appropriate, p</w:t>
      </w:r>
      <w:r w:rsidR="00DC3390">
        <w:rPr>
          <w:rFonts w:eastAsia="Arial"/>
          <w:lang w:val="en-US" w:bidi="en-US"/>
        </w:rPr>
        <w:t xml:space="preserve">rocedures, plans, instructions and other documentation necessary for compliance with Clause </w:t>
      </w:r>
      <w:r w:rsidR="00655F2D">
        <w:rPr>
          <w:rFonts w:eastAsia="Arial"/>
          <w:lang w:val="en-US" w:bidi="en-US"/>
        </w:rPr>
        <w:fldChar w:fldCharType="begin"/>
      </w:r>
      <w:r w:rsidR="00655F2D">
        <w:rPr>
          <w:rFonts w:eastAsia="Arial"/>
          <w:lang w:val="en-US" w:bidi="en-US"/>
        </w:rPr>
        <w:instrText xml:space="preserve"> REF _Ref134451949 \r \h </w:instrText>
      </w:r>
      <w:r w:rsidR="00655F2D">
        <w:rPr>
          <w:rFonts w:eastAsia="Arial"/>
          <w:lang w:val="en-US" w:bidi="en-US"/>
        </w:rPr>
      </w:r>
      <w:r w:rsidR="00655F2D">
        <w:rPr>
          <w:rFonts w:eastAsia="Arial"/>
          <w:lang w:val="en-US" w:bidi="en-US"/>
        </w:rPr>
        <w:fldChar w:fldCharType="separate"/>
      </w:r>
      <w:r w:rsidR="00C40E23">
        <w:rPr>
          <w:rFonts w:eastAsia="Arial"/>
          <w:lang w:val="en-US" w:bidi="en-US"/>
        </w:rPr>
        <w:t>5.1</w:t>
      </w:r>
      <w:r w:rsidR="00655F2D">
        <w:rPr>
          <w:rFonts w:eastAsia="Arial"/>
          <w:lang w:val="en-US" w:bidi="en-US"/>
        </w:rPr>
        <w:fldChar w:fldCharType="end"/>
      </w:r>
      <w:r w:rsidR="00DC3390">
        <w:rPr>
          <w:rFonts w:eastAsia="Arial"/>
          <w:lang w:val="en-US" w:bidi="en-US"/>
        </w:rPr>
        <w:t xml:space="preserve"> </w:t>
      </w:r>
      <w:r w:rsidR="00655F2D">
        <w:rPr>
          <w:rFonts w:eastAsia="Arial"/>
          <w:lang w:val="en-US" w:bidi="en-US"/>
        </w:rPr>
        <w:t xml:space="preserve">and the </w:t>
      </w:r>
      <w:r w:rsidR="00655F2D" w:rsidRPr="00205719">
        <w:rPr>
          <w:rFonts w:eastAsia="Arial"/>
          <w:i/>
          <w:iCs/>
          <w:lang w:val="en-US" w:bidi="en-US"/>
        </w:rPr>
        <w:t>WHS Regulations</w:t>
      </w:r>
      <w:r w:rsidR="00655F2D">
        <w:rPr>
          <w:rFonts w:eastAsia="Arial"/>
          <w:lang w:val="en-US" w:bidi="en-US"/>
        </w:rPr>
        <w:t xml:space="preserve"> must </w:t>
      </w:r>
      <w:r w:rsidR="00DC3390">
        <w:rPr>
          <w:rFonts w:eastAsia="Arial"/>
          <w:lang w:val="en-US" w:bidi="en-US"/>
        </w:rPr>
        <w:t>be cross referenced or included in the</w:t>
      </w:r>
      <w:r w:rsidR="00DC3390" w:rsidRPr="00067EE1">
        <w:rPr>
          <w:rFonts w:eastAsia="Arial"/>
          <w:i/>
          <w:iCs/>
          <w:lang w:val="en-US" w:bidi="en-US"/>
        </w:rPr>
        <w:t xml:space="preserve"> WHS Management Plan</w:t>
      </w:r>
      <w:r w:rsidR="005671A7">
        <w:rPr>
          <w:rFonts w:eastAsia="Arial"/>
          <w:lang w:val="en-US" w:bidi="en-US"/>
        </w:rPr>
        <w:t xml:space="preserve"> </w:t>
      </w:r>
      <w:r>
        <w:rPr>
          <w:rFonts w:eastAsia="Arial"/>
          <w:lang w:val="en-US" w:bidi="en-US"/>
        </w:rPr>
        <w:t>(</w:t>
      </w:r>
      <w:r w:rsidR="00DC3390">
        <w:rPr>
          <w:rFonts w:eastAsia="Arial"/>
          <w:lang w:val="en-US" w:bidi="en-US"/>
        </w:rPr>
        <w:t xml:space="preserve">refer Clause </w:t>
      </w:r>
      <w:r w:rsidR="00DC3390">
        <w:rPr>
          <w:rFonts w:eastAsia="Arial"/>
          <w:lang w:val="en-US" w:bidi="en-US"/>
        </w:rPr>
        <w:fldChar w:fldCharType="begin"/>
      </w:r>
      <w:r w:rsidR="00DC3390">
        <w:rPr>
          <w:rFonts w:eastAsia="Arial"/>
          <w:lang w:val="en-US" w:bidi="en-US"/>
        </w:rPr>
        <w:instrText xml:space="preserve"> REF _Ref132788625 \r \h </w:instrText>
      </w:r>
      <w:r w:rsidR="00DC3390">
        <w:rPr>
          <w:rFonts w:eastAsia="Arial"/>
          <w:lang w:val="en-US" w:bidi="en-US"/>
        </w:rPr>
      </w:r>
      <w:r w:rsidR="00DC3390">
        <w:rPr>
          <w:rFonts w:eastAsia="Arial"/>
          <w:lang w:val="en-US" w:bidi="en-US"/>
        </w:rPr>
        <w:fldChar w:fldCharType="separate"/>
      </w:r>
      <w:r w:rsidR="00C40E23">
        <w:rPr>
          <w:rFonts w:eastAsia="Arial"/>
          <w:lang w:val="en-US" w:bidi="en-US"/>
        </w:rPr>
        <w:t>6</w:t>
      </w:r>
      <w:r w:rsidR="00DC3390">
        <w:rPr>
          <w:rFonts w:eastAsia="Arial"/>
          <w:lang w:val="en-US" w:bidi="en-US"/>
        </w:rPr>
        <w:fldChar w:fldCharType="end"/>
      </w:r>
      <w:r w:rsidR="00DC3390">
        <w:rPr>
          <w:rFonts w:eastAsia="Arial"/>
          <w:lang w:val="en-US" w:bidi="en-US"/>
        </w:rPr>
        <w:t>). If requested by the</w:t>
      </w:r>
      <w:r w:rsidR="00DC3390" w:rsidRPr="00317E9A">
        <w:rPr>
          <w:rFonts w:eastAsia="Arial"/>
          <w:lang w:val="en-US" w:bidi="en-US"/>
        </w:rPr>
        <w:t xml:space="preserve"> </w:t>
      </w:r>
      <w:r w:rsidR="00DC3390">
        <w:rPr>
          <w:rFonts w:eastAsia="Arial"/>
          <w:lang w:val="en-US" w:bidi="en-US"/>
        </w:rPr>
        <w:t xml:space="preserve">Principal, copies of this documentation must be submitted with the </w:t>
      </w:r>
      <w:r w:rsidR="00DC3390" w:rsidRPr="00067EE1">
        <w:rPr>
          <w:rFonts w:eastAsia="Arial"/>
          <w:i/>
          <w:lang w:val="en-US" w:bidi="en-US"/>
        </w:rPr>
        <w:t>WHS Management Plan</w:t>
      </w:r>
      <w:r w:rsidR="00DC3390">
        <w:rPr>
          <w:rFonts w:eastAsia="Arial"/>
          <w:lang w:val="en-US" w:bidi="en-US"/>
        </w:rPr>
        <w:t>.</w:t>
      </w:r>
    </w:p>
    <w:p w14:paraId="6F4BBE81" w14:textId="1FF06315" w:rsidR="007C0316" w:rsidRPr="00523C3A" w:rsidRDefault="00067EE1" w:rsidP="008B04C7">
      <w:pPr>
        <w:pStyle w:val="Heading1"/>
        <w:ind w:left="567" w:hanging="567"/>
        <w:rPr>
          <w:rFonts w:hint="eastAsia"/>
        </w:rPr>
      </w:pPr>
      <w:bookmarkStart w:id="40" w:name="_Ref132788625"/>
      <w:bookmarkStart w:id="41" w:name="_Ref132896249"/>
      <w:bookmarkStart w:id="42" w:name="_Toc134517066"/>
      <w:bookmarkStart w:id="43" w:name="_Toc148520745"/>
      <w:bookmarkStart w:id="44" w:name="_Toc149574685"/>
      <w:bookmarkStart w:id="45" w:name="_Ref64376448"/>
      <w:bookmarkStart w:id="46" w:name="_Toc74148897"/>
      <w:bookmarkStart w:id="47" w:name="_Toc89333511"/>
      <w:bookmarkStart w:id="48" w:name="_Ref15469889"/>
      <w:bookmarkStart w:id="49" w:name="_Hlk9598492"/>
      <w:bookmarkEnd w:id="29"/>
      <w:bookmarkEnd w:id="30"/>
      <w:bookmarkEnd w:id="31"/>
      <w:bookmarkEnd w:id="36"/>
      <w:bookmarkEnd w:id="38"/>
      <w:r w:rsidRPr="008B04C7">
        <w:rPr>
          <w:rFonts w:ascii="Arial" w:hAnsi="Arial"/>
          <w:caps w:val="0"/>
        </w:rPr>
        <w:t>WHS</w:t>
      </w:r>
      <w:r w:rsidRPr="00523C3A">
        <w:t xml:space="preserve"> </w:t>
      </w:r>
      <w:r w:rsidRPr="008B04C7">
        <w:rPr>
          <w:rFonts w:ascii="Arial" w:hAnsi="Arial"/>
          <w:caps w:val="0"/>
        </w:rPr>
        <w:t>Management</w:t>
      </w:r>
      <w:r w:rsidRPr="00523C3A">
        <w:t xml:space="preserve"> </w:t>
      </w:r>
      <w:r w:rsidRPr="008B04C7">
        <w:rPr>
          <w:rFonts w:ascii="Arial" w:hAnsi="Arial"/>
          <w:caps w:val="0"/>
        </w:rPr>
        <w:t>Plan</w:t>
      </w:r>
      <w:bookmarkEnd w:id="40"/>
      <w:bookmarkEnd w:id="41"/>
      <w:bookmarkEnd w:id="42"/>
      <w:bookmarkEnd w:id="43"/>
      <w:bookmarkEnd w:id="44"/>
      <w:r w:rsidR="00940431" w:rsidRPr="00523C3A">
        <w:t xml:space="preserve"> </w:t>
      </w:r>
      <w:bookmarkEnd w:id="45"/>
      <w:bookmarkEnd w:id="46"/>
      <w:bookmarkEnd w:id="47"/>
    </w:p>
    <w:p w14:paraId="4FA3AA18" w14:textId="18E4C02C" w:rsidR="007C0316" w:rsidRPr="00DE33D3" w:rsidRDefault="00CD5FE2" w:rsidP="004E7550">
      <w:pPr>
        <w:pStyle w:val="Bodynumbered1"/>
        <w:rPr>
          <w:rFonts w:eastAsia="Arial"/>
          <w:lang w:val="en-US" w:bidi="en-US"/>
        </w:rPr>
      </w:pPr>
      <w:bookmarkStart w:id="50" w:name="_Ref71118916"/>
      <w:r>
        <w:rPr>
          <w:rFonts w:eastAsia="Arial"/>
          <w:lang w:val="en-US" w:bidi="en-US"/>
        </w:rPr>
        <w:t xml:space="preserve">Further to the requirements of </w:t>
      </w:r>
      <w:r w:rsidR="001828D2">
        <w:rPr>
          <w:rFonts w:eastAsia="Arial"/>
          <w:lang w:val="en-US" w:bidi="en-US"/>
        </w:rPr>
        <w:t xml:space="preserve">Section 309 of the </w:t>
      </w:r>
      <w:r>
        <w:rPr>
          <w:rFonts w:eastAsia="Arial"/>
          <w:lang w:val="en-US" w:bidi="en-US"/>
        </w:rPr>
        <w:t xml:space="preserve">WHS </w:t>
      </w:r>
      <w:r w:rsidR="001828D2">
        <w:rPr>
          <w:rFonts w:eastAsia="Arial"/>
          <w:lang w:val="en-US" w:bidi="en-US"/>
        </w:rPr>
        <w:t>Regulations</w:t>
      </w:r>
      <w:r>
        <w:rPr>
          <w:rFonts w:eastAsia="Arial"/>
          <w:lang w:val="en-US" w:bidi="en-US"/>
        </w:rPr>
        <w:t>, t</w:t>
      </w:r>
      <w:r w:rsidR="004E7550" w:rsidRPr="004E7550">
        <w:rPr>
          <w:rFonts w:eastAsia="Arial"/>
          <w:lang w:val="en-US" w:bidi="en-US"/>
        </w:rPr>
        <w:t xml:space="preserve">he Contractor </w:t>
      </w:r>
      <w:r>
        <w:rPr>
          <w:rFonts w:eastAsia="Arial"/>
          <w:lang w:val="en-US" w:bidi="en-US"/>
        </w:rPr>
        <w:t>must</w:t>
      </w:r>
      <w:r w:rsidR="004E7550" w:rsidRPr="004E7550">
        <w:rPr>
          <w:rFonts w:eastAsia="Arial"/>
          <w:lang w:val="en-US" w:bidi="en-US"/>
        </w:rPr>
        <w:t xml:space="preserve"> develop, implement, and comply with a project specific </w:t>
      </w:r>
      <w:r w:rsidR="00067EE1" w:rsidRPr="00067EE1">
        <w:rPr>
          <w:rFonts w:eastAsia="Arial"/>
          <w:i/>
          <w:iCs/>
          <w:lang w:val="en-US" w:bidi="en-US"/>
        </w:rPr>
        <w:t>WHS Management Plan</w:t>
      </w:r>
      <w:r w:rsidR="004E7550" w:rsidRPr="007C6341">
        <w:rPr>
          <w:rFonts w:eastAsia="Arial"/>
          <w:i/>
          <w:iCs/>
          <w:lang w:val="en-US" w:bidi="en-US"/>
        </w:rPr>
        <w:t xml:space="preserve"> </w:t>
      </w:r>
      <w:r w:rsidR="004E7550" w:rsidRPr="004E7550">
        <w:rPr>
          <w:rFonts w:eastAsia="Arial"/>
          <w:lang w:val="en-US" w:bidi="en-US"/>
        </w:rPr>
        <w:t xml:space="preserve">which details the processes and procedures to </w:t>
      </w:r>
      <w:r w:rsidR="00355AE3">
        <w:rPr>
          <w:rFonts w:eastAsia="Arial"/>
          <w:lang w:val="en-US" w:bidi="en-US"/>
        </w:rPr>
        <w:t>safely</w:t>
      </w:r>
      <w:r w:rsidR="008E7268">
        <w:rPr>
          <w:rFonts w:eastAsia="Arial"/>
          <w:lang w:val="en-US" w:bidi="en-US"/>
        </w:rPr>
        <w:t xml:space="preserve"> </w:t>
      </w:r>
      <w:r w:rsidR="004E7550" w:rsidRPr="004E7550">
        <w:rPr>
          <w:rFonts w:eastAsia="Arial"/>
          <w:lang w:val="en-US" w:bidi="en-US"/>
        </w:rPr>
        <w:t xml:space="preserve">manage </w:t>
      </w:r>
      <w:r w:rsidR="00B93B59">
        <w:rPr>
          <w:rFonts w:eastAsia="Arial"/>
          <w:lang w:val="en-US" w:bidi="en-US"/>
        </w:rPr>
        <w:t xml:space="preserve">the work under the </w:t>
      </w:r>
      <w:r w:rsidR="008E7268">
        <w:rPr>
          <w:rFonts w:eastAsia="Arial"/>
          <w:lang w:val="en-US" w:bidi="en-US"/>
        </w:rPr>
        <w:t>C</w:t>
      </w:r>
      <w:r w:rsidR="00B93B59">
        <w:rPr>
          <w:rFonts w:eastAsia="Arial"/>
          <w:lang w:val="en-US" w:bidi="en-US"/>
        </w:rPr>
        <w:t xml:space="preserve">ontract. </w:t>
      </w:r>
      <w:r w:rsidR="008C4E0C">
        <w:rPr>
          <w:rFonts w:eastAsia="Arial"/>
          <w:lang w:val="en-US" w:bidi="en-US"/>
        </w:rPr>
        <w:t xml:space="preserve">At a minimum, the </w:t>
      </w:r>
      <w:r w:rsidR="00067EE1" w:rsidRPr="00067EE1">
        <w:rPr>
          <w:rFonts w:eastAsia="Arial"/>
          <w:i/>
          <w:iCs/>
          <w:lang w:val="en-US" w:bidi="en-US"/>
        </w:rPr>
        <w:t xml:space="preserve">WHS Management </w:t>
      </w:r>
      <w:r w:rsidR="00ED395E" w:rsidRPr="00067EE1">
        <w:rPr>
          <w:rFonts w:eastAsia="Arial"/>
          <w:i/>
          <w:iCs/>
          <w:lang w:val="en-US" w:bidi="en-US"/>
        </w:rPr>
        <w:t>Plan</w:t>
      </w:r>
      <w:r w:rsidR="00ED395E">
        <w:rPr>
          <w:rFonts w:eastAsia="Arial"/>
          <w:lang w:val="en-US" w:bidi="en-US"/>
        </w:rPr>
        <w:t xml:space="preserve"> </w:t>
      </w:r>
      <w:r w:rsidR="00ED395E" w:rsidRPr="004E7550">
        <w:rPr>
          <w:rFonts w:eastAsia="Arial"/>
          <w:lang w:val="en-US" w:bidi="en-US"/>
        </w:rPr>
        <w:t>must</w:t>
      </w:r>
      <w:r w:rsidR="007C0316" w:rsidRPr="00DE33D3">
        <w:rPr>
          <w:rFonts w:eastAsia="Arial"/>
          <w:lang w:val="en-US" w:bidi="en-US"/>
        </w:rPr>
        <w:t xml:space="preserve"> include</w:t>
      </w:r>
      <w:r w:rsidR="00A13364">
        <w:rPr>
          <w:rFonts w:eastAsia="Arial"/>
          <w:lang w:val="en-US" w:bidi="en-US"/>
        </w:rPr>
        <w:t xml:space="preserve"> (in addition to that specified in </w:t>
      </w:r>
      <w:r w:rsidR="00964972">
        <w:rPr>
          <w:rFonts w:eastAsia="Arial"/>
          <w:lang w:val="en-US" w:bidi="en-US"/>
        </w:rPr>
        <w:t>the WHS Regulations)</w:t>
      </w:r>
      <w:r w:rsidR="007C0316" w:rsidRPr="00DE33D3">
        <w:rPr>
          <w:rFonts w:eastAsia="Arial"/>
          <w:lang w:val="en-US" w:bidi="en-US"/>
        </w:rPr>
        <w:t>:</w:t>
      </w:r>
      <w:bookmarkEnd w:id="50"/>
    </w:p>
    <w:p w14:paraId="5F415D11" w14:textId="0D194393" w:rsidR="00C06282" w:rsidRPr="00762E6E" w:rsidRDefault="005229F7" w:rsidP="00A400FD">
      <w:pPr>
        <w:pStyle w:val="Bodynumbered2"/>
        <w:numPr>
          <w:ilvl w:val="0"/>
          <w:numId w:val="21"/>
        </w:numPr>
        <w:ind w:left="993" w:hanging="426"/>
      </w:pPr>
      <w:r>
        <w:t xml:space="preserve">an </w:t>
      </w:r>
      <w:r w:rsidR="00762E6E" w:rsidRPr="00762E6E">
        <w:t>o</w:t>
      </w:r>
      <w:r w:rsidR="0047386C" w:rsidRPr="00762E6E">
        <w:t xml:space="preserve">verview </w:t>
      </w:r>
      <w:r w:rsidR="00E92E25" w:rsidRPr="00762E6E">
        <w:t xml:space="preserve">of the work under the </w:t>
      </w:r>
      <w:r w:rsidR="0047386C" w:rsidRPr="00762E6E">
        <w:t>C</w:t>
      </w:r>
      <w:r w:rsidR="00E92E25" w:rsidRPr="00762E6E">
        <w:t>ontract</w:t>
      </w:r>
      <w:r w:rsidR="00964972" w:rsidRPr="00762E6E">
        <w:t xml:space="preserve">; </w:t>
      </w:r>
      <w:r w:rsidR="00E92E25" w:rsidRPr="00762E6E">
        <w:t>such as</w:t>
      </w:r>
      <w:r w:rsidR="00964972" w:rsidRPr="00762E6E">
        <w:t>,</w:t>
      </w:r>
      <w:r w:rsidR="00E92E25" w:rsidRPr="00762E6E">
        <w:t xml:space="preserve"> </w:t>
      </w:r>
      <w:r w:rsidR="008C6217" w:rsidRPr="00762E6E">
        <w:t>contract name</w:t>
      </w:r>
      <w:r w:rsidR="00E92E25" w:rsidRPr="00762E6E">
        <w:t>, location</w:t>
      </w:r>
      <w:r w:rsidR="0047386C" w:rsidRPr="00762E6E">
        <w:t>, scope</w:t>
      </w:r>
      <w:r w:rsidR="00E92E25" w:rsidRPr="00762E6E">
        <w:t xml:space="preserve"> </w:t>
      </w:r>
      <w:r w:rsidR="008C6217" w:rsidRPr="00762E6E">
        <w:t>and expected duration;</w:t>
      </w:r>
    </w:p>
    <w:p w14:paraId="54706880" w14:textId="312C90E0" w:rsidR="001A409F" w:rsidRPr="00762E6E" w:rsidRDefault="001A409F" w:rsidP="00A400FD">
      <w:pPr>
        <w:pStyle w:val="Bodynumbered2"/>
        <w:ind w:left="993" w:hanging="426"/>
      </w:pPr>
      <w:r w:rsidRPr="00762E6E">
        <w:t>a site layout plan (covering temporary accommodation, storage, pedestrian and vehicular routes, plant location, and emergency procedures)</w:t>
      </w:r>
      <w:r w:rsidR="007F082D">
        <w:t>;</w:t>
      </w:r>
    </w:p>
    <w:p w14:paraId="19DBF7AE" w14:textId="77777777" w:rsidR="00AA5A91" w:rsidRPr="00762E6E" w:rsidRDefault="00AA5A91" w:rsidP="00A400FD">
      <w:pPr>
        <w:pStyle w:val="Bodynumbered2"/>
        <w:ind w:left="993" w:hanging="426"/>
      </w:pPr>
      <w:r w:rsidRPr="00762E6E">
        <w:t>the site access requirements for personnel, subcontractors, and visitors;</w:t>
      </w:r>
    </w:p>
    <w:p w14:paraId="286B2418" w14:textId="7CF3453F" w:rsidR="00AA5A91" w:rsidRPr="00762E6E" w:rsidRDefault="00AA5A91" w:rsidP="00A400FD">
      <w:pPr>
        <w:pStyle w:val="Bodynumbered2"/>
        <w:ind w:left="993" w:hanging="426"/>
      </w:pPr>
      <w:r w:rsidRPr="00762E6E">
        <w:t>procedures for site induction, including induction of short</w:t>
      </w:r>
      <w:r w:rsidR="006C4C2A">
        <w:t>-</w:t>
      </w:r>
      <w:r w:rsidRPr="00762E6E">
        <w:t>term</w:t>
      </w:r>
      <w:r w:rsidR="004F02E8">
        <w:t xml:space="preserve"> </w:t>
      </w:r>
      <w:r w:rsidRPr="00762E6E">
        <w:t>workers and visitors;</w:t>
      </w:r>
    </w:p>
    <w:p w14:paraId="417A2B5F" w14:textId="4AF39D4A" w:rsidR="00FA4B65" w:rsidRPr="00762E6E" w:rsidRDefault="00CE31AE" w:rsidP="00A400FD">
      <w:pPr>
        <w:pStyle w:val="Bodynumbered2"/>
        <w:ind w:left="993" w:hanging="426"/>
      </w:pPr>
      <w:r w:rsidRPr="00762E6E">
        <w:t xml:space="preserve">procedures for the assessment </w:t>
      </w:r>
      <w:r w:rsidR="009332B5" w:rsidRPr="00762E6E">
        <w:t xml:space="preserve">and management </w:t>
      </w:r>
      <w:r w:rsidR="00CE4256" w:rsidRPr="00762E6E">
        <w:t>of subcontractors</w:t>
      </w:r>
      <w:r w:rsidR="005265B3" w:rsidRPr="00762E6E">
        <w:t>;</w:t>
      </w:r>
    </w:p>
    <w:p w14:paraId="28469AB9" w14:textId="77777777" w:rsidR="00512E3A" w:rsidRDefault="00380C09" w:rsidP="00A400FD">
      <w:pPr>
        <w:pStyle w:val="Bodynumbered2"/>
        <w:ind w:left="993" w:hanging="426"/>
      </w:pPr>
      <w:r w:rsidRPr="00762E6E">
        <w:t xml:space="preserve">references to the relevant Safe Work Method Statements </w:t>
      </w:r>
      <w:r w:rsidR="00E07A83" w:rsidRPr="00762E6E">
        <w:t xml:space="preserve">and other safety procedures or </w:t>
      </w:r>
      <w:r w:rsidR="00B519DD" w:rsidRPr="00762E6E">
        <w:t>instructions applicable</w:t>
      </w:r>
      <w:r w:rsidRPr="00762E6E">
        <w:t xml:space="preserve"> to the work</w:t>
      </w:r>
      <w:r w:rsidR="00512E3A">
        <w:t>;</w:t>
      </w:r>
    </w:p>
    <w:p w14:paraId="2A4C2792" w14:textId="5C8A47F6" w:rsidR="00380C09" w:rsidRPr="00762E6E" w:rsidRDefault="00034C62" w:rsidP="00A400FD">
      <w:pPr>
        <w:pStyle w:val="Bodynumbered2"/>
        <w:ind w:left="993" w:hanging="426"/>
      </w:pPr>
      <w:r w:rsidRPr="00762E6E">
        <w:t>reference</w:t>
      </w:r>
      <w:r w:rsidR="00463535">
        <w:t>s</w:t>
      </w:r>
      <w:r w:rsidRPr="00762E6E">
        <w:t xml:space="preserve"> to the applicable </w:t>
      </w:r>
      <w:r w:rsidR="00BB1A69" w:rsidRPr="00762E6E">
        <w:t>sections of the Quality Plan</w:t>
      </w:r>
      <w:r w:rsidR="00C535A8" w:rsidRPr="00762E6E">
        <w:t xml:space="preserve"> and Traffic Management Plan</w:t>
      </w:r>
      <w:r w:rsidR="00463535">
        <w:t xml:space="preserve"> (where applicable)</w:t>
      </w:r>
      <w:r w:rsidR="00380C09" w:rsidRPr="00762E6E">
        <w:t>;</w:t>
      </w:r>
    </w:p>
    <w:p w14:paraId="1A3B666F" w14:textId="009340CE" w:rsidR="00380C09" w:rsidRPr="00762E6E" w:rsidRDefault="00380C09" w:rsidP="00A400FD">
      <w:pPr>
        <w:pStyle w:val="Bodynumbered2"/>
        <w:ind w:left="993" w:hanging="426"/>
      </w:pPr>
      <w:r w:rsidRPr="00762E6E">
        <w:t>reference to the emergency management procedures;</w:t>
      </w:r>
      <w:r w:rsidR="00AB21BC" w:rsidRPr="00AB21BC">
        <w:t xml:space="preserve"> </w:t>
      </w:r>
      <w:r w:rsidR="00AB21BC" w:rsidRPr="00762E6E">
        <w:t>and</w:t>
      </w:r>
    </w:p>
    <w:p w14:paraId="1F4D8518" w14:textId="38EE62C2" w:rsidR="00380C09" w:rsidRPr="00762E6E" w:rsidRDefault="00380C09" w:rsidP="00A400FD">
      <w:pPr>
        <w:pStyle w:val="Bodynumbered2"/>
        <w:ind w:left="993" w:hanging="426"/>
      </w:pPr>
      <w:r w:rsidRPr="00762E6E">
        <w:t xml:space="preserve">a WHS Audit Schedule as relevant to the </w:t>
      </w:r>
      <w:r w:rsidR="00B519DD" w:rsidRPr="00762E6E">
        <w:t>work under the contract</w:t>
      </w:r>
      <w:r w:rsidR="00AB21BC">
        <w:t>.</w:t>
      </w:r>
    </w:p>
    <w:p w14:paraId="6927ACDD" w14:textId="6CDB2362" w:rsidR="00380C09" w:rsidRDefault="000C3245" w:rsidP="005E235C">
      <w:pPr>
        <w:pStyle w:val="Bodynumbered1"/>
      </w:pPr>
      <w:bookmarkStart w:id="51" w:name="_Ref129350078"/>
      <w:r>
        <w:t xml:space="preserve">Subject to Clause </w:t>
      </w:r>
      <w:r>
        <w:fldChar w:fldCharType="begin"/>
      </w:r>
      <w:r>
        <w:instrText xml:space="preserve"> REF _Ref129349479 \r \h </w:instrText>
      </w:r>
      <w:r>
        <w:fldChar w:fldCharType="separate"/>
      </w:r>
      <w:r w:rsidR="00C40E23">
        <w:t>6.3</w:t>
      </w:r>
      <w:r>
        <w:fldChar w:fldCharType="end"/>
      </w:r>
      <w:r>
        <w:t>, t</w:t>
      </w:r>
      <w:r w:rsidR="00380C09">
        <w:t xml:space="preserve">he Contractor </w:t>
      </w:r>
      <w:r w:rsidR="005E235C">
        <w:t>must</w:t>
      </w:r>
      <w:r w:rsidR="00380C09">
        <w:t xml:space="preserve"> submit a copy of </w:t>
      </w:r>
      <w:r w:rsidR="00626D81">
        <w:t>the</w:t>
      </w:r>
      <w:r w:rsidR="00380C09" w:rsidRPr="00390F06">
        <w:rPr>
          <w:i/>
          <w:iCs/>
        </w:rPr>
        <w:t xml:space="preserve"> </w:t>
      </w:r>
      <w:r w:rsidR="00067EE1" w:rsidRPr="00067EE1">
        <w:rPr>
          <w:i/>
          <w:iCs/>
        </w:rPr>
        <w:t>WHS Management Plan</w:t>
      </w:r>
      <w:r w:rsidR="00380C09">
        <w:t xml:space="preserve"> to the Principal</w:t>
      </w:r>
      <w:r w:rsidR="00F468E4">
        <w:t>.</w:t>
      </w:r>
      <w:bookmarkEnd w:id="51"/>
    </w:p>
    <w:tbl>
      <w:tblPr>
        <w:tblStyle w:val="TMTable1"/>
        <w:tblW w:w="0" w:type="auto"/>
        <w:tblInd w:w="562" w:type="dxa"/>
        <w:tblLook w:val="04A0" w:firstRow="1" w:lastRow="0" w:firstColumn="1" w:lastColumn="0" w:noHBand="0" w:noVBand="1"/>
      </w:tblPr>
      <w:tblGrid>
        <w:gridCol w:w="1985"/>
        <w:gridCol w:w="6953"/>
      </w:tblGrid>
      <w:tr w:rsidR="005E235C" w:rsidRPr="00DE33D3" w14:paraId="49B6A1CA" w14:textId="77777777" w:rsidTr="00995D14">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4546D719" w14:textId="31342464" w:rsidR="005E235C" w:rsidRPr="00DE33D3" w:rsidRDefault="005E235C">
            <w:pPr>
              <w:pStyle w:val="TableHeading"/>
              <w:rPr>
                <w:rFonts w:eastAsia="SimSun"/>
              </w:rPr>
            </w:pPr>
            <w:bookmarkStart w:id="52" w:name="_Hlk132797294"/>
            <w:r w:rsidRPr="00D50024">
              <w:rPr>
                <w:bCs/>
                <w:color w:val="FFFFFF" w:themeColor="background1"/>
              </w:rPr>
              <w:t>HOLD POINT 1</w:t>
            </w:r>
          </w:p>
        </w:tc>
      </w:tr>
      <w:tr w:rsidR="005E235C" w:rsidRPr="00DE33D3" w14:paraId="40AF4E37" w14:textId="77777777" w:rsidTr="00BC636D">
        <w:tc>
          <w:tcPr>
            <w:tcW w:w="1985" w:type="dxa"/>
            <w:tcBorders>
              <w:bottom w:val="single" w:sz="4" w:space="0" w:color="FFFFFF" w:themeColor="background1"/>
            </w:tcBorders>
          </w:tcPr>
          <w:p w14:paraId="7E6995B3" w14:textId="77777777" w:rsidR="005E235C" w:rsidRPr="006C6794" w:rsidRDefault="005E235C">
            <w:pPr>
              <w:pStyle w:val="TableBodyText"/>
            </w:pPr>
            <w:r w:rsidRPr="00AD1697">
              <w:t>Process Held</w:t>
            </w:r>
          </w:p>
        </w:tc>
        <w:tc>
          <w:tcPr>
            <w:tcW w:w="6953" w:type="dxa"/>
            <w:tcBorders>
              <w:bottom w:val="single" w:sz="4" w:space="0" w:color="FFFFFF" w:themeColor="background1"/>
            </w:tcBorders>
          </w:tcPr>
          <w:p w14:paraId="33A0F3A2" w14:textId="2BA230E7" w:rsidR="005E235C" w:rsidRPr="006C6794" w:rsidRDefault="005E235C">
            <w:pPr>
              <w:pStyle w:val="TableBodyText"/>
            </w:pPr>
            <w:r w:rsidRPr="006C6794">
              <w:t xml:space="preserve">Commencement of </w:t>
            </w:r>
            <w:r w:rsidR="00C361BC" w:rsidRPr="006C6794">
              <w:t>work</w:t>
            </w:r>
            <w:r w:rsidR="00524828" w:rsidRPr="006C6794">
              <w:t xml:space="preserve"> on Site</w:t>
            </w:r>
            <w:r w:rsidRPr="006C6794">
              <w:t>.</w:t>
            </w:r>
          </w:p>
        </w:tc>
      </w:tr>
      <w:tr w:rsidR="005E235C" w:rsidRPr="00DE33D3" w14:paraId="0425051F" w14:textId="77777777" w:rsidTr="00BC636D">
        <w:tc>
          <w:tcPr>
            <w:tcW w:w="1985" w:type="dxa"/>
            <w:tcBorders>
              <w:bottom w:val="single" w:sz="4" w:space="0" w:color="FFFFFF" w:themeColor="background1"/>
            </w:tcBorders>
          </w:tcPr>
          <w:p w14:paraId="20586EF2" w14:textId="77777777" w:rsidR="005E235C" w:rsidRPr="00643BE9" w:rsidRDefault="005E235C">
            <w:pPr>
              <w:pStyle w:val="TableBodyText"/>
            </w:pPr>
            <w:r w:rsidRPr="00643BE9">
              <w:t>Submission Details</w:t>
            </w:r>
          </w:p>
        </w:tc>
        <w:tc>
          <w:tcPr>
            <w:tcW w:w="6953" w:type="dxa"/>
            <w:tcBorders>
              <w:bottom w:val="single" w:sz="4" w:space="0" w:color="FFFFFF" w:themeColor="background1"/>
            </w:tcBorders>
          </w:tcPr>
          <w:p w14:paraId="7BA50105" w14:textId="08896418" w:rsidR="005E235C" w:rsidRPr="00643BE9" w:rsidRDefault="00F468E4">
            <w:pPr>
              <w:pStyle w:val="TableBodyText"/>
            </w:pPr>
            <w:r w:rsidRPr="00643BE9">
              <w:t xml:space="preserve">The </w:t>
            </w:r>
            <w:r w:rsidR="00067EE1" w:rsidRPr="006C6794">
              <w:rPr>
                <w:i/>
                <w:iCs/>
              </w:rPr>
              <w:t>WHS Management Plan</w:t>
            </w:r>
            <w:r w:rsidR="00B519DD" w:rsidRPr="00643BE9">
              <w:t xml:space="preserve"> </w:t>
            </w:r>
            <w:r w:rsidRPr="00643BE9">
              <w:t xml:space="preserve">must be submitted </w:t>
            </w:r>
            <w:r w:rsidR="00B519DD" w:rsidRPr="00643BE9">
              <w:t>to the Principal at least 10</w:t>
            </w:r>
            <w:r w:rsidR="00D95027" w:rsidRPr="00643BE9">
              <w:t xml:space="preserve"> working </w:t>
            </w:r>
            <w:r w:rsidR="00B519DD" w:rsidRPr="00643BE9">
              <w:t>days prior to the commencement of work on the site</w:t>
            </w:r>
            <w:r w:rsidR="005E235C" w:rsidRPr="00643BE9">
              <w:t>.</w:t>
            </w:r>
          </w:p>
        </w:tc>
      </w:tr>
    </w:tbl>
    <w:p w14:paraId="5B520E58" w14:textId="6BF020CD" w:rsidR="00F93BB9" w:rsidRPr="00B5115A" w:rsidRDefault="00D453D5" w:rsidP="00E939C0">
      <w:pPr>
        <w:pStyle w:val="Bodynumbered1"/>
        <w:rPr>
          <w:rFonts w:eastAsia="Arial"/>
          <w:color w:val="000000" w:themeColor="text1"/>
          <w:lang w:val="en-US" w:bidi="en-US"/>
        </w:rPr>
      </w:pPr>
      <w:bookmarkStart w:id="53" w:name="_Ref129349479"/>
      <w:bookmarkEnd w:id="52"/>
      <w:r w:rsidRPr="00B5115A">
        <w:rPr>
          <w:color w:val="000000" w:themeColor="text1"/>
        </w:rPr>
        <w:t>Where a</w:t>
      </w:r>
      <w:r w:rsidRPr="00B5115A">
        <w:rPr>
          <w:i/>
          <w:iCs/>
          <w:color w:val="000000" w:themeColor="text1"/>
        </w:rPr>
        <w:t xml:space="preserve"> Safe Work Method Statement</w:t>
      </w:r>
      <w:r w:rsidRPr="00B5115A">
        <w:rPr>
          <w:color w:val="000000" w:themeColor="text1"/>
        </w:rPr>
        <w:t xml:space="preserve"> </w:t>
      </w:r>
      <w:r w:rsidR="00363042" w:rsidRPr="00B5115A">
        <w:rPr>
          <w:color w:val="000000" w:themeColor="text1"/>
        </w:rPr>
        <w:t xml:space="preserve">or </w:t>
      </w:r>
      <w:r w:rsidRPr="00B5115A">
        <w:rPr>
          <w:color w:val="000000" w:themeColor="text1"/>
        </w:rPr>
        <w:t>other safety procedure</w:t>
      </w:r>
      <w:r w:rsidR="00626D81" w:rsidRPr="00B5115A">
        <w:rPr>
          <w:color w:val="000000" w:themeColor="text1"/>
        </w:rPr>
        <w:t>,</w:t>
      </w:r>
      <w:r w:rsidRPr="00B5115A">
        <w:rPr>
          <w:color w:val="000000" w:themeColor="text1"/>
        </w:rPr>
        <w:t xml:space="preserve"> instruction</w:t>
      </w:r>
      <w:r w:rsidR="00626D81" w:rsidRPr="00B5115A">
        <w:rPr>
          <w:color w:val="000000" w:themeColor="text1"/>
        </w:rPr>
        <w:t xml:space="preserve"> or plan</w:t>
      </w:r>
      <w:r w:rsidRPr="00B5115A">
        <w:rPr>
          <w:color w:val="000000" w:themeColor="text1"/>
        </w:rPr>
        <w:t xml:space="preserve"> </w:t>
      </w:r>
      <w:r w:rsidR="00026481" w:rsidRPr="00B5115A">
        <w:rPr>
          <w:color w:val="000000" w:themeColor="text1"/>
        </w:rPr>
        <w:t xml:space="preserve">is only applicable to </w:t>
      </w:r>
      <w:r w:rsidR="00430630" w:rsidRPr="00B5115A">
        <w:rPr>
          <w:color w:val="000000" w:themeColor="text1"/>
        </w:rPr>
        <w:t xml:space="preserve">a </w:t>
      </w:r>
      <w:r w:rsidR="005370C8" w:rsidRPr="00B5115A">
        <w:rPr>
          <w:color w:val="000000" w:themeColor="text1"/>
        </w:rPr>
        <w:t>part of the work</w:t>
      </w:r>
      <w:r w:rsidR="00E965E7" w:rsidRPr="00B5115A">
        <w:rPr>
          <w:color w:val="000000" w:themeColor="text1"/>
        </w:rPr>
        <w:t xml:space="preserve"> under the Contract</w:t>
      </w:r>
      <w:r w:rsidR="005370C8" w:rsidRPr="00B5115A">
        <w:rPr>
          <w:color w:val="000000" w:themeColor="text1"/>
        </w:rPr>
        <w:t xml:space="preserve">, submission of that documentation </w:t>
      </w:r>
      <w:r w:rsidR="002A0939" w:rsidRPr="00B5115A">
        <w:rPr>
          <w:color w:val="000000" w:themeColor="text1"/>
        </w:rPr>
        <w:t xml:space="preserve">is not required until </w:t>
      </w:r>
      <w:r w:rsidR="00E939C0" w:rsidRPr="00B5115A">
        <w:rPr>
          <w:color w:val="000000" w:themeColor="text1"/>
        </w:rPr>
        <w:t>at least 10 working days prior to the commencement of that part of the work</w:t>
      </w:r>
      <w:r w:rsidR="00CC61EC" w:rsidRPr="00B5115A">
        <w:rPr>
          <w:color w:val="000000" w:themeColor="text1"/>
        </w:rPr>
        <w:t xml:space="preserve"> </w:t>
      </w:r>
      <w:r w:rsidR="00E965E7" w:rsidRPr="00B5115A">
        <w:rPr>
          <w:color w:val="000000" w:themeColor="text1"/>
        </w:rPr>
        <w:t>under the Contract</w:t>
      </w:r>
      <w:r w:rsidR="003F52DF" w:rsidRPr="00B5115A">
        <w:rPr>
          <w:color w:val="000000" w:themeColor="text1"/>
        </w:rPr>
        <w:t xml:space="preserve">. </w:t>
      </w:r>
      <w:r w:rsidR="00CC61EC" w:rsidRPr="00B5115A">
        <w:rPr>
          <w:color w:val="000000" w:themeColor="text1"/>
        </w:rPr>
        <w:t xml:space="preserve">Hold Point 1 will </w:t>
      </w:r>
      <w:r w:rsidR="008D403E" w:rsidRPr="00B5115A">
        <w:rPr>
          <w:color w:val="000000" w:themeColor="text1"/>
        </w:rPr>
        <w:t>then</w:t>
      </w:r>
      <w:r w:rsidR="00CC61EC" w:rsidRPr="00B5115A">
        <w:rPr>
          <w:color w:val="000000" w:themeColor="text1"/>
        </w:rPr>
        <w:t xml:space="preserve"> apply i</w:t>
      </w:r>
      <w:r w:rsidR="008D403E" w:rsidRPr="00B5115A">
        <w:rPr>
          <w:color w:val="000000" w:themeColor="text1"/>
        </w:rPr>
        <w:t>n</w:t>
      </w:r>
      <w:r w:rsidR="00CC61EC" w:rsidRPr="00B5115A">
        <w:rPr>
          <w:color w:val="000000" w:themeColor="text1"/>
        </w:rPr>
        <w:t xml:space="preserve"> respect of that </w:t>
      </w:r>
      <w:r w:rsidR="00E965E7" w:rsidRPr="00B5115A">
        <w:rPr>
          <w:color w:val="000000" w:themeColor="text1"/>
        </w:rPr>
        <w:t xml:space="preserve">part of the </w:t>
      </w:r>
      <w:r w:rsidR="003F52DF" w:rsidRPr="00B5115A">
        <w:rPr>
          <w:color w:val="000000" w:themeColor="text1"/>
        </w:rPr>
        <w:t>w</w:t>
      </w:r>
      <w:r w:rsidR="00E965E7" w:rsidRPr="00B5115A">
        <w:rPr>
          <w:color w:val="000000" w:themeColor="text1"/>
        </w:rPr>
        <w:t>ork</w:t>
      </w:r>
      <w:r w:rsidR="009011BB" w:rsidRPr="00B5115A">
        <w:rPr>
          <w:color w:val="000000" w:themeColor="text1"/>
        </w:rPr>
        <w:t xml:space="preserve"> under the Contract.</w:t>
      </w:r>
      <w:bookmarkEnd w:id="53"/>
    </w:p>
    <w:p w14:paraId="78EF35C7" w14:textId="1A884980" w:rsidR="00111697" w:rsidRPr="00B5115A" w:rsidRDefault="00993E6D" w:rsidP="007431AB">
      <w:pPr>
        <w:pStyle w:val="Bodynumbered1"/>
        <w:keepNext/>
        <w:rPr>
          <w:rFonts w:eastAsia="Arial"/>
          <w:color w:val="000000" w:themeColor="text1"/>
          <w:lang w:val="en-US" w:bidi="en-US"/>
        </w:rPr>
      </w:pPr>
      <w:r w:rsidRPr="00B5115A">
        <w:rPr>
          <w:rFonts w:eastAsia="Arial"/>
          <w:color w:val="000000" w:themeColor="text1"/>
          <w:lang w:val="en-US" w:bidi="en-US"/>
        </w:rPr>
        <w:lastRenderedPageBreak/>
        <w:t xml:space="preserve">Further to the requirements of </w:t>
      </w:r>
      <w:r w:rsidR="00FA28CD" w:rsidRPr="00B5115A">
        <w:rPr>
          <w:rFonts w:eastAsia="Arial"/>
          <w:color w:val="000000" w:themeColor="text1"/>
          <w:lang w:val="en-US" w:bidi="en-US"/>
        </w:rPr>
        <w:t xml:space="preserve">Section 311 of the </w:t>
      </w:r>
      <w:r w:rsidRPr="00B5115A">
        <w:rPr>
          <w:rFonts w:eastAsia="Arial"/>
          <w:color w:val="000000" w:themeColor="text1"/>
          <w:lang w:val="en-US" w:bidi="en-US"/>
        </w:rPr>
        <w:t xml:space="preserve">WHS </w:t>
      </w:r>
      <w:r w:rsidR="00FA28CD" w:rsidRPr="00B5115A">
        <w:rPr>
          <w:rFonts w:eastAsia="Arial"/>
          <w:color w:val="000000" w:themeColor="text1"/>
          <w:lang w:val="en-US" w:bidi="en-US"/>
        </w:rPr>
        <w:t>Regulations</w:t>
      </w:r>
      <w:r w:rsidR="00217462" w:rsidRPr="00B5115A">
        <w:rPr>
          <w:rFonts w:eastAsia="Arial"/>
          <w:color w:val="000000" w:themeColor="text1"/>
          <w:lang w:val="en-US" w:bidi="en-US"/>
        </w:rPr>
        <w:t>,</w:t>
      </w:r>
      <w:r w:rsidRPr="00B5115A">
        <w:rPr>
          <w:rFonts w:eastAsia="Arial"/>
          <w:color w:val="000000" w:themeColor="text1"/>
          <w:lang w:val="en-US" w:bidi="en-US"/>
        </w:rPr>
        <w:t xml:space="preserve"> </w:t>
      </w:r>
      <w:r w:rsidR="000826B6" w:rsidRPr="00B5115A">
        <w:rPr>
          <w:rFonts w:eastAsia="Arial"/>
          <w:color w:val="000000" w:themeColor="text1"/>
          <w:lang w:val="en-US" w:bidi="en-US"/>
        </w:rPr>
        <w:t>t</w:t>
      </w:r>
      <w:r w:rsidR="005259A2" w:rsidRPr="00B5115A">
        <w:rPr>
          <w:rFonts w:eastAsia="Arial"/>
          <w:color w:val="000000" w:themeColor="text1"/>
          <w:lang w:val="en-US" w:bidi="en-US"/>
        </w:rPr>
        <w:t xml:space="preserve">he Contractor must review and where required, revise the </w:t>
      </w:r>
      <w:r w:rsidR="00067EE1" w:rsidRPr="00B5115A">
        <w:rPr>
          <w:i/>
          <w:iCs/>
          <w:color w:val="000000" w:themeColor="text1"/>
        </w:rPr>
        <w:t>WHS Management Plan</w:t>
      </w:r>
      <w:r w:rsidR="00111697" w:rsidRPr="00B5115A">
        <w:rPr>
          <w:rFonts w:eastAsia="Arial"/>
          <w:color w:val="000000" w:themeColor="text1"/>
          <w:lang w:val="en-US" w:bidi="en-US"/>
        </w:rPr>
        <w:t>:</w:t>
      </w:r>
    </w:p>
    <w:p w14:paraId="43D84E8A" w14:textId="1AB60486" w:rsidR="00111697" w:rsidRPr="00B5115A" w:rsidRDefault="005E00FF" w:rsidP="00CC293B">
      <w:pPr>
        <w:pStyle w:val="Bodynumbered2"/>
        <w:numPr>
          <w:ilvl w:val="0"/>
          <w:numId w:val="20"/>
        </w:numPr>
        <w:ind w:left="993" w:hanging="426"/>
        <w:rPr>
          <w:rFonts w:eastAsia="Arial"/>
          <w:color w:val="000000" w:themeColor="text1"/>
          <w:lang w:val="en-US" w:bidi="en-US"/>
        </w:rPr>
      </w:pPr>
      <w:r w:rsidRPr="00B5115A">
        <w:rPr>
          <w:rFonts w:eastAsia="Arial"/>
          <w:color w:val="000000" w:themeColor="text1"/>
          <w:lang w:val="en-US" w:bidi="en-US"/>
        </w:rPr>
        <w:t>at</w:t>
      </w:r>
      <w:r w:rsidR="000826B6" w:rsidRPr="00B5115A">
        <w:rPr>
          <w:rFonts w:eastAsia="Arial"/>
          <w:color w:val="000000" w:themeColor="text1"/>
          <w:lang w:val="en-US" w:bidi="en-US"/>
        </w:rPr>
        <w:t xml:space="preserve"> intervals </w:t>
      </w:r>
      <w:r w:rsidR="00111697" w:rsidRPr="00B5115A">
        <w:rPr>
          <w:rFonts w:eastAsia="Arial"/>
          <w:color w:val="000000" w:themeColor="text1"/>
          <w:lang w:val="en-US" w:bidi="en-US"/>
        </w:rPr>
        <w:t xml:space="preserve">not exceeding 3 </w:t>
      </w:r>
      <w:proofErr w:type="gramStart"/>
      <w:r w:rsidR="00111697" w:rsidRPr="00B5115A">
        <w:rPr>
          <w:rFonts w:eastAsia="Arial"/>
          <w:color w:val="000000" w:themeColor="text1"/>
          <w:lang w:val="en-US" w:bidi="en-US"/>
        </w:rPr>
        <w:t>months;</w:t>
      </w:r>
      <w:proofErr w:type="gramEnd"/>
    </w:p>
    <w:p w14:paraId="65EC10E1" w14:textId="25836F3E" w:rsidR="005259A2" w:rsidRPr="00B5115A" w:rsidRDefault="005E00FF" w:rsidP="00CC293B">
      <w:pPr>
        <w:pStyle w:val="Bodynumbered2"/>
        <w:numPr>
          <w:ilvl w:val="0"/>
          <w:numId w:val="20"/>
        </w:numPr>
        <w:ind w:left="993" w:hanging="426"/>
        <w:rPr>
          <w:rFonts w:eastAsia="Arial"/>
          <w:color w:val="000000" w:themeColor="text1"/>
          <w:lang w:val="en-US" w:bidi="en-US"/>
        </w:rPr>
      </w:pPr>
      <w:r w:rsidRPr="00B5115A">
        <w:rPr>
          <w:rFonts w:eastAsia="Arial"/>
          <w:color w:val="000000" w:themeColor="text1"/>
          <w:lang w:val="en-US" w:bidi="en-US"/>
        </w:rPr>
        <w:t xml:space="preserve">if </w:t>
      </w:r>
      <w:r w:rsidR="005259A2" w:rsidRPr="00B5115A">
        <w:rPr>
          <w:rFonts w:eastAsia="Arial"/>
          <w:color w:val="000000" w:themeColor="text1"/>
          <w:lang w:val="en-US" w:bidi="en-US"/>
        </w:rPr>
        <w:t xml:space="preserve">there are changes to the work </w:t>
      </w:r>
      <w:r w:rsidRPr="00B5115A">
        <w:rPr>
          <w:rFonts w:eastAsia="Arial"/>
          <w:color w:val="000000" w:themeColor="text1"/>
          <w:lang w:val="en-US" w:bidi="en-US"/>
        </w:rPr>
        <w:t>that would affec</w:t>
      </w:r>
      <w:r w:rsidR="0025780A" w:rsidRPr="00B5115A">
        <w:rPr>
          <w:rFonts w:eastAsia="Arial"/>
          <w:color w:val="000000" w:themeColor="text1"/>
          <w:lang w:val="en-US" w:bidi="en-US"/>
        </w:rPr>
        <w:t>t safety management</w:t>
      </w:r>
      <w:r w:rsidR="005259A2" w:rsidRPr="00B5115A">
        <w:rPr>
          <w:rFonts w:eastAsia="Arial"/>
          <w:color w:val="000000" w:themeColor="text1"/>
          <w:lang w:val="en-US" w:bidi="en-US"/>
        </w:rPr>
        <w:t>;</w:t>
      </w:r>
    </w:p>
    <w:p w14:paraId="2C508638" w14:textId="748CD266" w:rsidR="005259A2" w:rsidRPr="00B5115A" w:rsidRDefault="009B7B40" w:rsidP="00CC293B">
      <w:pPr>
        <w:pStyle w:val="Bodynumbered2"/>
        <w:numPr>
          <w:ilvl w:val="0"/>
          <w:numId w:val="20"/>
        </w:numPr>
        <w:ind w:left="993" w:hanging="426"/>
        <w:rPr>
          <w:rFonts w:eastAsia="Arial"/>
          <w:color w:val="000000" w:themeColor="text1"/>
          <w:lang w:val="en-US" w:bidi="en-US"/>
        </w:rPr>
      </w:pPr>
      <w:r>
        <w:rPr>
          <w:rFonts w:eastAsia="Arial"/>
          <w:color w:val="000000" w:themeColor="text1"/>
          <w:lang w:val="en-US" w:bidi="en-US"/>
        </w:rPr>
        <w:t xml:space="preserve">if </w:t>
      </w:r>
      <w:r w:rsidR="005259A2" w:rsidRPr="00B5115A">
        <w:rPr>
          <w:rFonts w:eastAsia="Arial"/>
          <w:color w:val="000000" w:themeColor="text1"/>
          <w:lang w:val="en-US" w:bidi="en-US"/>
        </w:rPr>
        <w:t xml:space="preserve">a non-compliance from compliance auditing has identified deficiencies in the </w:t>
      </w:r>
      <w:proofErr w:type="gramStart"/>
      <w:r w:rsidR="005259A2" w:rsidRPr="00B5115A">
        <w:rPr>
          <w:rFonts w:eastAsia="Arial"/>
          <w:color w:val="000000" w:themeColor="text1"/>
          <w:lang w:val="en-US" w:bidi="en-US"/>
        </w:rPr>
        <w:t>Plan;</w:t>
      </w:r>
      <w:proofErr w:type="gramEnd"/>
    </w:p>
    <w:p w14:paraId="2839DD33" w14:textId="2013C4A8" w:rsidR="005259A2" w:rsidRPr="00B5115A" w:rsidRDefault="009B7B40" w:rsidP="00CC293B">
      <w:pPr>
        <w:pStyle w:val="Bodynumbered2"/>
        <w:numPr>
          <w:ilvl w:val="0"/>
          <w:numId w:val="20"/>
        </w:numPr>
        <w:ind w:left="993" w:hanging="426"/>
        <w:rPr>
          <w:rFonts w:eastAsia="Arial"/>
          <w:color w:val="000000" w:themeColor="text1"/>
          <w:lang w:val="en-US" w:bidi="en-US"/>
        </w:rPr>
      </w:pPr>
      <w:r>
        <w:rPr>
          <w:rFonts w:eastAsia="Arial"/>
          <w:color w:val="000000" w:themeColor="text1"/>
          <w:lang w:val="en-US" w:bidi="en-US"/>
        </w:rPr>
        <w:t xml:space="preserve">if there is </w:t>
      </w:r>
      <w:r w:rsidR="005259A2" w:rsidRPr="00B5115A">
        <w:rPr>
          <w:rFonts w:eastAsia="Arial"/>
          <w:color w:val="000000" w:themeColor="text1"/>
          <w:lang w:val="en-US" w:bidi="en-US"/>
        </w:rPr>
        <w:t>a change of</w:t>
      </w:r>
      <w:r w:rsidR="00514B5F" w:rsidRPr="00B5115A">
        <w:rPr>
          <w:rFonts w:eastAsia="Arial"/>
          <w:color w:val="000000" w:themeColor="text1"/>
          <w:lang w:val="en-US" w:bidi="en-US"/>
        </w:rPr>
        <w:t xml:space="preserve"> senior </w:t>
      </w:r>
      <w:r w:rsidR="004012E7" w:rsidRPr="00B5115A">
        <w:rPr>
          <w:rFonts w:eastAsia="Arial"/>
          <w:color w:val="000000" w:themeColor="text1"/>
          <w:lang w:val="en-US" w:bidi="en-US"/>
        </w:rPr>
        <w:t>site personnel</w:t>
      </w:r>
      <w:r w:rsidR="005259A2" w:rsidRPr="00B5115A">
        <w:rPr>
          <w:rFonts w:eastAsia="Arial"/>
          <w:color w:val="000000" w:themeColor="text1"/>
          <w:lang w:val="en-US" w:bidi="en-US"/>
        </w:rPr>
        <w:t>;</w:t>
      </w:r>
      <w:r w:rsidR="00C005ED" w:rsidRPr="00B5115A">
        <w:rPr>
          <w:rFonts w:eastAsia="Arial"/>
          <w:color w:val="000000" w:themeColor="text1"/>
          <w:lang w:val="en-US" w:bidi="en-US"/>
        </w:rPr>
        <w:t xml:space="preserve"> </w:t>
      </w:r>
      <w:r w:rsidR="00FA26F1" w:rsidRPr="00B5115A">
        <w:rPr>
          <w:rFonts w:eastAsia="Arial"/>
          <w:color w:val="000000" w:themeColor="text1"/>
          <w:lang w:val="en-US" w:bidi="en-US"/>
        </w:rPr>
        <w:t>and</w:t>
      </w:r>
    </w:p>
    <w:p w14:paraId="1E098A12" w14:textId="6EE4DDF5" w:rsidR="005259A2" w:rsidRPr="00B5115A" w:rsidRDefault="005259A2" w:rsidP="00CC293B">
      <w:pPr>
        <w:pStyle w:val="Bodynumbered2"/>
        <w:numPr>
          <w:ilvl w:val="0"/>
          <w:numId w:val="20"/>
        </w:numPr>
        <w:ind w:left="993" w:hanging="426"/>
        <w:rPr>
          <w:rFonts w:eastAsia="Arial"/>
          <w:color w:val="000000" w:themeColor="text1"/>
          <w:lang w:val="en-US" w:bidi="en-US"/>
        </w:rPr>
      </w:pPr>
      <w:r w:rsidRPr="00B5115A">
        <w:rPr>
          <w:rFonts w:eastAsia="Arial"/>
          <w:color w:val="000000" w:themeColor="text1"/>
          <w:lang w:val="en-US" w:bidi="en-US"/>
        </w:rPr>
        <w:t>additional hazards and/or risks not covered in the Plan or Project WHS Risk Register are identified</w:t>
      </w:r>
      <w:r w:rsidR="00FA26F1" w:rsidRPr="00B5115A">
        <w:rPr>
          <w:rFonts w:eastAsia="Arial"/>
          <w:color w:val="000000" w:themeColor="text1"/>
          <w:lang w:val="en-US" w:bidi="en-US"/>
        </w:rPr>
        <w:t>.</w:t>
      </w:r>
    </w:p>
    <w:p w14:paraId="33D42146" w14:textId="25A3A995" w:rsidR="00DD3D8A" w:rsidRPr="00B5115A" w:rsidRDefault="00893332" w:rsidP="005259A2">
      <w:pPr>
        <w:pStyle w:val="Bodynumbered1"/>
        <w:rPr>
          <w:rFonts w:eastAsia="Arial"/>
          <w:color w:val="000000" w:themeColor="text1"/>
          <w:lang w:val="en-US" w:bidi="en-US"/>
        </w:rPr>
      </w:pPr>
      <w:r w:rsidRPr="00B5115A">
        <w:rPr>
          <w:rFonts w:eastAsia="Arial"/>
          <w:color w:val="000000" w:themeColor="text1"/>
          <w:lang w:val="en-US" w:bidi="en-US"/>
        </w:rPr>
        <w:t xml:space="preserve">If the </w:t>
      </w:r>
      <w:r w:rsidR="00067EE1" w:rsidRPr="00B5115A">
        <w:rPr>
          <w:i/>
          <w:iCs/>
          <w:color w:val="000000" w:themeColor="text1"/>
        </w:rPr>
        <w:t>WHS Management Plan</w:t>
      </w:r>
      <w:r w:rsidRPr="00B5115A">
        <w:rPr>
          <w:rFonts w:eastAsia="Arial"/>
          <w:color w:val="000000" w:themeColor="text1"/>
          <w:lang w:val="en-US" w:bidi="en-US"/>
        </w:rPr>
        <w:t xml:space="preserve"> has been updated, it must </w:t>
      </w:r>
      <w:r w:rsidR="00DD3D8A" w:rsidRPr="00B5115A">
        <w:rPr>
          <w:rFonts w:eastAsia="Arial"/>
          <w:color w:val="000000" w:themeColor="text1"/>
          <w:lang w:val="en-US" w:bidi="en-US"/>
        </w:rPr>
        <w:t>be submitted to the Principal and Hold Point 1 will reapply</w:t>
      </w:r>
      <w:r w:rsidR="00721FF1" w:rsidRPr="00B5115A">
        <w:rPr>
          <w:rFonts w:eastAsia="Arial"/>
          <w:color w:val="000000" w:themeColor="text1"/>
          <w:lang w:val="en-US" w:bidi="en-US"/>
        </w:rPr>
        <w:t xml:space="preserve"> in respect of the updated part of the</w:t>
      </w:r>
      <w:r w:rsidR="00721FF1" w:rsidRPr="00B5115A">
        <w:rPr>
          <w:i/>
          <w:iCs/>
          <w:color w:val="000000" w:themeColor="text1"/>
        </w:rPr>
        <w:t xml:space="preserve"> </w:t>
      </w:r>
      <w:r w:rsidR="00067EE1" w:rsidRPr="00B5115A">
        <w:rPr>
          <w:i/>
          <w:iCs/>
          <w:color w:val="000000" w:themeColor="text1"/>
        </w:rPr>
        <w:t>WHS Management Plan</w:t>
      </w:r>
      <w:r w:rsidR="00DD3D8A" w:rsidRPr="00B5115A">
        <w:rPr>
          <w:rFonts w:eastAsia="Arial"/>
          <w:color w:val="000000" w:themeColor="text1"/>
          <w:lang w:val="en-US" w:bidi="en-US"/>
        </w:rPr>
        <w:t>.</w:t>
      </w:r>
    </w:p>
    <w:p w14:paraId="14DC5D01" w14:textId="77777777" w:rsidR="00E2465A" w:rsidRPr="00CC293B" w:rsidRDefault="00E2465A" w:rsidP="00CC293B">
      <w:pPr>
        <w:pStyle w:val="Heading1"/>
        <w:ind w:left="567" w:hanging="567"/>
        <w:rPr>
          <w:rFonts w:ascii="Arial" w:hAnsi="Arial"/>
          <w:caps w:val="0"/>
        </w:rPr>
      </w:pPr>
      <w:bookmarkStart w:id="54" w:name="_Toc133832967"/>
      <w:bookmarkStart w:id="55" w:name="_Toc134517067"/>
      <w:bookmarkStart w:id="56" w:name="_Toc148520746"/>
      <w:bookmarkStart w:id="57" w:name="_Toc149574686"/>
      <w:bookmarkStart w:id="58" w:name="_Ref55484616"/>
      <w:bookmarkEnd w:id="32"/>
      <w:bookmarkEnd w:id="33"/>
      <w:bookmarkEnd w:id="48"/>
      <w:bookmarkEnd w:id="49"/>
      <w:r w:rsidRPr="00CC293B">
        <w:rPr>
          <w:rFonts w:ascii="Arial" w:hAnsi="Arial"/>
          <w:caps w:val="0"/>
        </w:rPr>
        <w:t>Safety in Design of Construction Work</w:t>
      </w:r>
      <w:bookmarkEnd w:id="54"/>
      <w:bookmarkEnd w:id="55"/>
      <w:bookmarkEnd w:id="56"/>
      <w:bookmarkEnd w:id="57"/>
      <w:r w:rsidRPr="00CC293B">
        <w:rPr>
          <w:rFonts w:ascii="Arial" w:hAnsi="Arial"/>
          <w:caps w:val="0"/>
        </w:rPr>
        <w:t xml:space="preserve"> </w:t>
      </w:r>
    </w:p>
    <w:p w14:paraId="64E8BA2D" w14:textId="6784EC35" w:rsidR="00E2465A" w:rsidRPr="00EB1B9A" w:rsidRDefault="00E2465A" w:rsidP="00776925">
      <w:pPr>
        <w:pStyle w:val="Bodynumbered1"/>
        <w:rPr>
          <w:rFonts w:eastAsia="Arial"/>
          <w:lang w:val="en-US" w:bidi="en-US"/>
        </w:rPr>
      </w:pPr>
      <w:bookmarkStart w:id="59" w:name="_Ref133834186"/>
      <w:r w:rsidRPr="00EB1B9A">
        <w:rPr>
          <w:rFonts w:eastAsia="Arial"/>
          <w:lang w:val="en-US" w:bidi="en-US"/>
        </w:rPr>
        <w:t xml:space="preserve">Where the design of a structure or </w:t>
      </w:r>
      <w:r w:rsidR="00C975E1">
        <w:rPr>
          <w:rFonts w:eastAsia="Arial"/>
          <w:lang w:val="en-US" w:bidi="en-US"/>
        </w:rPr>
        <w:t xml:space="preserve">a </w:t>
      </w:r>
      <w:r w:rsidRPr="00EB1B9A">
        <w:rPr>
          <w:rFonts w:eastAsia="Arial"/>
          <w:lang w:val="en-US" w:bidi="en-US"/>
        </w:rPr>
        <w:t xml:space="preserve">part of a structure forms part of the </w:t>
      </w:r>
      <w:r>
        <w:rPr>
          <w:rFonts w:eastAsia="Arial"/>
          <w:lang w:val="en-US" w:bidi="en-US"/>
        </w:rPr>
        <w:t>w</w:t>
      </w:r>
      <w:r w:rsidRPr="00EB1B9A">
        <w:rPr>
          <w:rFonts w:eastAsia="Arial"/>
          <w:lang w:val="en-US" w:bidi="en-US"/>
        </w:rPr>
        <w:t xml:space="preserve">ork </w:t>
      </w:r>
      <w:r>
        <w:rPr>
          <w:rFonts w:eastAsia="Arial"/>
          <w:lang w:val="en-US" w:bidi="en-US"/>
        </w:rPr>
        <w:t>u</w:t>
      </w:r>
      <w:r w:rsidRPr="00EB1B9A">
        <w:rPr>
          <w:rFonts w:eastAsia="Arial"/>
          <w:lang w:val="en-US" w:bidi="en-US"/>
        </w:rPr>
        <w:t>nder the Contract, the Contractor must</w:t>
      </w:r>
      <w:r>
        <w:rPr>
          <w:rFonts w:eastAsia="Arial"/>
          <w:lang w:val="en-US" w:bidi="en-US"/>
        </w:rPr>
        <w:t xml:space="preserve"> ensure the</w:t>
      </w:r>
      <w:r w:rsidRPr="0090352E">
        <w:rPr>
          <w:rFonts w:eastAsia="Arial"/>
          <w:i/>
          <w:iCs/>
          <w:lang w:val="en-US" w:bidi="en-US"/>
        </w:rPr>
        <w:t xml:space="preserve"> designer</w:t>
      </w:r>
      <w:r>
        <w:rPr>
          <w:rFonts w:eastAsia="Arial"/>
          <w:lang w:val="en-US" w:bidi="en-US"/>
        </w:rPr>
        <w:t xml:space="preserve"> complies with Section 295 of the WHS Regulations and the </w:t>
      </w:r>
      <w:r w:rsidRPr="00776925">
        <w:rPr>
          <w:rFonts w:eastAsia="Arial"/>
          <w:i/>
          <w:iCs/>
          <w:lang w:val="en-US" w:bidi="en-US"/>
        </w:rPr>
        <w:t>Code of Pract</w:t>
      </w:r>
      <w:r w:rsidR="00776925" w:rsidRPr="00776925">
        <w:rPr>
          <w:rFonts w:eastAsia="Arial"/>
          <w:i/>
          <w:iCs/>
          <w:lang w:val="en-US" w:bidi="en-US"/>
        </w:rPr>
        <w:t>ice</w:t>
      </w:r>
      <w:r w:rsidR="00776925">
        <w:rPr>
          <w:rFonts w:eastAsia="Arial"/>
          <w:lang w:val="en-US" w:bidi="en-US"/>
        </w:rPr>
        <w:t xml:space="preserve"> for the </w:t>
      </w:r>
      <w:r w:rsidR="00776925" w:rsidRPr="00776925">
        <w:rPr>
          <w:rFonts w:eastAsia="Arial"/>
          <w:lang w:val="en-US" w:bidi="en-US"/>
        </w:rPr>
        <w:t>Safe design of structures</w:t>
      </w:r>
      <w:r w:rsidR="00776925">
        <w:rPr>
          <w:rFonts w:eastAsia="Arial"/>
          <w:lang w:val="en-US" w:bidi="en-US"/>
        </w:rPr>
        <w:t>.</w:t>
      </w:r>
      <w:bookmarkEnd w:id="59"/>
    </w:p>
    <w:p w14:paraId="0ADF1F36" w14:textId="58FCB519" w:rsidR="009C34F8" w:rsidRPr="00CC293B" w:rsidRDefault="00DC00F9" w:rsidP="00CC293B">
      <w:pPr>
        <w:pStyle w:val="Heading1"/>
        <w:ind w:left="567" w:hanging="567"/>
        <w:rPr>
          <w:rFonts w:ascii="Arial" w:hAnsi="Arial"/>
          <w:caps w:val="0"/>
        </w:rPr>
      </w:pPr>
      <w:bookmarkStart w:id="60" w:name="_Toc134517068"/>
      <w:bookmarkStart w:id="61" w:name="_Toc148520747"/>
      <w:bookmarkStart w:id="62" w:name="_Toc149574687"/>
      <w:r w:rsidRPr="00CC293B">
        <w:rPr>
          <w:rFonts w:ascii="Arial" w:hAnsi="Arial"/>
          <w:caps w:val="0"/>
        </w:rPr>
        <w:t>H</w:t>
      </w:r>
      <w:r w:rsidR="00CD59BE" w:rsidRPr="00CC293B">
        <w:rPr>
          <w:rFonts w:ascii="Arial" w:hAnsi="Arial"/>
          <w:caps w:val="0"/>
        </w:rPr>
        <w:t>azardous</w:t>
      </w:r>
      <w:r w:rsidRPr="00CC293B">
        <w:rPr>
          <w:rFonts w:ascii="Arial" w:hAnsi="Arial"/>
          <w:caps w:val="0"/>
        </w:rPr>
        <w:t xml:space="preserve"> </w:t>
      </w:r>
      <w:r w:rsidR="00CF0D65" w:rsidRPr="00CC293B">
        <w:rPr>
          <w:rFonts w:ascii="Arial" w:hAnsi="Arial"/>
          <w:caps w:val="0"/>
        </w:rPr>
        <w:t>Chemicals</w:t>
      </w:r>
      <w:r w:rsidR="00F06D60" w:rsidRPr="00CC293B">
        <w:rPr>
          <w:rFonts w:ascii="Arial" w:hAnsi="Arial"/>
          <w:caps w:val="0"/>
        </w:rPr>
        <w:t xml:space="preserve"> and A</w:t>
      </w:r>
      <w:r w:rsidR="00CF0D65" w:rsidRPr="00CC293B">
        <w:rPr>
          <w:rFonts w:ascii="Arial" w:hAnsi="Arial"/>
          <w:caps w:val="0"/>
        </w:rPr>
        <w:t>s</w:t>
      </w:r>
      <w:r w:rsidR="00F06D60" w:rsidRPr="00CC293B">
        <w:rPr>
          <w:rFonts w:ascii="Arial" w:hAnsi="Arial"/>
          <w:caps w:val="0"/>
        </w:rPr>
        <w:t>best</w:t>
      </w:r>
      <w:r w:rsidR="007A2877" w:rsidRPr="00CC293B">
        <w:rPr>
          <w:rFonts w:ascii="Arial" w:hAnsi="Arial"/>
          <w:caps w:val="0"/>
        </w:rPr>
        <w:t>os</w:t>
      </w:r>
      <w:bookmarkEnd w:id="60"/>
      <w:bookmarkEnd w:id="61"/>
      <w:bookmarkEnd w:id="62"/>
    </w:p>
    <w:bookmarkEnd w:id="58"/>
    <w:p w14:paraId="1B93E08F" w14:textId="41635C96" w:rsidR="004E287C" w:rsidRDefault="00E8743A" w:rsidP="0033620F">
      <w:pPr>
        <w:pStyle w:val="Bodynumbered1"/>
        <w:rPr>
          <w:rFonts w:eastAsia="Arial"/>
          <w:lang w:val="en-US" w:bidi="en-US"/>
        </w:rPr>
      </w:pPr>
      <w:r>
        <w:rPr>
          <w:rFonts w:eastAsia="Arial"/>
          <w:lang w:val="en-US" w:bidi="en-US"/>
        </w:rPr>
        <w:t xml:space="preserve">If the Principal is aware of </w:t>
      </w:r>
      <w:r w:rsidR="00175F06">
        <w:rPr>
          <w:rFonts w:eastAsia="Arial"/>
          <w:lang w:val="en-US" w:bidi="en-US"/>
        </w:rPr>
        <w:t xml:space="preserve">any </w:t>
      </w:r>
      <w:r w:rsidR="00BD0D33" w:rsidRPr="0033620F">
        <w:rPr>
          <w:rFonts w:eastAsia="Arial"/>
          <w:lang w:val="en-US" w:bidi="en-US"/>
        </w:rPr>
        <w:t xml:space="preserve">material </w:t>
      </w:r>
      <w:r w:rsidR="0033620F" w:rsidRPr="0033620F">
        <w:rPr>
          <w:rFonts w:eastAsia="Arial"/>
          <w:lang w:val="en-US" w:bidi="en-US"/>
        </w:rPr>
        <w:t xml:space="preserve">containing </w:t>
      </w:r>
      <w:r w:rsidR="00EC488E" w:rsidRPr="00A465AA">
        <w:rPr>
          <w:rFonts w:eastAsia="Arial"/>
          <w:i/>
          <w:iCs/>
          <w:lang w:val="en-US" w:bidi="en-US"/>
        </w:rPr>
        <w:t xml:space="preserve">hazardous chemicals </w:t>
      </w:r>
      <w:r w:rsidR="00BD0D33">
        <w:rPr>
          <w:rFonts w:eastAsia="Arial"/>
          <w:lang w:val="en-US" w:bidi="en-US"/>
        </w:rPr>
        <w:t>or</w:t>
      </w:r>
      <w:r w:rsidR="00BD0D33" w:rsidRPr="0033620F">
        <w:rPr>
          <w:rFonts w:eastAsia="Arial"/>
          <w:lang w:val="en-US" w:bidi="en-US"/>
        </w:rPr>
        <w:t xml:space="preserve"> asbestos</w:t>
      </w:r>
      <w:r w:rsidR="00BD0D33">
        <w:rPr>
          <w:rFonts w:eastAsia="Arial"/>
          <w:lang w:val="en-US" w:bidi="en-US"/>
        </w:rPr>
        <w:t xml:space="preserve"> </w:t>
      </w:r>
      <w:r w:rsidR="00557B56">
        <w:rPr>
          <w:rFonts w:eastAsia="Arial"/>
          <w:lang w:val="en-US" w:bidi="en-US"/>
        </w:rPr>
        <w:t xml:space="preserve">at the Site </w:t>
      </w:r>
      <w:r w:rsidR="000534BC">
        <w:rPr>
          <w:rFonts w:eastAsia="Arial"/>
          <w:lang w:val="en-US" w:bidi="en-US"/>
        </w:rPr>
        <w:t>prior to</w:t>
      </w:r>
      <w:r w:rsidR="00BD0D33">
        <w:rPr>
          <w:rFonts w:eastAsia="Arial"/>
          <w:lang w:val="en-US" w:bidi="en-US"/>
        </w:rPr>
        <w:t xml:space="preserve"> the</w:t>
      </w:r>
      <w:r w:rsidR="002F552C">
        <w:rPr>
          <w:rFonts w:eastAsia="Arial"/>
          <w:lang w:val="en-US" w:bidi="en-US"/>
        </w:rPr>
        <w:t xml:space="preserve"> </w:t>
      </w:r>
      <w:r w:rsidR="000534BC">
        <w:rPr>
          <w:rFonts w:eastAsia="Arial"/>
          <w:lang w:val="en-US" w:bidi="en-US"/>
        </w:rPr>
        <w:t xml:space="preserve">award of the Contract, all </w:t>
      </w:r>
      <w:r w:rsidR="004E287C">
        <w:rPr>
          <w:rFonts w:eastAsia="Arial"/>
          <w:lang w:val="en-US" w:bidi="en-US"/>
        </w:rPr>
        <w:t>relevant information known to the Principal will be provided to the Contractor.</w:t>
      </w:r>
    </w:p>
    <w:p w14:paraId="5DBE925F" w14:textId="6D2569A6" w:rsidR="00954D5E" w:rsidRPr="0079219D" w:rsidRDefault="00B13989" w:rsidP="00954D5E">
      <w:pPr>
        <w:pStyle w:val="Bodynumbered1"/>
        <w:rPr>
          <w:rFonts w:eastAsia="Arial"/>
          <w:lang w:val="en-US" w:bidi="en-US"/>
        </w:rPr>
      </w:pPr>
      <w:r>
        <w:rPr>
          <w:rFonts w:eastAsia="Arial"/>
          <w:lang w:val="en-US" w:bidi="en-US"/>
        </w:rPr>
        <w:t>If</w:t>
      </w:r>
      <w:r w:rsidR="00954D5E">
        <w:rPr>
          <w:rFonts w:eastAsia="Arial"/>
          <w:lang w:val="en-US" w:bidi="en-US"/>
        </w:rPr>
        <w:t xml:space="preserve"> asbestos is present at the Site, </w:t>
      </w:r>
      <w:r w:rsidR="00954D5E" w:rsidRPr="0079219D">
        <w:rPr>
          <w:rFonts w:eastAsia="Arial"/>
          <w:lang w:val="en-US" w:bidi="en-US"/>
        </w:rPr>
        <w:t>the Contractor must</w:t>
      </w:r>
      <w:r w:rsidR="00AE6AE9">
        <w:rPr>
          <w:rFonts w:eastAsia="Arial"/>
          <w:lang w:val="en-US" w:bidi="en-US"/>
        </w:rPr>
        <w:t xml:space="preserve"> submit </w:t>
      </w:r>
      <w:r w:rsidR="00B804AE">
        <w:rPr>
          <w:rFonts w:eastAsia="Arial"/>
          <w:lang w:val="en-US" w:bidi="en-US"/>
        </w:rPr>
        <w:t>a</w:t>
      </w:r>
      <w:r w:rsidR="00954D5E">
        <w:rPr>
          <w:rFonts w:eastAsia="Arial"/>
          <w:lang w:val="en-US" w:bidi="en-US"/>
        </w:rPr>
        <w:t xml:space="preserve"> copy of the</w:t>
      </w:r>
      <w:r w:rsidR="00954D5E" w:rsidRPr="00C521CE">
        <w:rPr>
          <w:rFonts w:eastAsia="Arial"/>
          <w:i/>
          <w:iCs/>
          <w:lang w:val="en-US" w:bidi="en-US"/>
        </w:rPr>
        <w:t xml:space="preserve"> asbestos management plan</w:t>
      </w:r>
      <w:r w:rsidR="00954D5E" w:rsidRPr="00603B64">
        <w:rPr>
          <w:rFonts w:eastAsia="Arial"/>
          <w:lang w:val="en-US" w:bidi="en-US"/>
        </w:rPr>
        <w:t xml:space="preserve"> </w:t>
      </w:r>
      <w:r w:rsidR="00954D5E">
        <w:rPr>
          <w:rFonts w:eastAsia="Arial"/>
          <w:lang w:val="en-US" w:bidi="en-US"/>
        </w:rPr>
        <w:t xml:space="preserve">to the Principal with the </w:t>
      </w:r>
      <w:r w:rsidR="00067EE1" w:rsidRPr="00067EE1">
        <w:rPr>
          <w:rFonts w:eastAsia="SimSun"/>
          <w:i/>
          <w:iCs/>
        </w:rPr>
        <w:t>WHS Management Plan</w:t>
      </w:r>
      <w:r w:rsidR="00954D5E" w:rsidRPr="00B519DD">
        <w:rPr>
          <w:rFonts w:eastAsia="SimSun"/>
        </w:rPr>
        <w:t xml:space="preserve"> </w:t>
      </w:r>
      <w:r w:rsidR="00E37401">
        <w:rPr>
          <w:rFonts w:eastAsia="SimSun"/>
        </w:rPr>
        <w:t>i</w:t>
      </w:r>
      <w:r w:rsidR="00954D5E">
        <w:rPr>
          <w:rFonts w:eastAsia="SimSun"/>
        </w:rPr>
        <w:t xml:space="preserve">n accordance with </w:t>
      </w:r>
      <w:r w:rsidR="002F42BB">
        <w:rPr>
          <w:rFonts w:eastAsia="SimSun"/>
        </w:rPr>
        <w:t xml:space="preserve">Clause </w:t>
      </w:r>
      <w:r w:rsidR="002F42BB">
        <w:rPr>
          <w:rFonts w:eastAsia="SimSun"/>
        </w:rPr>
        <w:fldChar w:fldCharType="begin"/>
      </w:r>
      <w:r w:rsidR="002F42BB">
        <w:rPr>
          <w:rFonts w:eastAsia="SimSun"/>
        </w:rPr>
        <w:instrText xml:space="preserve"> REF _Ref129350078 \r \h </w:instrText>
      </w:r>
      <w:r w:rsidR="002F42BB">
        <w:rPr>
          <w:rFonts w:eastAsia="SimSun"/>
        </w:rPr>
      </w:r>
      <w:r w:rsidR="002F42BB">
        <w:rPr>
          <w:rFonts w:eastAsia="SimSun"/>
        </w:rPr>
        <w:fldChar w:fldCharType="separate"/>
      </w:r>
      <w:r w:rsidR="00C40E23">
        <w:rPr>
          <w:rFonts w:eastAsia="SimSun"/>
        </w:rPr>
        <w:t>6.2</w:t>
      </w:r>
      <w:r w:rsidR="002F42BB">
        <w:rPr>
          <w:rFonts w:eastAsia="SimSun"/>
        </w:rPr>
        <w:fldChar w:fldCharType="end"/>
      </w:r>
      <w:r w:rsidR="00954D5E" w:rsidRPr="0079219D">
        <w:rPr>
          <w:rFonts w:eastAsia="Arial"/>
          <w:lang w:val="en-US" w:bidi="en-US"/>
        </w:rPr>
        <w:t>.</w:t>
      </w:r>
    </w:p>
    <w:p w14:paraId="7E83C6B4" w14:textId="4E62CFE9" w:rsidR="009978AD" w:rsidRDefault="00B72D98">
      <w:pPr>
        <w:pStyle w:val="Bodynumbered1"/>
        <w:rPr>
          <w:rFonts w:eastAsia="Arial"/>
          <w:lang w:val="en-US" w:bidi="en-US"/>
        </w:rPr>
      </w:pPr>
      <w:bookmarkStart w:id="63" w:name="_Ref133832152"/>
      <w:r w:rsidRPr="0066210F">
        <w:rPr>
          <w:rFonts w:eastAsia="Arial"/>
          <w:lang w:val="en-US" w:bidi="en-US"/>
        </w:rPr>
        <w:t xml:space="preserve">Where an unexpected find of </w:t>
      </w:r>
      <w:r w:rsidR="004C4845">
        <w:rPr>
          <w:rFonts w:eastAsia="Arial"/>
          <w:lang w:val="en-US" w:bidi="en-US"/>
        </w:rPr>
        <w:t xml:space="preserve">a </w:t>
      </w:r>
      <w:r w:rsidR="00215498" w:rsidRPr="00A3392A">
        <w:rPr>
          <w:rFonts w:eastAsia="Arial"/>
          <w:i/>
          <w:iCs/>
          <w:lang w:val="en-US" w:bidi="en-US"/>
        </w:rPr>
        <w:t>hazardous chemical</w:t>
      </w:r>
      <w:r w:rsidR="00215498">
        <w:rPr>
          <w:rFonts w:eastAsia="Arial"/>
          <w:lang w:val="en-US" w:bidi="en-US"/>
        </w:rPr>
        <w:t xml:space="preserve"> or a</w:t>
      </w:r>
      <w:r w:rsidRPr="0066210F">
        <w:rPr>
          <w:rFonts w:eastAsia="Arial"/>
          <w:lang w:val="en-US" w:bidi="en-US"/>
        </w:rPr>
        <w:t>sbestos containing material is identified during work under the Contract, the Contractor must</w:t>
      </w:r>
      <w:r w:rsidR="009978AD">
        <w:rPr>
          <w:rFonts w:eastAsia="Arial"/>
          <w:lang w:val="en-US" w:bidi="en-US"/>
        </w:rPr>
        <w:t>:</w:t>
      </w:r>
      <w:bookmarkEnd w:id="63"/>
    </w:p>
    <w:p w14:paraId="748A2A89" w14:textId="45E30619" w:rsidR="0068433E" w:rsidRPr="00740742" w:rsidRDefault="00B72D98" w:rsidP="006F6A9F">
      <w:pPr>
        <w:pStyle w:val="Bodynumbered2"/>
        <w:numPr>
          <w:ilvl w:val="0"/>
          <w:numId w:val="22"/>
        </w:numPr>
        <w:ind w:left="993" w:hanging="426"/>
        <w:rPr>
          <w:rFonts w:eastAsia="Arial"/>
          <w:lang w:val="en-US" w:bidi="en-US"/>
        </w:rPr>
      </w:pPr>
      <w:r w:rsidRPr="00740742">
        <w:rPr>
          <w:rFonts w:eastAsia="Arial"/>
          <w:lang w:val="en-US" w:bidi="en-US"/>
        </w:rPr>
        <w:t xml:space="preserve">immediately report the occurrence to the </w:t>
      </w:r>
      <w:proofErr w:type="gramStart"/>
      <w:r w:rsidR="00537C3D" w:rsidRPr="00740742">
        <w:rPr>
          <w:rFonts w:eastAsia="Arial"/>
          <w:lang w:val="en-US" w:bidi="en-US"/>
        </w:rPr>
        <w:t>Principal</w:t>
      </w:r>
      <w:proofErr w:type="gramEnd"/>
      <w:r w:rsidRPr="00740742">
        <w:rPr>
          <w:rFonts w:eastAsia="Arial"/>
          <w:lang w:val="en-US" w:bidi="en-US"/>
        </w:rPr>
        <w:t xml:space="preserve"> and to </w:t>
      </w:r>
      <w:r w:rsidR="00537C3D" w:rsidRPr="00740742">
        <w:rPr>
          <w:rFonts w:eastAsia="Arial"/>
          <w:lang w:val="en-US" w:bidi="en-US"/>
        </w:rPr>
        <w:t xml:space="preserve">the </w:t>
      </w:r>
      <w:r w:rsidR="00155452">
        <w:rPr>
          <w:rFonts w:eastAsia="Arial"/>
          <w:lang w:val="en-US" w:bidi="en-US"/>
        </w:rPr>
        <w:t>WHS</w:t>
      </w:r>
      <w:r w:rsidR="00537C3D" w:rsidRPr="00740742">
        <w:rPr>
          <w:rFonts w:eastAsia="Arial"/>
          <w:lang w:val="en-US" w:bidi="en-US"/>
        </w:rPr>
        <w:t xml:space="preserve"> Regulator</w:t>
      </w:r>
      <w:r w:rsidR="0068433E" w:rsidRPr="00740742">
        <w:rPr>
          <w:rFonts w:eastAsia="Arial"/>
          <w:lang w:val="en-US" w:bidi="en-US"/>
        </w:rPr>
        <w:t>;</w:t>
      </w:r>
    </w:p>
    <w:p w14:paraId="632782C7" w14:textId="77777777" w:rsidR="0068433E" w:rsidRPr="00FB0CBC" w:rsidRDefault="0068433E" w:rsidP="006F6A9F">
      <w:pPr>
        <w:pStyle w:val="Bodynumbered2"/>
        <w:ind w:left="993" w:hanging="426"/>
        <w:rPr>
          <w:rFonts w:eastAsia="Arial"/>
          <w:lang w:val="en-US" w:bidi="en-US"/>
        </w:rPr>
      </w:pPr>
      <w:r w:rsidRPr="00FB0CBC">
        <w:rPr>
          <w:rFonts w:eastAsia="Arial"/>
          <w:lang w:val="en-US" w:bidi="en-US"/>
        </w:rPr>
        <w:t>conduct a risk assessment to evaluate the health and safety risks;</w:t>
      </w:r>
    </w:p>
    <w:p w14:paraId="57DFD90F" w14:textId="561CD3F4" w:rsidR="00AE6F37" w:rsidRPr="00FB0CBC" w:rsidRDefault="004B178A" w:rsidP="006F6A9F">
      <w:pPr>
        <w:pStyle w:val="Bodynumbered2"/>
        <w:ind w:left="993" w:hanging="426"/>
        <w:rPr>
          <w:rFonts w:eastAsia="Arial"/>
          <w:lang w:val="en-US" w:bidi="en-US"/>
        </w:rPr>
      </w:pPr>
      <w:r w:rsidRPr="00FB0CBC">
        <w:rPr>
          <w:rFonts w:eastAsia="Arial"/>
          <w:lang w:val="en-US" w:bidi="en-US"/>
        </w:rPr>
        <w:t xml:space="preserve">if necessary, </w:t>
      </w:r>
      <w:r w:rsidR="00B72D98" w:rsidRPr="00FB0CBC">
        <w:rPr>
          <w:rFonts w:eastAsia="Arial"/>
          <w:lang w:val="en-US" w:bidi="en-US"/>
        </w:rPr>
        <w:t>immediate</w:t>
      </w:r>
      <w:r w:rsidRPr="00FB0CBC">
        <w:rPr>
          <w:rFonts w:eastAsia="Arial"/>
          <w:lang w:val="en-US" w:bidi="en-US"/>
        </w:rPr>
        <w:t>ly implement</w:t>
      </w:r>
      <w:r w:rsidR="00B72D98" w:rsidRPr="00FB0CBC">
        <w:rPr>
          <w:rFonts w:eastAsia="Arial"/>
          <w:lang w:val="en-US" w:bidi="en-US"/>
        </w:rPr>
        <w:t xml:space="preserve"> measures to protect</w:t>
      </w:r>
      <w:r w:rsidR="00FB0CBC" w:rsidRPr="00FB0CBC">
        <w:rPr>
          <w:rFonts w:eastAsia="Arial"/>
          <w:lang w:val="en-US" w:bidi="en-US"/>
        </w:rPr>
        <w:t xml:space="preserve"> all persons from </w:t>
      </w:r>
      <w:r w:rsidR="00B72D98" w:rsidRPr="00FB0CBC">
        <w:rPr>
          <w:rFonts w:eastAsia="Arial"/>
          <w:lang w:val="en-US" w:bidi="en-US"/>
        </w:rPr>
        <w:t>expos</w:t>
      </w:r>
      <w:r w:rsidR="00FB0CBC" w:rsidRPr="00FB0CBC">
        <w:rPr>
          <w:rFonts w:eastAsia="Arial"/>
          <w:lang w:val="en-US" w:bidi="en-US"/>
        </w:rPr>
        <w:t xml:space="preserve">ure </w:t>
      </w:r>
      <w:r w:rsidR="00B72D98" w:rsidRPr="00FB0CBC">
        <w:rPr>
          <w:rFonts w:eastAsia="Arial"/>
          <w:lang w:val="en-US" w:bidi="en-US"/>
        </w:rPr>
        <w:t>to</w:t>
      </w:r>
      <w:r w:rsidR="00215498">
        <w:rPr>
          <w:rFonts w:eastAsia="Arial"/>
          <w:lang w:val="en-US" w:bidi="en-US"/>
        </w:rPr>
        <w:t xml:space="preserve"> the </w:t>
      </w:r>
      <w:r w:rsidR="00215498" w:rsidRPr="00A3392A">
        <w:rPr>
          <w:rFonts w:eastAsia="Arial"/>
          <w:i/>
          <w:iCs/>
          <w:lang w:val="en-US" w:bidi="en-US"/>
        </w:rPr>
        <w:t>hazardous chemical</w:t>
      </w:r>
      <w:r w:rsidR="00215498">
        <w:rPr>
          <w:rFonts w:eastAsia="Arial"/>
          <w:lang w:val="en-US" w:bidi="en-US"/>
        </w:rPr>
        <w:t xml:space="preserve"> or</w:t>
      </w:r>
      <w:r w:rsidR="00B72D98" w:rsidRPr="00FB0CBC">
        <w:rPr>
          <w:rFonts w:eastAsia="Arial"/>
          <w:lang w:val="en-US" w:bidi="en-US"/>
        </w:rPr>
        <w:t xml:space="preserve"> asbestos</w:t>
      </w:r>
      <w:r w:rsidR="00FB0CBC" w:rsidRPr="00FB0CBC">
        <w:rPr>
          <w:rFonts w:eastAsia="Arial"/>
          <w:lang w:val="en-US" w:bidi="en-US"/>
        </w:rPr>
        <w:t>,</w:t>
      </w:r>
      <w:r w:rsidR="00B72D98" w:rsidRPr="00FB0CBC">
        <w:rPr>
          <w:rFonts w:eastAsia="Arial"/>
          <w:lang w:val="en-US" w:bidi="en-US"/>
        </w:rPr>
        <w:t xml:space="preserve"> which </w:t>
      </w:r>
      <w:r w:rsidR="00AE6F37" w:rsidRPr="00FB0CBC">
        <w:rPr>
          <w:rFonts w:eastAsia="Arial"/>
          <w:lang w:val="en-US" w:bidi="en-US"/>
        </w:rPr>
        <w:t xml:space="preserve">may </w:t>
      </w:r>
      <w:r w:rsidR="00B72D98" w:rsidRPr="00FB0CBC">
        <w:rPr>
          <w:rFonts w:eastAsia="Arial"/>
          <w:lang w:val="en-US" w:bidi="en-US"/>
        </w:rPr>
        <w:t>include</w:t>
      </w:r>
      <w:r w:rsidR="00AE6F37" w:rsidRPr="00FB0CBC">
        <w:rPr>
          <w:rFonts w:eastAsia="Arial"/>
          <w:lang w:val="en-US" w:bidi="en-US"/>
        </w:rPr>
        <w:t>:</w:t>
      </w:r>
    </w:p>
    <w:p w14:paraId="5978193C" w14:textId="33D23DCC" w:rsidR="00B72D98" w:rsidRPr="00B9193F" w:rsidRDefault="00B72D98" w:rsidP="009C2BE6">
      <w:pPr>
        <w:pStyle w:val="Bodynumbered3"/>
        <w:ind w:left="1418"/>
        <w:rPr>
          <w:rFonts w:eastAsia="Arial"/>
          <w:lang w:val="en-US" w:bidi="en-US"/>
        </w:rPr>
      </w:pPr>
      <w:r w:rsidRPr="00B9193F">
        <w:rPr>
          <w:rFonts w:eastAsia="Arial"/>
          <w:lang w:val="en-US" w:bidi="en-US"/>
        </w:rPr>
        <w:t xml:space="preserve">prohibit entry to the affected areas and isolate the area by establishing an exclusion </w:t>
      </w:r>
      <w:proofErr w:type="gramStart"/>
      <w:r w:rsidRPr="00B9193F">
        <w:rPr>
          <w:rFonts w:eastAsia="Arial"/>
          <w:lang w:val="en-US" w:bidi="en-US"/>
        </w:rPr>
        <w:t>zone;</w:t>
      </w:r>
      <w:proofErr w:type="gramEnd"/>
    </w:p>
    <w:p w14:paraId="6F6CFC12" w14:textId="2348024A" w:rsidR="00B72D98" w:rsidRPr="00B9193F" w:rsidRDefault="00B72D98" w:rsidP="009C2BE6">
      <w:pPr>
        <w:pStyle w:val="Bodynumbered3"/>
        <w:ind w:left="1418"/>
        <w:rPr>
          <w:rFonts w:eastAsia="Arial"/>
          <w:lang w:val="en-US" w:bidi="en-US"/>
        </w:rPr>
      </w:pPr>
      <w:r w:rsidRPr="00B9193F">
        <w:rPr>
          <w:rFonts w:eastAsia="Arial"/>
          <w:lang w:val="en-US" w:bidi="en-US"/>
        </w:rPr>
        <w:t>prohibit entry near the affected area where there is visible dust from the affected area;</w:t>
      </w:r>
    </w:p>
    <w:p w14:paraId="430F203F" w14:textId="561A8AF4" w:rsidR="00B72D98" w:rsidRPr="00B9193F" w:rsidRDefault="00B72D98" w:rsidP="009C2BE6">
      <w:pPr>
        <w:pStyle w:val="Bodynumbered3"/>
        <w:ind w:left="1418"/>
        <w:rPr>
          <w:rFonts w:eastAsia="Arial"/>
          <w:lang w:val="en-US" w:bidi="en-US"/>
        </w:rPr>
      </w:pPr>
      <w:r w:rsidRPr="00B9193F">
        <w:rPr>
          <w:rFonts w:eastAsia="Arial"/>
          <w:lang w:val="en-US" w:bidi="en-US"/>
        </w:rPr>
        <w:t xml:space="preserve">provide personal protective equipment to </w:t>
      </w:r>
      <w:r w:rsidR="00B9193F" w:rsidRPr="00B9193F">
        <w:rPr>
          <w:rFonts w:eastAsia="Arial"/>
          <w:i/>
          <w:iCs/>
          <w:lang w:val="en-US" w:bidi="en-US"/>
        </w:rPr>
        <w:t>w</w:t>
      </w:r>
      <w:r w:rsidRPr="00B9193F">
        <w:rPr>
          <w:rFonts w:eastAsia="Arial"/>
          <w:i/>
          <w:iCs/>
          <w:lang w:val="en-US" w:bidi="en-US"/>
        </w:rPr>
        <w:t>orkers</w:t>
      </w:r>
      <w:r w:rsidRPr="00B9193F">
        <w:rPr>
          <w:rFonts w:eastAsia="Arial"/>
          <w:lang w:val="en-US" w:bidi="en-US"/>
        </w:rPr>
        <w:t xml:space="preserve"> where there is a risk of airborne exposure;</w:t>
      </w:r>
    </w:p>
    <w:p w14:paraId="3654E555" w14:textId="25E84D9E" w:rsidR="00B72D98" w:rsidRPr="00B9193F" w:rsidRDefault="00B72D98" w:rsidP="009C2BE6">
      <w:pPr>
        <w:pStyle w:val="Bodynumbered3"/>
        <w:ind w:left="1418"/>
        <w:rPr>
          <w:rFonts w:eastAsia="Arial"/>
          <w:lang w:val="en-US" w:bidi="en-US"/>
        </w:rPr>
      </w:pPr>
      <w:r w:rsidRPr="00B9193F">
        <w:rPr>
          <w:rFonts w:eastAsia="Arial"/>
          <w:lang w:val="en-US" w:bidi="en-US"/>
        </w:rPr>
        <w:t>suppress all visible dust clouds by wetting down the affected area; and</w:t>
      </w:r>
    </w:p>
    <w:p w14:paraId="71EEBC8D" w14:textId="7750C714" w:rsidR="00B72D98" w:rsidRPr="00B9193F" w:rsidRDefault="00B72D98" w:rsidP="006F6A9F">
      <w:pPr>
        <w:pStyle w:val="Bodynumbered2"/>
        <w:ind w:left="993" w:hanging="426"/>
        <w:rPr>
          <w:rFonts w:eastAsia="Arial"/>
          <w:lang w:val="en-US" w:bidi="en-US"/>
        </w:rPr>
      </w:pPr>
      <w:r w:rsidRPr="00B9193F">
        <w:rPr>
          <w:rFonts w:eastAsia="Arial"/>
          <w:lang w:val="en-US" w:bidi="en-US"/>
        </w:rPr>
        <w:t xml:space="preserve">as soon as practical, </w:t>
      </w:r>
      <w:r w:rsidR="004179EC">
        <w:rPr>
          <w:rFonts w:eastAsia="Arial"/>
          <w:lang w:val="en-US" w:bidi="en-US"/>
        </w:rPr>
        <w:t xml:space="preserve">advise </w:t>
      </w:r>
      <w:r w:rsidRPr="00B9193F">
        <w:rPr>
          <w:rFonts w:eastAsia="Arial"/>
          <w:lang w:val="en-US" w:bidi="en-US"/>
        </w:rPr>
        <w:t xml:space="preserve">all </w:t>
      </w:r>
      <w:r w:rsidR="00D87147">
        <w:rPr>
          <w:rFonts w:eastAsia="Arial"/>
          <w:lang w:val="en-US" w:bidi="en-US"/>
        </w:rPr>
        <w:t>w</w:t>
      </w:r>
      <w:r w:rsidRPr="00B9193F">
        <w:rPr>
          <w:rFonts w:eastAsia="Arial"/>
          <w:lang w:val="en-US" w:bidi="en-US"/>
        </w:rPr>
        <w:t xml:space="preserve">orkers </w:t>
      </w:r>
      <w:r w:rsidR="004179EC">
        <w:rPr>
          <w:rFonts w:eastAsia="Arial"/>
          <w:lang w:val="en-US" w:bidi="en-US"/>
        </w:rPr>
        <w:t xml:space="preserve">of the </w:t>
      </w:r>
      <w:r w:rsidR="00E42826">
        <w:rPr>
          <w:rFonts w:eastAsia="Arial"/>
          <w:lang w:val="en-US" w:bidi="en-US"/>
        </w:rPr>
        <w:t>presence of</w:t>
      </w:r>
      <w:r w:rsidR="00F55A90">
        <w:rPr>
          <w:rFonts w:eastAsia="Arial"/>
          <w:lang w:val="en-US" w:bidi="en-US"/>
        </w:rPr>
        <w:t xml:space="preserve"> the</w:t>
      </w:r>
      <w:r w:rsidR="00E42826">
        <w:rPr>
          <w:rFonts w:eastAsia="Arial"/>
          <w:lang w:val="en-US" w:bidi="en-US"/>
        </w:rPr>
        <w:t xml:space="preserve"> </w:t>
      </w:r>
      <w:r w:rsidR="00F55A90" w:rsidRPr="00A3392A">
        <w:rPr>
          <w:rFonts w:eastAsia="Arial"/>
          <w:i/>
          <w:iCs/>
          <w:lang w:val="en-US" w:bidi="en-US"/>
        </w:rPr>
        <w:t>hazardous chemical</w:t>
      </w:r>
      <w:r w:rsidR="00F55A90">
        <w:rPr>
          <w:rFonts w:eastAsia="Arial"/>
          <w:lang w:val="en-US" w:bidi="en-US"/>
        </w:rPr>
        <w:t xml:space="preserve"> or </w:t>
      </w:r>
      <w:r w:rsidRPr="00B9193F">
        <w:rPr>
          <w:rFonts w:eastAsia="Arial"/>
          <w:lang w:val="en-US" w:bidi="en-US"/>
        </w:rPr>
        <w:t>asbestos and the control measures</w:t>
      </w:r>
      <w:r w:rsidR="00E42826">
        <w:rPr>
          <w:rFonts w:eastAsia="Arial"/>
          <w:lang w:val="en-US" w:bidi="en-US"/>
        </w:rPr>
        <w:t xml:space="preserve"> which will be implemented</w:t>
      </w:r>
      <w:r w:rsidRPr="00B9193F">
        <w:rPr>
          <w:rFonts w:eastAsia="Arial"/>
          <w:lang w:val="en-US" w:bidi="en-US"/>
        </w:rPr>
        <w:t>.</w:t>
      </w:r>
    </w:p>
    <w:p w14:paraId="49023002" w14:textId="41FD3C37" w:rsidR="007C0316" w:rsidRPr="00CC293B" w:rsidRDefault="00214CDE" w:rsidP="00CC293B">
      <w:pPr>
        <w:pStyle w:val="Heading1"/>
        <w:ind w:left="567" w:hanging="567"/>
        <w:rPr>
          <w:rFonts w:ascii="Arial" w:hAnsi="Arial"/>
          <w:caps w:val="0"/>
        </w:rPr>
      </w:pPr>
      <w:bookmarkStart w:id="64" w:name="_Ref70434825"/>
      <w:bookmarkStart w:id="65" w:name="_Toc74148915"/>
      <w:bookmarkStart w:id="66" w:name="_Toc134517069"/>
      <w:bookmarkStart w:id="67" w:name="_Toc148520748"/>
      <w:bookmarkStart w:id="68" w:name="_Toc149574688"/>
      <w:r w:rsidRPr="00CC293B">
        <w:rPr>
          <w:rFonts w:ascii="Arial" w:hAnsi="Arial"/>
          <w:caps w:val="0"/>
        </w:rPr>
        <w:t>Surv</w:t>
      </w:r>
      <w:r w:rsidR="000015D3" w:rsidRPr="00CC293B">
        <w:rPr>
          <w:rFonts w:ascii="Arial" w:hAnsi="Arial"/>
          <w:caps w:val="0"/>
        </w:rPr>
        <w:t>eillance</w:t>
      </w:r>
      <w:bookmarkEnd w:id="64"/>
      <w:bookmarkEnd w:id="65"/>
      <w:r w:rsidR="0018303B" w:rsidRPr="00CC293B">
        <w:rPr>
          <w:rFonts w:ascii="Arial" w:hAnsi="Arial"/>
          <w:caps w:val="0"/>
        </w:rPr>
        <w:t xml:space="preserve"> and Auditing</w:t>
      </w:r>
      <w:bookmarkEnd w:id="66"/>
      <w:bookmarkEnd w:id="67"/>
      <w:bookmarkEnd w:id="68"/>
    </w:p>
    <w:p w14:paraId="4289919A" w14:textId="6F3576E5" w:rsidR="00CD1C23" w:rsidRDefault="00762CC7" w:rsidP="00056B7F">
      <w:pPr>
        <w:pStyle w:val="Bodynumbered1"/>
      </w:pPr>
      <w:bookmarkStart w:id="69" w:name="_Ref133832318"/>
      <w:r>
        <w:t>The Contractor must submit</w:t>
      </w:r>
      <w:r w:rsidR="008B024A">
        <w:t xml:space="preserve"> </w:t>
      </w:r>
      <w:r w:rsidR="00DB7136">
        <w:t xml:space="preserve">to the </w:t>
      </w:r>
      <w:proofErr w:type="gramStart"/>
      <w:r w:rsidR="00DB7136">
        <w:t>Principal</w:t>
      </w:r>
      <w:proofErr w:type="gramEnd"/>
      <w:r w:rsidR="00DB7136">
        <w:t xml:space="preserve"> a </w:t>
      </w:r>
      <w:r w:rsidR="008B024A">
        <w:t xml:space="preserve">copy of </w:t>
      </w:r>
      <w:r w:rsidR="00221B24">
        <w:t>all</w:t>
      </w:r>
      <w:r w:rsidR="00DB7136">
        <w:t xml:space="preserve"> </w:t>
      </w:r>
      <w:r>
        <w:t xml:space="preserve">reports </w:t>
      </w:r>
      <w:r w:rsidR="002820CB">
        <w:t>of internal audit</w:t>
      </w:r>
      <w:r w:rsidR="00DB7136">
        <w:t>s</w:t>
      </w:r>
      <w:r w:rsidR="002820CB">
        <w:t xml:space="preserve"> and othe</w:t>
      </w:r>
      <w:r w:rsidR="000E2581">
        <w:t xml:space="preserve">r performance evaluation carried out in accordance </w:t>
      </w:r>
      <w:r w:rsidR="005A21C2">
        <w:t xml:space="preserve">with Section 9 of </w:t>
      </w:r>
      <w:r w:rsidR="005A21C2" w:rsidRPr="00E03358">
        <w:t>AS/NZS ISO 450</w:t>
      </w:r>
      <w:r w:rsidR="00221B24">
        <w:t>0</w:t>
      </w:r>
      <w:r w:rsidR="008469D5">
        <w:t>1</w:t>
      </w:r>
      <w:bookmarkEnd w:id="69"/>
      <w:r w:rsidR="005C6E74">
        <w:t>.</w:t>
      </w:r>
    </w:p>
    <w:p w14:paraId="35FFD500" w14:textId="4F1D14F3" w:rsidR="00056B7F" w:rsidRPr="00E03358" w:rsidRDefault="00762CC7" w:rsidP="00056B7F">
      <w:pPr>
        <w:pStyle w:val="Bodynumbered1"/>
      </w:pPr>
      <w:r>
        <w:t>T</w:t>
      </w:r>
      <w:r w:rsidR="00056B7F" w:rsidRPr="00E03358">
        <w:t xml:space="preserve">he Principal may carry out </w:t>
      </w:r>
      <w:r w:rsidR="00F70B05" w:rsidRPr="00E03358">
        <w:t xml:space="preserve">audits </w:t>
      </w:r>
      <w:r w:rsidR="00DF132F" w:rsidRPr="00E03358">
        <w:t>and/or</w:t>
      </w:r>
      <w:r w:rsidR="00F70B05" w:rsidRPr="00E03358">
        <w:t xml:space="preserve"> surveillance</w:t>
      </w:r>
      <w:r w:rsidR="00DF132F" w:rsidRPr="00E03358">
        <w:t xml:space="preserve"> at any time</w:t>
      </w:r>
      <w:r w:rsidR="00F70B05" w:rsidRPr="00E03358">
        <w:t xml:space="preserve"> </w:t>
      </w:r>
      <w:r w:rsidR="00080E31" w:rsidRPr="00E03358">
        <w:t>for the purpose of assessing compliance with this Specification.</w:t>
      </w:r>
    </w:p>
    <w:p w14:paraId="5F46B552" w14:textId="05AA555D" w:rsidR="00056B7F" w:rsidRPr="00503647" w:rsidRDefault="00553348" w:rsidP="007157D1">
      <w:pPr>
        <w:pStyle w:val="Bodynumbered1"/>
      </w:pPr>
      <w:r w:rsidRPr="00E03358">
        <w:lastRenderedPageBreak/>
        <w:t>The Contractor must c</w:t>
      </w:r>
      <w:r w:rsidR="00056B7F" w:rsidRPr="00E03358">
        <w:t xml:space="preserve">omply with all reasonable requests to facilitate the </w:t>
      </w:r>
      <w:r w:rsidR="007157D1" w:rsidRPr="00E03358">
        <w:t>audit and s</w:t>
      </w:r>
      <w:r w:rsidR="007157D1" w:rsidRPr="00503647">
        <w:t>urveillance</w:t>
      </w:r>
      <w:r w:rsidR="00056B7F" w:rsidRPr="00503647">
        <w:t xml:space="preserve"> </w:t>
      </w:r>
      <w:r w:rsidR="002377D1">
        <w:t>and</w:t>
      </w:r>
      <w:r w:rsidR="00056B7F" w:rsidRPr="00503647">
        <w:t xml:space="preserve"> provid</w:t>
      </w:r>
      <w:r w:rsidR="002377D1">
        <w:t>e</w:t>
      </w:r>
      <w:r w:rsidR="00056B7F" w:rsidRPr="00503647">
        <w:t xml:space="preserve"> the necessary access to any persons, </w:t>
      </w:r>
      <w:proofErr w:type="gramStart"/>
      <w:r w:rsidR="00056B7F" w:rsidRPr="00503647">
        <w:t>sites</w:t>
      </w:r>
      <w:proofErr w:type="gramEnd"/>
      <w:r w:rsidR="00056B7F" w:rsidRPr="00503647">
        <w:t xml:space="preserve"> and relevant documents/information</w:t>
      </w:r>
      <w:r w:rsidR="00580061">
        <w:t xml:space="preserve"> (including those of subcontractors and suppliers)</w:t>
      </w:r>
      <w:r w:rsidR="00A24B01">
        <w:t>.</w:t>
      </w:r>
    </w:p>
    <w:p w14:paraId="23AC0628" w14:textId="5F9FF045" w:rsidR="00E4664F" w:rsidRDefault="00E4664F" w:rsidP="00E4664F">
      <w:pPr>
        <w:pStyle w:val="Bodynumbered1"/>
      </w:pPr>
      <w:r w:rsidRPr="00E4664F">
        <w:t xml:space="preserve">The </w:t>
      </w:r>
      <w:proofErr w:type="gramStart"/>
      <w:r w:rsidRPr="00E4664F">
        <w:t>Principal</w:t>
      </w:r>
      <w:proofErr w:type="gramEnd"/>
      <w:r w:rsidRPr="00E4664F">
        <w:t xml:space="preserve"> may view and make copies of any documents which are considered to be relevant to providing the Principal with assurance that WHS is being managed satisfactorily, and photographic or video records may be taken by the Principal to support its surveillance and verification activities</w:t>
      </w:r>
      <w:r w:rsidR="00744611">
        <w:t>.</w:t>
      </w:r>
    </w:p>
    <w:p w14:paraId="5EA0887D" w14:textId="22C4FC93" w:rsidR="00DC1D75" w:rsidRDefault="005E6091" w:rsidP="00E4664F">
      <w:pPr>
        <w:pStyle w:val="Bodynumbered1"/>
      </w:pPr>
      <w:r w:rsidRPr="00503647">
        <w:t xml:space="preserve">If a </w:t>
      </w:r>
      <w:r w:rsidR="00335C6F" w:rsidRPr="00503647">
        <w:t>non</w:t>
      </w:r>
      <w:r w:rsidR="00110804">
        <w:t>-</w:t>
      </w:r>
      <w:r w:rsidR="00335C6F" w:rsidRPr="00503647">
        <w:t>conform</w:t>
      </w:r>
      <w:r w:rsidR="00A70804" w:rsidRPr="00503647">
        <w:t>ance</w:t>
      </w:r>
      <w:r w:rsidR="00335C6F" w:rsidRPr="00503647">
        <w:t xml:space="preserve"> </w:t>
      </w:r>
      <w:r w:rsidRPr="00503647">
        <w:t xml:space="preserve">is identified by </w:t>
      </w:r>
      <w:r w:rsidR="00503647" w:rsidRPr="00503647">
        <w:t>audit</w:t>
      </w:r>
      <w:r w:rsidR="00A70804" w:rsidRPr="00503647">
        <w:t xml:space="preserve"> or surveillance, that non</w:t>
      </w:r>
      <w:r w:rsidR="00110804">
        <w:t>-</w:t>
      </w:r>
      <w:r w:rsidR="00A70804" w:rsidRPr="00503647">
        <w:t xml:space="preserve">conformance </w:t>
      </w:r>
      <w:r w:rsidR="0097661D" w:rsidRPr="00503647">
        <w:t xml:space="preserve">must be </w:t>
      </w:r>
      <w:r w:rsidR="007C016B" w:rsidRPr="00503647">
        <w:t>managed</w:t>
      </w:r>
      <w:r w:rsidR="0097661D" w:rsidRPr="00503647">
        <w:t xml:space="preserve"> in accordance with the Contractor</w:t>
      </w:r>
      <w:r w:rsidR="007C016B" w:rsidRPr="00503647">
        <w:t>’</w:t>
      </w:r>
      <w:r w:rsidR="0097661D" w:rsidRPr="00503647">
        <w:t xml:space="preserve">s Quality Management System </w:t>
      </w:r>
      <w:r w:rsidR="007C016B" w:rsidRPr="00503647">
        <w:t>and</w:t>
      </w:r>
      <w:r w:rsidR="0097661D" w:rsidRPr="00503647">
        <w:t xml:space="preserve"> Safety Management System.</w:t>
      </w:r>
    </w:p>
    <w:p w14:paraId="00069E9C" w14:textId="77777777" w:rsidR="00E21701" w:rsidRPr="00775FDD" w:rsidRDefault="00E21701" w:rsidP="00775FDD">
      <w:pPr>
        <w:pStyle w:val="Heading1"/>
        <w:ind w:left="567" w:hanging="567"/>
        <w:rPr>
          <w:rFonts w:ascii="Arial" w:hAnsi="Arial"/>
          <w:caps w:val="0"/>
        </w:rPr>
      </w:pPr>
      <w:bookmarkStart w:id="70" w:name="_Toc134517070"/>
      <w:bookmarkStart w:id="71" w:name="_Toc148520749"/>
      <w:bookmarkStart w:id="72" w:name="_Toc149574689"/>
      <w:r w:rsidRPr="00775FDD">
        <w:rPr>
          <w:rFonts w:ascii="Arial" w:hAnsi="Arial"/>
          <w:caps w:val="0"/>
        </w:rPr>
        <w:t>WHS Records and Performance Reporting</w:t>
      </w:r>
      <w:bookmarkEnd w:id="70"/>
      <w:bookmarkEnd w:id="71"/>
      <w:bookmarkEnd w:id="72"/>
    </w:p>
    <w:p w14:paraId="3C5A3C61" w14:textId="23531F22" w:rsidR="007E6FE5" w:rsidRDefault="00B85C99" w:rsidP="00B3033D">
      <w:pPr>
        <w:pStyle w:val="Bodynumbered1"/>
      </w:pPr>
      <w:bookmarkStart w:id="73" w:name="_Ref55459621"/>
      <w:r>
        <w:t>T</w:t>
      </w:r>
      <w:r w:rsidR="008B6C99" w:rsidRPr="001B2868">
        <w:t>he Contractor</w:t>
      </w:r>
      <w:r w:rsidR="001121C5">
        <w:t xml:space="preserve"> must</w:t>
      </w:r>
      <w:r w:rsidR="007E6FE5">
        <w:t>:</w:t>
      </w:r>
    </w:p>
    <w:p w14:paraId="4A443F27" w14:textId="51727C88" w:rsidR="007E6FE5" w:rsidRDefault="00524169" w:rsidP="007C7C30">
      <w:pPr>
        <w:pStyle w:val="Bodynumbered2"/>
        <w:numPr>
          <w:ilvl w:val="0"/>
          <w:numId w:val="26"/>
        </w:numPr>
        <w:ind w:left="993" w:hanging="426"/>
      </w:pPr>
      <w:r>
        <w:t>p</w:t>
      </w:r>
      <w:r w:rsidR="001121C5">
        <w:t xml:space="preserve">roduce all </w:t>
      </w:r>
      <w:r w:rsidR="00A2008A">
        <w:t xml:space="preserve">WHS </w:t>
      </w:r>
      <w:r w:rsidR="008B6C99" w:rsidRPr="001B2868">
        <w:t xml:space="preserve">records </w:t>
      </w:r>
      <w:r w:rsidR="001121C5">
        <w:t xml:space="preserve">necessary </w:t>
      </w:r>
      <w:r w:rsidR="008B6C99" w:rsidRPr="001B2868">
        <w:t xml:space="preserve">to demonstrate compliance with </w:t>
      </w:r>
      <w:r w:rsidR="00114294">
        <w:t>this Specification</w:t>
      </w:r>
      <w:r>
        <w:t>; and</w:t>
      </w:r>
    </w:p>
    <w:p w14:paraId="0DA7C2CC" w14:textId="54667864" w:rsidR="00E76EB8" w:rsidRPr="007C7C30" w:rsidRDefault="00524169" w:rsidP="007C7C30">
      <w:pPr>
        <w:pStyle w:val="Bodynumbered2"/>
        <w:numPr>
          <w:ilvl w:val="0"/>
          <w:numId w:val="26"/>
        </w:numPr>
        <w:ind w:left="993" w:hanging="426"/>
      </w:pPr>
      <w:r>
        <w:t>r</w:t>
      </w:r>
      <w:r w:rsidR="007E6FE5">
        <w:t xml:space="preserve">etain </w:t>
      </w:r>
      <w:r w:rsidR="002C7EA2">
        <w:t xml:space="preserve">those </w:t>
      </w:r>
      <w:r w:rsidR="00D3371E">
        <w:t xml:space="preserve">records </w:t>
      </w:r>
      <w:r w:rsidR="002C7EA2">
        <w:t xml:space="preserve">for the time period </w:t>
      </w:r>
      <w:r w:rsidR="00E10A3D">
        <w:t xml:space="preserve">required by statue </w:t>
      </w:r>
      <w:r w:rsidR="00A47EB4">
        <w:t xml:space="preserve">(and in no case less than </w:t>
      </w:r>
      <w:r w:rsidR="004D4E51">
        <w:t>5</w:t>
      </w:r>
      <w:r w:rsidR="00A47EB4">
        <w:t xml:space="preserve"> year</w:t>
      </w:r>
      <w:r w:rsidR="00D3371E">
        <w:t>s</w:t>
      </w:r>
      <w:r w:rsidR="00A47EB4">
        <w:t>) and make those records available</w:t>
      </w:r>
      <w:r w:rsidR="00105DD3">
        <w:t xml:space="preserve"> to</w:t>
      </w:r>
      <w:r w:rsidR="00A47EB4">
        <w:t xml:space="preserve"> </w:t>
      </w:r>
      <w:r w:rsidR="008B6C99" w:rsidRPr="001B2868">
        <w:t xml:space="preserve">the </w:t>
      </w:r>
      <w:proofErr w:type="gramStart"/>
      <w:r w:rsidR="00D3371E">
        <w:t>Principal</w:t>
      </w:r>
      <w:proofErr w:type="gramEnd"/>
      <w:r w:rsidR="00D3371E">
        <w:t xml:space="preserve"> upon request</w:t>
      </w:r>
      <w:r w:rsidR="00C60049">
        <w:t>, subject to any relevant confidentiality provisions under the WHS Law.</w:t>
      </w:r>
    </w:p>
    <w:p w14:paraId="63733959" w14:textId="11B5275E" w:rsidR="008B6C99" w:rsidRPr="00506C94" w:rsidRDefault="008B6C99" w:rsidP="00B3033D">
      <w:pPr>
        <w:pStyle w:val="Bodynumbered1"/>
      </w:pPr>
      <w:r w:rsidRPr="001B2868">
        <w:t>A</w:t>
      </w:r>
      <w:r w:rsidR="00C27E8C">
        <w:t>t</w:t>
      </w:r>
      <w:r w:rsidRPr="001B2868">
        <w:t xml:space="preserve"> a minimum</w:t>
      </w:r>
      <w:r w:rsidR="0057593D">
        <w:t>,</w:t>
      </w:r>
      <w:r w:rsidRPr="001B2868">
        <w:t xml:space="preserve"> the </w:t>
      </w:r>
      <w:r w:rsidR="0057593D">
        <w:t>WHS records include</w:t>
      </w:r>
      <w:r w:rsidRPr="001B2868">
        <w:t>:</w:t>
      </w:r>
    </w:p>
    <w:p w14:paraId="566C0637" w14:textId="60420F20" w:rsidR="008B6C99" w:rsidRPr="00506C94" w:rsidRDefault="008B6C99" w:rsidP="007C7C30">
      <w:pPr>
        <w:pStyle w:val="Bodynumbered2"/>
        <w:numPr>
          <w:ilvl w:val="0"/>
          <w:numId w:val="29"/>
        </w:numPr>
        <w:ind w:left="993" w:hanging="426"/>
      </w:pPr>
      <w:r w:rsidRPr="00506C94">
        <w:t>any prosecutions, improvement notices or other regulatory notices;</w:t>
      </w:r>
    </w:p>
    <w:p w14:paraId="093741A1" w14:textId="2ABB2B60" w:rsidR="008B6C99" w:rsidRPr="00506C94" w:rsidRDefault="008B6C99" w:rsidP="007C7C30">
      <w:pPr>
        <w:pStyle w:val="Bodynumbered2"/>
        <w:ind w:left="993" w:hanging="426"/>
      </w:pPr>
      <w:r w:rsidRPr="00506C94">
        <w:t xml:space="preserve">details of any compensable injuries sustained by </w:t>
      </w:r>
      <w:r w:rsidR="0057593D" w:rsidRPr="00506C94">
        <w:rPr>
          <w:i/>
          <w:iCs/>
        </w:rPr>
        <w:t>w</w:t>
      </w:r>
      <w:r w:rsidRPr="00506C94">
        <w:rPr>
          <w:i/>
          <w:iCs/>
        </w:rPr>
        <w:t>orkers</w:t>
      </w:r>
      <w:r w:rsidRPr="00506C94">
        <w:t xml:space="preserve"> associated with work under the Contract; </w:t>
      </w:r>
    </w:p>
    <w:p w14:paraId="730D3EE0" w14:textId="71638E1E" w:rsidR="008B6C99" w:rsidRPr="00506C94" w:rsidRDefault="008B6C99" w:rsidP="007C7C30">
      <w:pPr>
        <w:pStyle w:val="Bodynumbered2"/>
        <w:ind w:left="993" w:hanging="426"/>
      </w:pPr>
      <w:r w:rsidRPr="00506C94">
        <w:t>drug and alcohol testing records;</w:t>
      </w:r>
    </w:p>
    <w:p w14:paraId="5E321D58" w14:textId="6D5CE40E" w:rsidR="008B6C99" w:rsidRPr="00506C94" w:rsidRDefault="008B6C99" w:rsidP="007C7C30">
      <w:pPr>
        <w:pStyle w:val="Bodynumbered2"/>
        <w:ind w:left="993" w:hanging="426"/>
      </w:pPr>
      <w:r w:rsidRPr="00506C94">
        <w:t>training records including inductions, licences and permits;</w:t>
      </w:r>
    </w:p>
    <w:p w14:paraId="439CB07B" w14:textId="21E1F40B" w:rsidR="008B6C99" w:rsidRPr="00506C94" w:rsidRDefault="008B6C99" w:rsidP="007C7C30">
      <w:pPr>
        <w:pStyle w:val="Bodynumbered2"/>
        <w:ind w:left="993" w:hanging="426"/>
      </w:pPr>
      <w:r w:rsidRPr="00506C94">
        <w:t>where applicable, the safe design report including any updated revisions;</w:t>
      </w:r>
    </w:p>
    <w:p w14:paraId="6D2B2DA8" w14:textId="00D16A8A" w:rsidR="008B6C99" w:rsidRPr="00506C94" w:rsidRDefault="008B6C99" w:rsidP="007C7C30">
      <w:pPr>
        <w:pStyle w:val="Bodynumbered2"/>
        <w:ind w:left="993" w:hanging="426"/>
      </w:pPr>
      <w:r w:rsidRPr="00506C94">
        <w:t>change management associated with the safe design report;</w:t>
      </w:r>
    </w:p>
    <w:p w14:paraId="2C83711B" w14:textId="7382F432" w:rsidR="008B6C99" w:rsidRPr="00506C94" w:rsidRDefault="008B6C99" w:rsidP="007C7C30">
      <w:pPr>
        <w:pStyle w:val="Bodynumbered2"/>
        <w:ind w:left="993" w:hanging="426"/>
      </w:pPr>
      <w:r w:rsidRPr="00506C94">
        <w:t>plant and equipment inspections, testing and maintenance records;</w:t>
      </w:r>
    </w:p>
    <w:p w14:paraId="4996E203" w14:textId="6CE131E8" w:rsidR="008B6C99" w:rsidRPr="00506C94" w:rsidRDefault="008B6C99" w:rsidP="007C7C30">
      <w:pPr>
        <w:pStyle w:val="Bodynumbered2"/>
        <w:ind w:left="993" w:hanging="426"/>
      </w:pPr>
      <w:r w:rsidRPr="00506C94">
        <w:t>incident investigation reports and associated evidence;</w:t>
      </w:r>
    </w:p>
    <w:p w14:paraId="3C6978B0" w14:textId="2BEC8802" w:rsidR="008B6C99" w:rsidRPr="00506C94" w:rsidRDefault="008B6C99" w:rsidP="007C7C30">
      <w:pPr>
        <w:pStyle w:val="Bodynumbered2"/>
        <w:ind w:left="993" w:hanging="426"/>
      </w:pPr>
      <w:r w:rsidRPr="00506C94">
        <w:t xml:space="preserve">health and safety inspections or inspections conducted by </w:t>
      </w:r>
      <w:r w:rsidR="004C4539" w:rsidRPr="00506C94">
        <w:t xml:space="preserve">the WHS </w:t>
      </w:r>
      <w:r w:rsidRPr="00506C94">
        <w:t>Regulator;</w:t>
      </w:r>
    </w:p>
    <w:p w14:paraId="3547CB7C" w14:textId="1AC66F73" w:rsidR="008B6C99" w:rsidRPr="00506C94" w:rsidRDefault="003B3CE2" w:rsidP="007C7C30">
      <w:pPr>
        <w:pStyle w:val="Bodynumbered2"/>
        <w:ind w:left="993" w:hanging="426"/>
      </w:pPr>
      <w:r w:rsidRPr="00506C94">
        <w:t xml:space="preserve">any WHS </w:t>
      </w:r>
      <w:r w:rsidR="008B6C99" w:rsidRPr="00506C94">
        <w:t>non-conformances associated with work under the Contract;</w:t>
      </w:r>
    </w:p>
    <w:p w14:paraId="1E561BD5" w14:textId="232160C1" w:rsidR="008B6C99" w:rsidRPr="00506C94" w:rsidRDefault="008B6C99" w:rsidP="007C7C30">
      <w:pPr>
        <w:pStyle w:val="Bodynumbered2"/>
        <w:ind w:left="993" w:hanging="426"/>
      </w:pPr>
      <w:r w:rsidRPr="00506C94">
        <w:t>procedures referenced in the Plan and applicable appendices (electronic acceptable); and</w:t>
      </w:r>
    </w:p>
    <w:p w14:paraId="68766E4D" w14:textId="143437B9" w:rsidR="008B6C99" w:rsidRPr="00506C94" w:rsidRDefault="008B6C99" w:rsidP="007C7C30">
      <w:pPr>
        <w:pStyle w:val="Bodynumbered2"/>
        <w:ind w:left="993" w:hanging="426"/>
      </w:pPr>
      <w:r w:rsidRPr="00506C94">
        <w:t>procedures referenced in the Project WHS Risk Register (electronic acceptable).</w:t>
      </w:r>
    </w:p>
    <w:p w14:paraId="457D7871" w14:textId="5112E3C8" w:rsidR="003A6B67" w:rsidRPr="00506C94" w:rsidRDefault="006F2291" w:rsidP="007952A6">
      <w:pPr>
        <w:pStyle w:val="Bodynumbered1"/>
      </w:pPr>
      <w:bookmarkStart w:id="74" w:name="_Ref133832399"/>
      <w:r w:rsidRPr="00506C94">
        <w:t>T</w:t>
      </w:r>
      <w:r w:rsidR="007952A6" w:rsidRPr="00506C94">
        <w:t xml:space="preserve">he Contractor </w:t>
      </w:r>
      <w:r w:rsidR="006E6FC9" w:rsidRPr="00506C94">
        <w:t xml:space="preserve">must </w:t>
      </w:r>
      <w:r w:rsidR="007D26DE" w:rsidRPr="00506C94">
        <w:t xml:space="preserve">prepare a </w:t>
      </w:r>
      <w:r w:rsidR="007952A6" w:rsidRPr="00506C94">
        <w:t>Safety Performance Report</w:t>
      </w:r>
      <w:r w:rsidR="005A379A" w:rsidRPr="00506C94">
        <w:t xml:space="preserve"> and submit the report to the Principal</w:t>
      </w:r>
      <w:r w:rsidR="007D26DE" w:rsidRPr="00506C94">
        <w:t xml:space="preserve"> </w:t>
      </w:r>
      <w:r w:rsidR="0028637B" w:rsidRPr="00506C94">
        <w:t>e</w:t>
      </w:r>
      <w:r w:rsidRPr="00506C94">
        <w:t>ach month</w:t>
      </w:r>
      <w:r w:rsidR="00022DA0" w:rsidRPr="00506C94">
        <w:t xml:space="preserve">, including </w:t>
      </w:r>
      <w:r w:rsidR="001C36A0" w:rsidRPr="00506C94">
        <w:t xml:space="preserve">a comparison against the performance </w:t>
      </w:r>
      <w:r w:rsidR="00DC1D75" w:rsidRPr="00506C94">
        <w:t>data in</w:t>
      </w:r>
      <w:r w:rsidR="001C36A0" w:rsidRPr="00506C94">
        <w:t xml:space="preserve"> each preceding month</w:t>
      </w:r>
      <w:r w:rsidR="007C362B">
        <w:t>.</w:t>
      </w:r>
      <w:r w:rsidRPr="00506C94">
        <w:t xml:space="preserve"> </w:t>
      </w:r>
      <w:r w:rsidR="00CB1DB0" w:rsidRPr="00506C94">
        <w:t xml:space="preserve">The format and content of the form may be specified in the </w:t>
      </w:r>
      <w:r w:rsidR="00050259" w:rsidRPr="00506C94">
        <w:t xml:space="preserve">Contract documents. </w:t>
      </w:r>
      <w:r w:rsidR="00E95E18" w:rsidRPr="00506C94">
        <w:t xml:space="preserve">At a minimum, </w:t>
      </w:r>
      <w:r w:rsidR="003A6B67" w:rsidRPr="00506C94">
        <w:t>the report must include:</w:t>
      </w:r>
      <w:bookmarkEnd w:id="74"/>
    </w:p>
    <w:p w14:paraId="72B5D1C1" w14:textId="5E11BC2F" w:rsidR="0034310D" w:rsidRPr="00506C94" w:rsidRDefault="0034310D" w:rsidP="007C7C30">
      <w:pPr>
        <w:pStyle w:val="Bodynumbered2"/>
        <w:numPr>
          <w:ilvl w:val="0"/>
          <w:numId w:val="27"/>
        </w:numPr>
        <w:ind w:left="993" w:hanging="426"/>
      </w:pPr>
      <w:r w:rsidRPr="00506C94">
        <w:t xml:space="preserve">Number of Lost Time Injuries (LTI) </w:t>
      </w:r>
      <w:r w:rsidR="00FB2374" w:rsidRPr="00506C94">
        <w:t xml:space="preserve">and </w:t>
      </w:r>
      <w:r w:rsidR="003B1860" w:rsidRPr="00506C94">
        <w:t>details and status of those injuries</w:t>
      </w:r>
    </w:p>
    <w:p w14:paraId="443CD1D3" w14:textId="77777777" w:rsidR="0034310D" w:rsidRPr="00506C94" w:rsidRDefault="0034310D" w:rsidP="007C7C30">
      <w:pPr>
        <w:pStyle w:val="Bodynumbered2"/>
        <w:numPr>
          <w:ilvl w:val="0"/>
          <w:numId w:val="27"/>
        </w:numPr>
        <w:ind w:left="993" w:hanging="426"/>
      </w:pPr>
      <w:r w:rsidRPr="00506C94">
        <w:t>Number of Working Days Lost Due to Injury</w:t>
      </w:r>
    </w:p>
    <w:p w14:paraId="6C4A571A" w14:textId="5495631A" w:rsidR="0034310D" w:rsidRPr="00506C94" w:rsidRDefault="0034310D" w:rsidP="007C7C30">
      <w:pPr>
        <w:pStyle w:val="Bodynumbered2"/>
        <w:numPr>
          <w:ilvl w:val="0"/>
          <w:numId w:val="27"/>
        </w:numPr>
        <w:ind w:left="993" w:hanging="426"/>
      </w:pPr>
      <w:r w:rsidRPr="00506C94">
        <w:t>Number of Medical Treatment Injuries (MTI)</w:t>
      </w:r>
    </w:p>
    <w:p w14:paraId="7AFC7D46" w14:textId="61780645" w:rsidR="0034310D" w:rsidRPr="00506C94" w:rsidRDefault="0034310D" w:rsidP="007C7C30">
      <w:pPr>
        <w:pStyle w:val="Bodynumbered2"/>
        <w:numPr>
          <w:ilvl w:val="0"/>
          <w:numId w:val="27"/>
        </w:numPr>
        <w:ind w:left="993" w:hanging="426"/>
      </w:pPr>
      <w:r w:rsidRPr="00506C94">
        <w:t>Number of First Aid/Minor Injuries (FAI)</w:t>
      </w:r>
    </w:p>
    <w:p w14:paraId="435ED7F2" w14:textId="77777777" w:rsidR="0034310D" w:rsidRPr="00506C94" w:rsidRDefault="0034310D" w:rsidP="007C7C30">
      <w:pPr>
        <w:pStyle w:val="Bodynumbered2"/>
        <w:numPr>
          <w:ilvl w:val="0"/>
          <w:numId w:val="27"/>
        </w:numPr>
        <w:ind w:left="993" w:hanging="426"/>
      </w:pPr>
      <w:r w:rsidRPr="00506C94">
        <w:t>Number of Hazards Reported</w:t>
      </w:r>
    </w:p>
    <w:p w14:paraId="288F3FF3" w14:textId="77777777" w:rsidR="0034310D" w:rsidRPr="00506C94" w:rsidRDefault="0034310D" w:rsidP="007C7C30">
      <w:pPr>
        <w:pStyle w:val="Bodynumbered2"/>
        <w:numPr>
          <w:ilvl w:val="0"/>
          <w:numId w:val="27"/>
        </w:numPr>
        <w:ind w:left="993" w:hanging="426"/>
      </w:pPr>
      <w:r w:rsidRPr="00506C94">
        <w:t>Number of Near Misses Reported</w:t>
      </w:r>
    </w:p>
    <w:p w14:paraId="1A95095F" w14:textId="0207B4B7" w:rsidR="0034310D" w:rsidRPr="00506C94" w:rsidRDefault="0034310D" w:rsidP="007C7C30">
      <w:pPr>
        <w:pStyle w:val="Bodynumbered2"/>
        <w:numPr>
          <w:ilvl w:val="0"/>
          <w:numId w:val="27"/>
        </w:numPr>
        <w:ind w:left="993" w:hanging="426"/>
      </w:pPr>
      <w:r w:rsidRPr="00506C94">
        <w:t>Number of Open Significant Incidents Reported</w:t>
      </w:r>
    </w:p>
    <w:p w14:paraId="62954EE9" w14:textId="2C2A7863" w:rsidR="0034310D" w:rsidRPr="00506C94" w:rsidRDefault="0034310D" w:rsidP="007C7C30">
      <w:pPr>
        <w:pStyle w:val="Bodynumbered2"/>
        <w:numPr>
          <w:ilvl w:val="0"/>
          <w:numId w:val="27"/>
        </w:numPr>
        <w:ind w:left="993" w:hanging="426"/>
      </w:pPr>
      <w:r w:rsidRPr="00506C94">
        <w:t>Number of Notifiable Incidents Reported</w:t>
      </w:r>
    </w:p>
    <w:p w14:paraId="150132D7" w14:textId="77777777" w:rsidR="0034310D" w:rsidRPr="00506C94" w:rsidRDefault="0034310D" w:rsidP="007C7C30">
      <w:pPr>
        <w:pStyle w:val="Bodynumbered2"/>
        <w:numPr>
          <w:ilvl w:val="0"/>
          <w:numId w:val="27"/>
        </w:numPr>
        <w:ind w:left="993" w:hanging="426"/>
      </w:pPr>
      <w:r w:rsidRPr="00506C94">
        <w:t>Total Hours Worked</w:t>
      </w:r>
    </w:p>
    <w:p w14:paraId="522852B3" w14:textId="29A99AAB" w:rsidR="0034310D" w:rsidRPr="0065366D" w:rsidRDefault="0034310D" w:rsidP="007C7C30">
      <w:pPr>
        <w:pStyle w:val="Bodynumbered2"/>
        <w:numPr>
          <w:ilvl w:val="0"/>
          <w:numId w:val="27"/>
        </w:numPr>
        <w:ind w:left="993" w:hanging="426"/>
      </w:pPr>
      <w:r w:rsidRPr="0065366D">
        <w:lastRenderedPageBreak/>
        <w:t>Lost Time Injury Frequency Rate (LTIFR) ((LTI)</w:t>
      </w:r>
      <w:r w:rsidR="00ED307E" w:rsidRPr="0065366D">
        <w:t> </w:t>
      </w:r>
      <w:r w:rsidR="00BC0E3A" w:rsidRPr="0065366D">
        <w:rPr>
          <w:rFonts w:cs="Arial"/>
        </w:rPr>
        <w:t>×</w:t>
      </w:r>
      <w:r w:rsidR="00ED307E" w:rsidRPr="0065366D">
        <w:t> </w:t>
      </w:r>
      <w:r w:rsidRPr="0065366D">
        <w:t>1,000,000</w:t>
      </w:r>
      <w:r w:rsidR="002E5ECB" w:rsidRPr="0065366D">
        <w:rPr>
          <w:rFonts w:cs="Arial"/>
        </w:rPr>
        <w:t> ∕ </w:t>
      </w:r>
      <w:r w:rsidRPr="0065366D">
        <w:t>Number of Hours Worked</w:t>
      </w:r>
      <w:r w:rsidR="00450D3D" w:rsidRPr="0065366D">
        <w:t>)</w:t>
      </w:r>
    </w:p>
    <w:p w14:paraId="4F943CDB" w14:textId="12DA3237" w:rsidR="0034310D" w:rsidRPr="0065366D" w:rsidRDefault="0034310D" w:rsidP="007C7C30">
      <w:pPr>
        <w:pStyle w:val="Bodynumbered2"/>
        <w:numPr>
          <w:ilvl w:val="0"/>
          <w:numId w:val="27"/>
        </w:numPr>
        <w:ind w:left="993" w:hanging="426"/>
      </w:pPr>
      <w:r w:rsidRPr="0065366D">
        <w:t>Medical Treatment Injury Frequency Rate (MTIFR)</w:t>
      </w:r>
      <w:r w:rsidR="00450D3D" w:rsidRPr="0065366D">
        <w:t xml:space="preserve"> (</w:t>
      </w:r>
      <w:r w:rsidRPr="0065366D">
        <w:t>(MTI)</w:t>
      </w:r>
      <w:r w:rsidR="00ED307E" w:rsidRPr="0065366D">
        <w:t> </w:t>
      </w:r>
      <w:r w:rsidR="000D1810" w:rsidRPr="0065366D">
        <w:rPr>
          <w:rFonts w:cs="Arial"/>
        </w:rPr>
        <w:t>×</w:t>
      </w:r>
      <w:r w:rsidR="00ED307E" w:rsidRPr="0065366D">
        <w:t> </w:t>
      </w:r>
      <w:r w:rsidRPr="0065366D">
        <w:t>1,000,000</w:t>
      </w:r>
      <w:r w:rsidR="00610DB5" w:rsidRPr="0065366D">
        <w:rPr>
          <w:rFonts w:cs="Arial"/>
        </w:rPr>
        <w:t> ∕ </w:t>
      </w:r>
      <w:r w:rsidRPr="0065366D">
        <w:t>Number of Hours Worked</w:t>
      </w:r>
      <w:r w:rsidR="00450D3D" w:rsidRPr="0065366D">
        <w:t>)</w:t>
      </w:r>
    </w:p>
    <w:p w14:paraId="5E852736" w14:textId="2EDF847B" w:rsidR="00DF57B0" w:rsidRPr="00DD44BA" w:rsidRDefault="0034310D" w:rsidP="007C7C30">
      <w:pPr>
        <w:pStyle w:val="Bodynumbered2"/>
        <w:numPr>
          <w:ilvl w:val="0"/>
          <w:numId w:val="27"/>
        </w:numPr>
        <w:ind w:left="993" w:hanging="426"/>
      </w:pPr>
      <w:r w:rsidRPr="00DD44BA">
        <w:t>Total Recordable Injury Frequency Rate (TRIFR) ((LTI</w:t>
      </w:r>
      <w:r w:rsidR="002D38B5" w:rsidRPr="00DD44BA">
        <w:t> </w:t>
      </w:r>
      <w:r w:rsidR="00BA24F9" w:rsidRPr="00DD44BA">
        <w:rPr>
          <w:rFonts w:cs="Arial"/>
        </w:rPr>
        <w:t>+</w:t>
      </w:r>
      <w:r w:rsidR="002D38B5" w:rsidRPr="00DD44BA">
        <w:t> </w:t>
      </w:r>
      <w:r w:rsidRPr="00DD44BA">
        <w:t>MTI)</w:t>
      </w:r>
      <w:r w:rsidR="00530A4C" w:rsidRPr="00DD44BA">
        <w:t> </w:t>
      </w:r>
      <w:r w:rsidR="00530A4C" w:rsidRPr="00DD44BA">
        <w:rPr>
          <w:rFonts w:cs="Arial"/>
        </w:rPr>
        <w:t>×</w:t>
      </w:r>
      <w:r w:rsidR="00530A4C" w:rsidRPr="00DD44BA">
        <w:t> </w:t>
      </w:r>
      <w:r w:rsidRPr="00DD44BA">
        <w:t>1,000,000</w:t>
      </w:r>
      <w:r w:rsidR="0065366D" w:rsidRPr="00DD44BA">
        <w:rPr>
          <w:rFonts w:cs="Arial"/>
        </w:rPr>
        <w:t> ∕ </w:t>
      </w:r>
      <w:r w:rsidRPr="00DD44BA">
        <w:t>Number of Hours Worked</w:t>
      </w:r>
      <w:r w:rsidR="00E0353E" w:rsidRPr="00DD44BA">
        <w:t>)</w:t>
      </w:r>
      <w:r w:rsidR="00DF57B0" w:rsidRPr="00DD44BA">
        <w:t>.</w:t>
      </w:r>
    </w:p>
    <w:p w14:paraId="49FEC703" w14:textId="2575975F" w:rsidR="00FC2C15" w:rsidRPr="00506C94" w:rsidRDefault="00FC2C15" w:rsidP="00FC2C15">
      <w:pPr>
        <w:pStyle w:val="Bodynumbered1"/>
      </w:pPr>
      <w:r w:rsidRPr="00506C94">
        <w:t>At each site meeting, or upon request</w:t>
      </w:r>
      <w:r w:rsidR="002E7D62" w:rsidRPr="00506C94">
        <w:t xml:space="preserve"> from the Principal, the </w:t>
      </w:r>
      <w:r w:rsidRPr="00506C94">
        <w:t xml:space="preserve">Contractor </w:t>
      </w:r>
      <w:r w:rsidR="002E7D62" w:rsidRPr="00506C94">
        <w:t xml:space="preserve">must </w:t>
      </w:r>
      <w:r w:rsidRPr="00506C94">
        <w:t>report on:</w:t>
      </w:r>
    </w:p>
    <w:p w14:paraId="4E25A989" w14:textId="77777777" w:rsidR="00FC2C15" w:rsidRPr="00506C94" w:rsidRDefault="00FC2C15" w:rsidP="007C7C30">
      <w:pPr>
        <w:pStyle w:val="Bodynumbered2"/>
        <w:numPr>
          <w:ilvl w:val="0"/>
          <w:numId w:val="28"/>
        </w:numPr>
        <w:ind w:left="993" w:hanging="426"/>
      </w:pPr>
      <w:r w:rsidRPr="00506C94">
        <w:t>the status of WHS incident investigations, WHS Regulatory Notices, and corrective actions;</w:t>
      </w:r>
    </w:p>
    <w:p w14:paraId="15E5D8BE" w14:textId="77777777" w:rsidR="00FC2C15" w:rsidRPr="00506C94" w:rsidRDefault="00FC2C15" w:rsidP="007C7C30">
      <w:pPr>
        <w:pStyle w:val="Bodynumbered2"/>
        <w:ind w:left="993" w:hanging="426"/>
      </w:pPr>
      <w:r w:rsidRPr="00506C94">
        <w:t>learnings from WHS inspections, audits, or assessments;</w:t>
      </w:r>
    </w:p>
    <w:p w14:paraId="48F863A5" w14:textId="723D7234" w:rsidR="00D025A7" w:rsidRDefault="00FC2C15" w:rsidP="007C7C30">
      <w:pPr>
        <w:pStyle w:val="Bodynumbered2"/>
        <w:ind w:left="993" w:hanging="426"/>
      </w:pPr>
      <w:r w:rsidRPr="00506C94">
        <w:t>learnings and outcomes from incident investigations;</w:t>
      </w:r>
    </w:p>
    <w:p w14:paraId="29021C46" w14:textId="63A4EBD6" w:rsidR="00D025A7" w:rsidRPr="00506C94" w:rsidRDefault="00D025A7" w:rsidP="007C7C30">
      <w:pPr>
        <w:pStyle w:val="Bodynumbered2"/>
        <w:ind w:left="993" w:hanging="426"/>
      </w:pPr>
      <w:r w:rsidRPr="00506C94">
        <w:t>progress of the WHS audit schedule; and</w:t>
      </w:r>
    </w:p>
    <w:p w14:paraId="5103842B" w14:textId="77777777" w:rsidR="00D025A7" w:rsidRPr="00506C94" w:rsidRDefault="00D025A7" w:rsidP="007C7C30">
      <w:pPr>
        <w:pStyle w:val="Bodynumbered2"/>
        <w:ind w:left="993" w:hanging="426"/>
      </w:pPr>
      <w:r w:rsidRPr="00506C94">
        <w:t>changes to the WHS risk register.</w:t>
      </w:r>
    </w:p>
    <w:p w14:paraId="1297EC4D" w14:textId="3C0CC336" w:rsidR="00B3673E" w:rsidRPr="007C7C30" w:rsidRDefault="00B3673E" w:rsidP="007C7C30">
      <w:pPr>
        <w:pStyle w:val="Heading1"/>
        <w:ind w:left="567" w:hanging="567"/>
        <w:rPr>
          <w:rFonts w:ascii="Arial" w:hAnsi="Arial"/>
          <w:caps w:val="0"/>
        </w:rPr>
      </w:pPr>
      <w:bookmarkStart w:id="75" w:name="_Ref132957045"/>
      <w:bookmarkStart w:id="76" w:name="_Toc134517071"/>
      <w:bookmarkStart w:id="77" w:name="_Toc148520750"/>
      <w:bookmarkStart w:id="78" w:name="_Toc149574690"/>
      <w:r w:rsidRPr="007C7C30">
        <w:rPr>
          <w:rFonts w:ascii="Arial" w:hAnsi="Arial"/>
          <w:caps w:val="0"/>
        </w:rPr>
        <w:t>Incident Reporting</w:t>
      </w:r>
      <w:bookmarkEnd w:id="75"/>
      <w:r w:rsidRPr="007C7C30">
        <w:rPr>
          <w:rFonts w:ascii="Arial" w:hAnsi="Arial"/>
          <w:caps w:val="0"/>
        </w:rPr>
        <w:t xml:space="preserve"> </w:t>
      </w:r>
      <w:r w:rsidR="00AA5B2A" w:rsidRPr="007C7C30">
        <w:rPr>
          <w:rFonts w:ascii="Arial" w:hAnsi="Arial"/>
          <w:caps w:val="0"/>
        </w:rPr>
        <w:t>and Investigation</w:t>
      </w:r>
      <w:bookmarkEnd w:id="76"/>
      <w:bookmarkEnd w:id="77"/>
      <w:bookmarkEnd w:id="78"/>
    </w:p>
    <w:p w14:paraId="4C39EC50" w14:textId="17FF3115" w:rsidR="00D81A30" w:rsidRPr="00BC16CF" w:rsidRDefault="00D81A30" w:rsidP="00D81A30">
      <w:pPr>
        <w:pStyle w:val="Heading2"/>
      </w:pPr>
      <w:bookmarkStart w:id="79" w:name="_Toc134517072"/>
      <w:bookmarkStart w:id="80" w:name="_Toc148520751"/>
      <w:bookmarkStart w:id="81" w:name="_Toc149574691"/>
      <w:r>
        <w:t>General</w:t>
      </w:r>
      <w:bookmarkEnd w:id="79"/>
      <w:bookmarkEnd w:id="80"/>
      <w:bookmarkEnd w:id="81"/>
    </w:p>
    <w:p w14:paraId="22BF7CBE" w14:textId="3C0D6052" w:rsidR="00D81A30" w:rsidRPr="00F03031" w:rsidRDefault="00D81A30" w:rsidP="00D81A30">
      <w:pPr>
        <w:pStyle w:val="Bodynumbered1"/>
      </w:pPr>
      <w:proofErr w:type="gramStart"/>
      <w:r>
        <w:t>For the purpose of</w:t>
      </w:r>
      <w:proofErr w:type="gramEnd"/>
      <w:r>
        <w:t xml:space="preserve"> this Clause </w:t>
      </w:r>
      <w:r>
        <w:fldChar w:fldCharType="begin"/>
      </w:r>
      <w:r>
        <w:instrText xml:space="preserve"> REF _Ref132957045 \r \h </w:instrText>
      </w:r>
      <w:r>
        <w:fldChar w:fldCharType="separate"/>
      </w:r>
      <w:r w:rsidR="00C40E23">
        <w:t>11</w:t>
      </w:r>
      <w:r>
        <w:fldChar w:fldCharType="end"/>
      </w:r>
      <w:r>
        <w:t>, a ‘</w:t>
      </w:r>
      <w:r w:rsidRPr="00F03031">
        <w:t>non-notifiable incident</w:t>
      </w:r>
      <w:r>
        <w:t>’ is an incident which:</w:t>
      </w:r>
    </w:p>
    <w:p w14:paraId="272140F8" w14:textId="0E2CCE10" w:rsidR="00D81A30" w:rsidRDefault="00510921" w:rsidP="00027510">
      <w:pPr>
        <w:pStyle w:val="Bodynumbered2"/>
        <w:numPr>
          <w:ilvl w:val="0"/>
          <w:numId w:val="31"/>
        </w:numPr>
        <w:ind w:left="993" w:hanging="426"/>
      </w:pPr>
      <w:r>
        <w:t>h</w:t>
      </w:r>
      <w:r w:rsidR="00D81A30">
        <w:t xml:space="preserve">ad a moderate </w:t>
      </w:r>
      <w:r w:rsidR="00DF4D57">
        <w:t>(</w:t>
      </w:r>
      <w:r w:rsidR="00D81A30">
        <w:t>or higher</w:t>
      </w:r>
      <w:r w:rsidR="00E00E5E">
        <w:t>)</w:t>
      </w:r>
      <w:r w:rsidR="00D81A30">
        <w:t xml:space="preserve"> potential to be </w:t>
      </w:r>
      <w:r w:rsidR="00D81A30" w:rsidRPr="00F03031">
        <w:rPr>
          <w:i/>
          <w:iCs/>
        </w:rPr>
        <w:t>notifiable incident</w:t>
      </w:r>
      <w:r w:rsidR="00D81A30" w:rsidRPr="0081201B">
        <w:t xml:space="preserve"> </w:t>
      </w:r>
      <w:r w:rsidR="00D81A30">
        <w:t>(this may be referred to as a ‘near miss’); or</w:t>
      </w:r>
    </w:p>
    <w:p w14:paraId="41C6298F" w14:textId="565C2957" w:rsidR="00D81A30" w:rsidRDefault="00D81A30" w:rsidP="00027510">
      <w:pPr>
        <w:pStyle w:val="Bodynumbered2"/>
        <w:numPr>
          <w:ilvl w:val="0"/>
          <w:numId w:val="31"/>
        </w:numPr>
        <w:ind w:left="993" w:hanging="426"/>
      </w:pPr>
      <w:r>
        <w:t xml:space="preserve">resulted in an </w:t>
      </w:r>
      <w:r w:rsidRPr="00F03031">
        <w:t xml:space="preserve">any injury </w:t>
      </w:r>
      <w:r>
        <w:t xml:space="preserve">requiring </w:t>
      </w:r>
      <w:r w:rsidRPr="00F03031">
        <w:t>treatment from a qualified medical practitioner</w:t>
      </w:r>
      <w:r>
        <w:t>,</w:t>
      </w:r>
      <w:r w:rsidRPr="00F03031">
        <w:t xml:space="preserve"> not otherwise defined as a </w:t>
      </w:r>
      <w:r w:rsidRPr="00201067">
        <w:rPr>
          <w:i/>
          <w:iCs/>
        </w:rPr>
        <w:t>notifiable incident</w:t>
      </w:r>
      <w:r>
        <w:t>.</w:t>
      </w:r>
    </w:p>
    <w:p w14:paraId="2B4A6286" w14:textId="45AA912F" w:rsidR="00D81A30" w:rsidRPr="00D81A30" w:rsidRDefault="00D81A30" w:rsidP="00DF4D57">
      <w:pPr>
        <w:pStyle w:val="Bodynumbered1"/>
      </w:pPr>
      <w:r w:rsidRPr="00D81A30">
        <w:t xml:space="preserve">The format of the incident report </w:t>
      </w:r>
      <w:r w:rsidR="00DF4D57">
        <w:t xml:space="preserve">or investigation report </w:t>
      </w:r>
      <w:r w:rsidRPr="00D81A30">
        <w:t xml:space="preserve">may be specified in the </w:t>
      </w:r>
      <w:r w:rsidR="002E02B1">
        <w:t>C</w:t>
      </w:r>
      <w:r w:rsidRPr="00D81A30">
        <w:t>ontract documents.</w:t>
      </w:r>
    </w:p>
    <w:p w14:paraId="6951079C" w14:textId="77777777" w:rsidR="00B3673E" w:rsidRPr="00BC16CF" w:rsidRDefault="00B3673E" w:rsidP="00BC16CF">
      <w:pPr>
        <w:pStyle w:val="Heading2"/>
      </w:pPr>
      <w:bookmarkStart w:id="82" w:name="_Toc134517073"/>
      <w:bookmarkStart w:id="83" w:name="_Toc148520752"/>
      <w:bookmarkStart w:id="84" w:name="_Toc149574692"/>
      <w:r w:rsidRPr="00BC16CF">
        <w:t>Notifiable Incidents</w:t>
      </w:r>
      <w:bookmarkEnd w:id="82"/>
      <w:bookmarkEnd w:id="83"/>
      <w:bookmarkEnd w:id="84"/>
    </w:p>
    <w:p w14:paraId="184FD12F" w14:textId="77777777" w:rsidR="001C36E1" w:rsidRDefault="00342444" w:rsidP="00B3673E">
      <w:pPr>
        <w:pStyle w:val="Bodynumbered1"/>
      </w:pPr>
      <w:bookmarkStart w:id="85" w:name="_Ref133832734"/>
      <w:r>
        <w:t>If</w:t>
      </w:r>
      <w:r w:rsidR="00B3673E" w:rsidRPr="00F03031">
        <w:t xml:space="preserve"> a</w:t>
      </w:r>
      <w:bookmarkStart w:id="86" w:name="_Hlk132957112"/>
      <w:r w:rsidR="00B3673E" w:rsidRPr="00F03031">
        <w:t xml:space="preserve"> </w:t>
      </w:r>
      <w:r w:rsidR="00B3673E" w:rsidRPr="00F03031">
        <w:rPr>
          <w:i/>
          <w:iCs/>
        </w:rPr>
        <w:t>notifiable incident</w:t>
      </w:r>
      <w:bookmarkEnd w:id="86"/>
      <w:r w:rsidR="00B3673E" w:rsidRPr="00F03031">
        <w:t xml:space="preserve"> </w:t>
      </w:r>
      <w:r w:rsidR="00AB659F" w:rsidRPr="00F03031">
        <w:t>occurs</w:t>
      </w:r>
      <w:r w:rsidR="00B3673E" w:rsidRPr="00F03031">
        <w:t>,</w:t>
      </w:r>
      <w:r w:rsidR="00AB659F" w:rsidRPr="00AB659F">
        <w:t xml:space="preserve"> </w:t>
      </w:r>
      <w:r w:rsidR="001C36E1" w:rsidRPr="00F03031">
        <w:t xml:space="preserve">the Contractor </w:t>
      </w:r>
      <w:r w:rsidR="001C36E1">
        <w:t>must:</w:t>
      </w:r>
      <w:bookmarkEnd w:id="85"/>
    </w:p>
    <w:p w14:paraId="649DCA01" w14:textId="398A284C" w:rsidR="00B3673E" w:rsidRPr="00F03031" w:rsidRDefault="00AB659F" w:rsidP="0043634B">
      <w:pPr>
        <w:pStyle w:val="Bodynumbered2"/>
        <w:numPr>
          <w:ilvl w:val="0"/>
          <w:numId w:val="32"/>
        </w:numPr>
        <w:ind w:left="993" w:hanging="426"/>
      </w:pPr>
      <w:r w:rsidRPr="00F03031">
        <w:t>after informing the</w:t>
      </w:r>
      <w:r>
        <w:t xml:space="preserve"> WHS</w:t>
      </w:r>
      <w:r w:rsidRPr="00F03031">
        <w:t xml:space="preserve"> Regulator</w:t>
      </w:r>
      <w:r>
        <w:t>,</w:t>
      </w:r>
      <w:r w:rsidR="00B3673E" w:rsidRPr="00F03031">
        <w:t xml:space="preserve"> </w:t>
      </w:r>
      <w:r>
        <w:t xml:space="preserve">immediately </w:t>
      </w:r>
      <w:r w:rsidR="00B3673E" w:rsidRPr="00F03031">
        <w:t>inform the Principal</w:t>
      </w:r>
      <w:r w:rsidR="007439DB">
        <w:t>;</w:t>
      </w:r>
    </w:p>
    <w:p w14:paraId="145B7C81" w14:textId="7ED1C186" w:rsidR="00B3673E" w:rsidRPr="00F03031" w:rsidRDefault="007439DB" w:rsidP="0043634B">
      <w:pPr>
        <w:pStyle w:val="Bodynumbered2"/>
        <w:numPr>
          <w:ilvl w:val="0"/>
          <w:numId w:val="32"/>
        </w:numPr>
        <w:ind w:left="993" w:hanging="426"/>
      </w:pPr>
      <w:r>
        <w:t>w</w:t>
      </w:r>
      <w:r w:rsidR="00B3673E" w:rsidRPr="00F03031">
        <w:t xml:space="preserve">ithin 24 hours, provide an incident report to the </w:t>
      </w:r>
      <w:r w:rsidR="00106B5A" w:rsidRPr="00F03031">
        <w:t>Principal</w:t>
      </w:r>
      <w:r w:rsidR="00106B5A">
        <w:t>,</w:t>
      </w:r>
      <w:r w:rsidR="00106B5A" w:rsidRPr="00F03031">
        <w:t xml:space="preserve"> including confirmation </w:t>
      </w:r>
      <w:r w:rsidR="00106B5A">
        <w:t xml:space="preserve">that </w:t>
      </w:r>
      <w:r w:rsidR="00106B5A" w:rsidRPr="00F03031">
        <w:t xml:space="preserve">the </w:t>
      </w:r>
      <w:r w:rsidR="00106B5A">
        <w:t>WHS</w:t>
      </w:r>
      <w:r w:rsidR="00106B5A" w:rsidRPr="00F03031">
        <w:t xml:space="preserve"> Regulator has been notified</w:t>
      </w:r>
      <w:bookmarkStart w:id="87" w:name="_Hlk132959551"/>
      <w:r>
        <w:t>; and</w:t>
      </w:r>
    </w:p>
    <w:bookmarkEnd w:id="87"/>
    <w:p w14:paraId="14C4292C" w14:textId="0594FE7A" w:rsidR="00B3673E" w:rsidRPr="00F03031" w:rsidRDefault="00B3673E" w:rsidP="0043634B">
      <w:pPr>
        <w:pStyle w:val="Bodynumbered2"/>
        <w:numPr>
          <w:ilvl w:val="0"/>
          <w:numId w:val="32"/>
        </w:numPr>
        <w:ind w:left="993" w:hanging="426"/>
      </w:pPr>
      <w:r w:rsidRPr="00F03031">
        <w:t xml:space="preserve">within 24 hours, notify the Principal of any </w:t>
      </w:r>
      <w:r w:rsidR="00233D6B">
        <w:t>n</w:t>
      </w:r>
      <w:r w:rsidRPr="00F03031">
        <w:t>otices issued by the WHS Regulator</w:t>
      </w:r>
      <w:r w:rsidR="002E02B1">
        <w:t xml:space="preserve">, including any </w:t>
      </w:r>
      <w:r w:rsidRPr="00F03031">
        <w:t>Improvement, Prohibition, Expiation, or Non-Disturbance Notices.</w:t>
      </w:r>
    </w:p>
    <w:p w14:paraId="446C3B53" w14:textId="42693F2E" w:rsidR="00B3673E" w:rsidRPr="00F03031" w:rsidRDefault="00B3673E" w:rsidP="00B3673E">
      <w:pPr>
        <w:pStyle w:val="Bodynumbered1"/>
      </w:pPr>
      <w:bookmarkStart w:id="88" w:name="_Ref133832768"/>
      <w:r w:rsidRPr="00F03031">
        <w:t xml:space="preserve">Within 3 working days of a </w:t>
      </w:r>
      <w:r w:rsidRPr="00233D6B">
        <w:rPr>
          <w:i/>
          <w:iCs/>
        </w:rPr>
        <w:t>notifiable incident</w:t>
      </w:r>
      <w:r w:rsidRPr="00F03031">
        <w:t xml:space="preserve"> occurring the Contractor </w:t>
      </w:r>
      <w:r w:rsidR="00F03031">
        <w:t>must</w:t>
      </w:r>
      <w:r w:rsidRPr="00F03031">
        <w:t xml:space="preserve"> submit </w:t>
      </w:r>
      <w:r w:rsidR="009010A0">
        <w:t xml:space="preserve">to the Principal </w:t>
      </w:r>
      <w:r w:rsidRPr="00F03031">
        <w:t>either:</w:t>
      </w:r>
      <w:bookmarkEnd w:id="88"/>
    </w:p>
    <w:p w14:paraId="072CBDCA" w14:textId="092E7695" w:rsidR="00B3673E" w:rsidRPr="00F03031" w:rsidRDefault="00B3673E" w:rsidP="0043634B">
      <w:pPr>
        <w:pStyle w:val="Bodynumbered2"/>
        <w:numPr>
          <w:ilvl w:val="0"/>
          <w:numId w:val="30"/>
        </w:numPr>
        <w:ind w:left="993" w:hanging="426"/>
      </w:pPr>
      <w:r w:rsidRPr="00F03031">
        <w:t xml:space="preserve">a Preliminary Investigation </w:t>
      </w:r>
      <w:r w:rsidR="00D82DD3" w:rsidRPr="00F03031">
        <w:t>Report detailing</w:t>
      </w:r>
      <w:r w:rsidRPr="00F03031">
        <w:t xml:space="preserve"> the event, immediate </w:t>
      </w:r>
      <w:proofErr w:type="gramStart"/>
      <w:r w:rsidRPr="00F03031">
        <w:t>actions</w:t>
      </w:r>
      <w:proofErr w:type="gramEnd"/>
      <w:r w:rsidRPr="00F03031">
        <w:t xml:space="preserve"> and methodologies to eliminate the risk, and the actions required to finalise the investigation; or</w:t>
      </w:r>
    </w:p>
    <w:p w14:paraId="5A79B1AB" w14:textId="347F6B14" w:rsidR="00B3673E" w:rsidRPr="00F03031" w:rsidRDefault="00B3673E" w:rsidP="0043634B">
      <w:pPr>
        <w:pStyle w:val="Bodynumbered2"/>
        <w:ind w:left="993" w:hanging="426"/>
      </w:pPr>
      <w:r w:rsidRPr="00F03031">
        <w:t xml:space="preserve">a Final Investigation </w:t>
      </w:r>
      <w:r w:rsidR="00D82DD3" w:rsidRPr="00F03031">
        <w:t>Report containing</w:t>
      </w:r>
      <w:r w:rsidRPr="00F03031">
        <w:t xml:space="preserve"> details of the incident, information gathered, any direction or requirements imposed by </w:t>
      </w:r>
      <w:r w:rsidR="00D82DD3">
        <w:t>the WHS Regulator</w:t>
      </w:r>
      <w:r w:rsidRPr="00F03031">
        <w:t>, analysis undertaken, identification of the underlying causes, and corrective action(s) to prevent a recurrence. The report must state the person responsible for completing the corrective action(s) and the planned close out date(s).</w:t>
      </w:r>
    </w:p>
    <w:p w14:paraId="71F20A2A" w14:textId="5B2CDF1F" w:rsidR="00245D3C" w:rsidRDefault="00AE79E5" w:rsidP="00AE79E5">
      <w:pPr>
        <w:pStyle w:val="Bodynumbered1"/>
      </w:pPr>
      <w:r w:rsidRPr="00AE79E5">
        <w:t>Where a Preliminary Investigation Report has been submitted, the Contractor must provide the Final Report within 20 working days of the incident, unless otherwise agreed with the Principal.</w:t>
      </w:r>
    </w:p>
    <w:p w14:paraId="78833539" w14:textId="40B0BD2F" w:rsidR="000F07BA" w:rsidRPr="00245D3C" w:rsidRDefault="003B7DAA" w:rsidP="003B7DAA">
      <w:pPr>
        <w:pStyle w:val="Bodynumbered1"/>
      </w:pPr>
      <w:r w:rsidRPr="003B7DAA">
        <w:t>If an incident which the Principal considers to be a</w:t>
      </w:r>
      <w:r w:rsidRPr="003B7DAA">
        <w:rPr>
          <w:i/>
          <w:iCs/>
        </w:rPr>
        <w:t xml:space="preserve"> notifiable incident </w:t>
      </w:r>
      <w:r w:rsidRPr="003B7DAA">
        <w:t xml:space="preserve">has taken place at the Site, and </w:t>
      </w:r>
      <w:r>
        <w:t xml:space="preserve">the Contractor has </w:t>
      </w:r>
      <w:r w:rsidRPr="003B7DAA">
        <w:t xml:space="preserve">notified the </w:t>
      </w:r>
      <w:bookmarkStart w:id="89" w:name="_Hlk134453529"/>
      <w:r w:rsidR="00297DCE">
        <w:t>WHS R</w:t>
      </w:r>
      <w:r w:rsidRPr="003B7DAA">
        <w:t>egulator</w:t>
      </w:r>
      <w:bookmarkEnd w:id="89"/>
      <w:r w:rsidRPr="003B7DAA">
        <w:t xml:space="preserve">, the Principal may report the incident directly to the regulator, but only after advising </w:t>
      </w:r>
      <w:r w:rsidR="00726297">
        <w:t>the Contractor</w:t>
      </w:r>
      <w:r w:rsidRPr="003B7DAA">
        <w:t xml:space="preserve"> of the intention to do so</w:t>
      </w:r>
      <w:r w:rsidR="00297DCE">
        <w:t>.</w:t>
      </w:r>
    </w:p>
    <w:p w14:paraId="1F01558A" w14:textId="77777777" w:rsidR="00B3673E" w:rsidRPr="00F03031" w:rsidRDefault="00B3673E" w:rsidP="00BC16CF">
      <w:pPr>
        <w:pStyle w:val="Heading2"/>
      </w:pPr>
      <w:bookmarkStart w:id="90" w:name="_Toc134517074"/>
      <w:bookmarkStart w:id="91" w:name="_Toc148520753"/>
      <w:bookmarkStart w:id="92" w:name="_Toc149574693"/>
      <w:r w:rsidRPr="00F03031">
        <w:lastRenderedPageBreak/>
        <w:t>Non-Notifiable Incidents</w:t>
      </w:r>
      <w:bookmarkEnd w:id="90"/>
      <w:bookmarkEnd w:id="91"/>
      <w:bookmarkEnd w:id="92"/>
    </w:p>
    <w:p w14:paraId="013159F1" w14:textId="77777777" w:rsidR="00A16DAB" w:rsidRDefault="00D85F71" w:rsidP="008B72A4">
      <w:pPr>
        <w:pStyle w:val="Bodynumbered1"/>
      </w:pPr>
      <w:r>
        <w:t xml:space="preserve">If a </w:t>
      </w:r>
      <w:r w:rsidR="008B72A4" w:rsidRPr="008B72A4">
        <w:t>non-notifiable incident</w:t>
      </w:r>
      <w:r>
        <w:t xml:space="preserve"> occurs, t</w:t>
      </w:r>
      <w:r w:rsidR="00B3673E" w:rsidRPr="00F03031">
        <w:t xml:space="preserve">he Contractor </w:t>
      </w:r>
      <w:r w:rsidR="00F03031">
        <w:t>must</w:t>
      </w:r>
      <w:r w:rsidR="00A16DAB">
        <w:t>:</w:t>
      </w:r>
    </w:p>
    <w:p w14:paraId="4A09B103" w14:textId="10D34A80" w:rsidR="00A16DAB" w:rsidRDefault="00B3673E" w:rsidP="00B06A79">
      <w:pPr>
        <w:pStyle w:val="Bodynumbered2"/>
        <w:numPr>
          <w:ilvl w:val="0"/>
          <w:numId w:val="33"/>
        </w:numPr>
        <w:ind w:left="993" w:hanging="426"/>
      </w:pPr>
      <w:r w:rsidRPr="00F03031">
        <w:t>within 24 hours, provide</w:t>
      </w:r>
      <w:r w:rsidR="00610067" w:rsidRPr="00610067">
        <w:t xml:space="preserve"> </w:t>
      </w:r>
      <w:r w:rsidR="00610067" w:rsidRPr="00F03031">
        <w:t>an Incident Report</w:t>
      </w:r>
      <w:r w:rsidRPr="00F03031">
        <w:t xml:space="preserve"> to the Principal</w:t>
      </w:r>
      <w:r w:rsidR="00F43154">
        <w:t>;</w:t>
      </w:r>
      <w:r w:rsidR="00B67247" w:rsidRPr="00F03031">
        <w:t xml:space="preserve"> and</w:t>
      </w:r>
      <w:r w:rsidRPr="00F03031">
        <w:t xml:space="preserve"> </w:t>
      </w:r>
    </w:p>
    <w:p w14:paraId="2E9CF752" w14:textId="380BBC06" w:rsidR="00C775CA" w:rsidRDefault="00B3673E" w:rsidP="00B06A79">
      <w:pPr>
        <w:pStyle w:val="Bodynumbered2"/>
        <w:numPr>
          <w:ilvl w:val="0"/>
          <w:numId w:val="33"/>
        </w:numPr>
        <w:ind w:left="993" w:hanging="426"/>
      </w:pPr>
      <w:r w:rsidRPr="00F03031">
        <w:t>as soon as practicable, undertake an investigation proportionate to the severity (or potential severity) of the consequences of the incident.</w:t>
      </w:r>
    </w:p>
    <w:p w14:paraId="56C8DF3A" w14:textId="1CE99812" w:rsidR="00B3673E" w:rsidRPr="00F03031" w:rsidRDefault="00B3673E" w:rsidP="00B3673E">
      <w:pPr>
        <w:pStyle w:val="Bodynumbered1"/>
      </w:pPr>
      <w:bookmarkStart w:id="93" w:name="_Ref133832788"/>
      <w:r w:rsidRPr="00F03031">
        <w:t xml:space="preserve">Within 3 working days of a non-notifiable incident occurring, the Contractor </w:t>
      </w:r>
      <w:r w:rsidR="00F03031">
        <w:t>must</w:t>
      </w:r>
      <w:r w:rsidRPr="00F03031">
        <w:t xml:space="preserve"> submit </w:t>
      </w:r>
      <w:r w:rsidR="00F43154" w:rsidRPr="00F03031">
        <w:t xml:space="preserve">to the Principal </w:t>
      </w:r>
      <w:r w:rsidRPr="00F03031">
        <w:t>either:</w:t>
      </w:r>
      <w:bookmarkEnd w:id="93"/>
    </w:p>
    <w:p w14:paraId="7328971F" w14:textId="47AE6554" w:rsidR="00B3673E" w:rsidRPr="00F03031" w:rsidRDefault="00B3673E" w:rsidP="00B06A79">
      <w:pPr>
        <w:pStyle w:val="Bodynumbered2"/>
        <w:numPr>
          <w:ilvl w:val="0"/>
          <w:numId w:val="34"/>
        </w:numPr>
        <w:ind w:left="993" w:hanging="426"/>
      </w:pPr>
      <w:r w:rsidRPr="00F03031">
        <w:t>a Preliminary Investigation Report outlining the cause and actions taken to eliminate or minimise the risk, and the actions required to finalise the investigation; or</w:t>
      </w:r>
    </w:p>
    <w:p w14:paraId="773A8568" w14:textId="1E61DFF8" w:rsidR="00B3673E" w:rsidRPr="00F03031" w:rsidRDefault="00B3673E" w:rsidP="00B06A79">
      <w:pPr>
        <w:pStyle w:val="Bodynumbered2"/>
        <w:ind w:left="993" w:hanging="426"/>
      </w:pPr>
      <w:r w:rsidRPr="00F03031">
        <w:t xml:space="preserve">a Final Investigation </w:t>
      </w:r>
      <w:r w:rsidR="00DD6DE1" w:rsidRPr="00F03031">
        <w:t>Report</w:t>
      </w:r>
      <w:r w:rsidR="00C775CA">
        <w:t>,</w:t>
      </w:r>
      <w:r w:rsidR="00DD6DE1" w:rsidRPr="00F03031">
        <w:t xml:space="preserve"> giving</w:t>
      </w:r>
      <w:r w:rsidRPr="00F03031">
        <w:t xml:space="preserve"> full details of the incident, including results of investigations into its cause and any recommendations or strategies for prevention in the future.</w:t>
      </w:r>
    </w:p>
    <w:p w14:paraId="1B1CDE72" w14:textId="6378888B" w:rsidR="00B3673E" w:rsidRPr="00F03031" w:rsidRDefault="00B3673E" w:rsidP="006F1931">
      <w:pPr>
        <w:pStyle w:val="Bodynumbered1"/>
      </w:pPr>
      <w:r w:rsidRPr="00F03031">
        <w:t xml:space="preserve">Where a </w:t>
      </w:r>
      <w:r w:rsidR="006F1931" w:rsidRPr="006F1931">
        <w:t>Preliminary Investigation Report</w:t>
      </w:r>
      <w:r w:rsidRPr="00F03031">
        <w:t xml:space="preserve"> has been submitted, the Contractor </w:t>
      </w:r>
      <w:r w:rsidR="00F03031">
        <w:t>must</w:t>
      </w:r>
      <w:r w:rsidRPr="00F03031">
        <w:t xml:space="preserve"> provide the </w:t>
      </w:r>
      <w:r w:rsidR="00AE79E5">
        <w:t>F</w:t>
      </w:r>
      <w:r w:rsidRPr="00F03031">
        <w:t xml:space="preserve">inal </w:t>
      </w:r>
      <w:r w:rsidR="006F1931">
        <w:t>R</w:t>
      </w:r>
      <w:r w:rsidRPr="00F03031">
        <w:t xml:space="preserve">eport within </w:t>
      </w:r>
      <w:r w:rsidR="00C13984">
        <w:t>20</w:t>
      </w:r>
      <w:r w:rsidRPr="00F03031">
        <w:t xml:space="preserve"> working days</w:t>
      </w:r>
      <w:r w:rsidR="006F1931">
        <w:t xml:space="preserve"> of the incident,</w:t>
      </w:r>
      <w:r w:rsidRPr="00F03031">
        <w:t xml:space="preserve"> unless otherwise agreed with the Principal.</w:t>
      </w:r>
    </w:p>
    <w:p w14:paraId="0C174020" w14:textId="3DCB0033" w:rsidR="000820AD" w:rsidRPr="00AC6FB5" w:rsidRDefault="000820AD" w:rsidP="00AC6FB5">
      <w:pPr>
        <w:pStyle w:val="Heading1"/>
        <w:ind w:left="567" w:hanging="567"/>
        <w:rPr>
          <w:rFonts w:ascii="Arial" w:hAnsi="Arial"/>
          <w:caps w:val="0"/>
        </w:rPr>
      </w:pPr>
      <w:bookmarkStart w:id="94" w:name="_Ref132796484"/>
      <w:bookmarkStart w:id="95" w:name="_Toc134517075"/>
      <w:bookmarkStart w:id="96" w:name="_Toc148520754"/>
      <w:bookmarkStart w:id="97" w:name="_Toc149574694"/>
      <w:r w:rsidRPr="00AC6FB5">
        <w:rPr>
          <w:rFonts w:ascii="Arial" w:hAnsi="Arial"/>
          <w:caps w:val="0"/>
        </w:rPr>
        <w:t xml:space="preserve">Heavy Vehicle National Law – Chain </w:t>
      </w:r>
      <w:r w:rsidR="00C417A9">
        <w:rPr>
          <w:rFonts w:ascii="Arial" w:hAnsi="Arial"/>
          <w:caps w:val="0"/>
        </w:rPr>
        <w:t>o</w:t>
      </w:r>
      <w:r w:rsidRPr="00AC6FB5">
        <w:rPr>
          <w:rFonts w:ascii="Arial" w:hAnsi="Arial"/>
          <w:caps w:val="0"/>
        </w:rPr>
        <w:t>f Responsibility</w:t>
      </w:r>
      <w:bookmarkEnd w:id="94"/>
      <w:bookmarkEnd w:id="95"/>
      <w:bookmarkEnd w:id="96"/>
      <w:bookmarkEnd w:id="97"/>
    </w:p>
    <w:p w14:paraId="7303CCD0" w14:textId="4075D11A" w:rsidR="000820AD" w:rsidRDefault="00B14648" w:rsidP="004A1A9B">
      <w:pPr>
        <w:pStyle w:val="Heading2"/>
      </w:pPr>
      <w:bookmarkStart w:id="98" w:name="_Toc134517076"/>
      <w:bookmarkStart w:id="99" w:name="_Toc148520755"/>
      <w:bookmarkStart w:id="100" w:name="_Toc149574695"/>
      <w:r>
        <w:t>General</w:t>
      </w:r>
      <w:bookmarkEnd w:id="98"/>
      <w:bookmarkEnd w:id="99"/>
      <w:bookmarkEnd w:id="100"/>
    </w:p>
    <w:p w14:paraId="4A8CBFE1" w14:textId="53CDB530" w:rsidR="00DA6303" w:rsidRDefault="00156A73" w:rsidP="006B19DE">
      <w:pPr>
        <w:pStyle w:val="Bodynumbered1"/>
      </w:pPr>
      <w:r>
        <w:t xml:space="preserve">This Clause </w:t>
      </w:r>
      <w:r>
        <w:fldChar w:fldCharType="begin"/>
      </w:r>
      <w:r>
        <w:instrText xml:space="preserve"> REF _Ref132796484 \r \h </w:instrText>
      </w:r>
      <w:r>
        <w:fldChar w:fldCharType="separate"/>
      </w:r>
      <w:r w:rsidR="00C40E23">
        <w:t>12</w:t>
      </w:r>
      <w:r>
        <w:fldChar w:fldCharType="end"/>
      </w:r>
      <w:r w:rsidR="0073430E">
        <w:t xml:space="preserve"> only</w:t>
      </w:r>
      <w:r>
        <w:t xml:space="preserve"> </w:t>
      </w:r>
      <w:r w:rsidR="003A13F8">
        <w:t>applies in jurisdictions</w:t>
      </w:r>
      <w:r w:rsidR="006B19DE">
        <w:t xml:space="preserve"> where the </w:t>
      </w:r>
      <w:r w:rsidR="006B19DE" w:rsidRPr="006B19DE">
        <w:t xml:space="preserve">Heavy Vehicle National Law </w:t>
      </w:r>
      <w:r w:rsidR="00DA6303">
        <w:t xml:space="preserve">has been </w:t>
      </w:r>
      <w:r w:rsidR="005A5C26">
        <w:t>enacted</w:t>
      </w:r>
      <w:r w:rsidR="00DA6303">
        <w:t>.</w:t>
      </w:r>
    </w:p>
    <w:p w14:paraId="49347747" w14:textId="47F2AAA9" w:rsidR="000820AD" w:rsidRDefault="009B3076" w:rsidP="006B19DE">
      <w:pPr>
        <w:pStyle w:val="Bodynumbered1"/>
      </w:pPr>
      <w:r>
        <w:t xml:space="preserve">The Contractor must </w:t>
      </w:r>
      <w:r w:rsidR="00B14648">
        <w:t>c</w:t>
      </w:r>
      <w:r w:rsidR="000820AD">
        <w:t>omply with th</w:t>
      </w:r>
      <w:r w:rsidR="000820AD" w:rsidRPr="0091154B">
        <w:t xml:space="preserve">e Heavy Vehicle National Law and </w:t>
      </w:r>
      <w:r w:rsidR="00B14648" w:rsidRPr="0091154B">
        <w:t xml:space="preserve">subordinate </w:t>
      </w:r>
      <w:r w:rsidR="000820AD" w:rsidRPr="0091154B">
        <w:t>regulations that govern the</w:t>
      </w:r>
      <w:r w:rsidRPr="0091154B">
        <w:t xml:space="preserve"> </w:t>
      </w:r>
      <w:r w:rsidR="000820AD" w:rsidRPr="0091154B">
        <w:t>supply chain for the Works and for the bringing onto and removal from the Site of items requiring</w:t>
      </w:r>
      <w:r w:rsidRPr="0091154B">
        <w:t xml:space="preserve"> </w:t>
      </w:r>
      <w:r w:rsidR="000820AD" w:rsidRPr="0091154B">
        <w:t>transport services</w:t>
      </w:r>
      <w:r w:rsidR="000820AD">
        <w:t>.</w:t>
      </w:r>
    </w:p>
    <w:p w14:paraId="7CD0AD9D" w14:textId="5E06D721" w:rsidR="000820AD" w:rsidRDefault="00B14648" w:rsidP="004A1A9B">
      <w:pPr>
        <w:pStyle w:val="Heading2"/>
      </w:pPr>
      <w:bookmarkStart w:id="101" w:name="_Toc134517077"/>
      <w:bookmarkStart w:id="102" w:name="_Toc148520756"/>
      <w:bookmarkStart w:id="103" w:name="_Toc149574696"/>
      <w:r>
        <w:t>Heavy Vehicle Chain of Responsibility Management Plan</w:t>
      </w:r>
      <w:bookmarkEnd w:id="101"/>
      <w:bookmarkEnd w:id="102"/>
      <w:bookmarkEnd w:id="103"/>
    </w:p>
    <w:p w14:paraId="373638E7" w14:textId="4A5AC46A" w:rsidR="000820AD" w:rsidRDefault="00B14648">
      <w:pPr>
        <w:pStyle w:val="Bodynumbered1"/>
      </w:pPr>
      <w:r>
        <w:t xml:space="preserve">The Contractor must </w:t>
      </w:r>
      <w:r w:rsidR="006F325E">
        <w:t>d</w:t>
      </w:r>
      <w:r w:rsidR="000820AD">
        <w:t>evelop and implement a Heavy Vehicle Chain of Responsibility (HVCoR)</w:t>
      </w:r>
      <w:r w:rsidR="006F325E">
        <w:t xml:space="preserve"> </w:t>
      </w:r>
      <w:r w:rsidR="000820AD">
        <w:t xml:space="preserve">Management Plan </w:t>
      </w:r>
      <w:r w:rsidR="00CD302D">
        <w:t>that</w:t>
      </w:r>
      <w:r w:rsidR="000820AD">
        <w:t xml:space="preserve"> must, as a minimum, cover the following elements:</w:t>
      </w:r>
    </w:p>
    <w:p w14:paraId="312429D4" w14:textId="32CA971F" w:rsidR="000820AD" w:rsidRDefault="000820AD" w:rsidP="00934467">
      <w:pPr>
        <w:pStyle w:val="Bodynumbered2"/>
        <w:numPr>
          <w:ilvl w:val="0"/>
          <w:numId w:val="24"/>
        </w:numPr>
        <w:ind w:left="993" w:hanging="426"/>
      </w:pPr>
      <w:r>
        <w:t xml:space="preserve">Organisation chart showing the team structure, relevant </w:t>
      </w:r>
      <w:proofErr w:type="gramStart"/>
      <w:r>
        <w:t>personnel</w:t>
      </w:r>
      <w:proofErr w:type="gramEnd"/>
      <w:r>
        <w:t xml:space="preserve"> and their respective</w:t>
      </w:r>
      <w:r w:rsidR="006F325E">
        <w:t xml:space="preserve"> </w:t>
      </w:r>
      <w:r>
        <w:t>responsibilities in relation to HVCoR.</w:t>
      </w:r>
    </w:p>
    <w:p w14:paraId="78101F45" w14:textId="16B71160" w:rsidR="000820AD" w:rsidRDefault="000820AD" w:rsidP="00934467">
      <w:pPr>
        <w:pStyle w:val="Bodynumbered2"/>
        <w:numPr>
          <w:ilvl w:val="0"/>
          <w:numId w:val="24"/>
        </w:numPr>
        <w:ind w:left="993" w:hanging="426"/>
      </w:pPr>
      <w:r>
        <w:t xml:space="preserve">Methods of communication of HVCoR requirements to project personnel, </w:t>
      </w:r>
      <w:proofErr w:type="gramStart"/>
      <w:r>
        <w:t>suppliers</w:t>
      </w:r>
      <w:proofErr w:type="gramEnd"/>
      <w:r>
        <w:t xml:space="preserve"> and</w:t>
      </w:r>
      <w:r w:rsidR="006F325E">
        <w:t xml:space="preserve"> </w:t>
      </w:r>
      <w:r>
        <w:t>subcontractors.</w:t>
      </w:r>
    </w:p>
    <w:p w14:paraId="370CAF1F" w14:textId="6D87136F" w:rsidR="000820AD" w:rsidRDefault="000820AD" w:rsidP="00934467">
      <w:pPr>
        <w:pStyle w:val="Bodynumbered2"/>
        <w:numPr>
          <w:ilvl w:val="0"/>
          <w:numId w:val="24"/>
        </w:numPr>
        <w:ind w:left="993" w:hanging="426"/>
      </w:pPr>
      <w:r>
        <w:t>Methods of ensuring that suppliers and subcontractors understand their HVCoR obligations and</w:t>
      </w:r>
      <w:r w:rsidR="006F325E">
        <w:t xml:space="preserve"> </w:t>
      </w:r>
      <w:r>
        <w:t>have the appropriate systems in place to fulfil these obligations.</w:t>
      </w:r>
    </w:p>
    <w:p w14:paraId="2DFE7D2F" w14:textId="284103F7" w:rsidR="000820AD" w:rsidRDefault="000820AD" w:rsidP="00934467">
      <w:pPr>
        <w:pStyle w:val="Bodynumbered2"/>
        <w:numPr>
          <w:ilvl w:val="0"/>
          <w:numId w:val="24"/>
        </w:numPr>
        <w:ind w:left="993" w:hanging="426"/>
      </w:pPr>
      <w:r>
        <w:t xml:space="preserve">Approvals and permits from the relevant regulators and </w:t>
      </w:r>
      <w:r w:rsidR="002F769C">
        <w:t>a</w:t>
      </w:r>
      <w:r>
        <w:t>uthorities and the process for</w:t>
      </w:r>
      <w:r w:rsidR="006F325E">
        <w:t xml:space="preserve"> </w:t>
      </w:r>
      <w:r>
        <w:t>obtaining them.</w:t>
      </w:r>
    </w:p>
    <w:p w14:paraId="2355C9FB" w14:textId="1132A676" w:rsidR="000820AD" w:rsidRDefault="000820AD" w:rsidP="00934467">
      <w:pPr>
        <w:pStyle w:val="Bodynumbered2"/>
        <w:numPr>
          <w:ilvl w:val="0"/>
          <w:numId w:val="24"/>
        </w:numPr>
        <w:ind w:left="993" w:hanging="426"/>
      </w:pPr>
      <w:r>
        <w:t>Management of compliance with the legislation, including safety systems and controls for the</w:t>
      </w:r>
      <w:r w:rsidR="006F325E">
        <w:t xml:space="preserve"> </w:t>
      </w:r>
      <w:r>
        <w:t>following:</w:t>
      </w:r>
    </w:p>
    <w:p w14:paraId="019C6896" w14:textId="3F3F2A4C" w:rsidR="000820AD" w:rsidRDefault="000820AD" w:rsidP="00934467">
      <w:pPr>
        <w:pStyle w:val="Bodynumbered3"/>
        <w:numPr>
          <w:ilvl w:val="0"/>
          <w:numId w:val="25"/>
        </w:numPr>
        <w:ind w:left="1418" w:hanging="425"/>
      </w:pPr>
      <w:r>
        <w:t>governance, including provision of evidence that the Contractor, its suppliers and</w:t>
      </w:r>
      <w:r w:rsidR="0084279B">
        <w:t xml:space="preserve"> </w:t>
      </w:r>
      <w:r>
        <w:t xml:space="preserve">subcontractors have met its legal HVCoR </w:t>
      </w:r>
      <w:proofErr w:type="gramStart"/>
      <w:r>
        <w:t>obligations;</w:t>
      </w:r>
      <w:proofErr w:type="gramEnd"/>
    </w:p>
    <w:p w14:paraId="6864E2A2" w14:textId="6F99639E" w:rsidR="000820AD" w:rsidRDefault="000820AD" w:rsidP="00934467">
      <w:pPr>
        <w:pStyle w:val="Bodynumbered3"/>
        <w:numPr>
          <w:ilvl w:val="0"/>
          <w:numId w:val="25"/>
        </w:numPr>
        <w:ind w:left="1418" w:hanging="425"/>
      </w:pPr>
      <w:r>
        <w:t>vehicle standards;</w:t>
      </w:r>
    </w:p>
    <w:p w14:paraId="01575E23" w14:textId="18F1DF2A" w:rsidR="000820AD" w:rsidRDefault="000820AD" w:rsidP="00934467">
      <w:pPr>
        <w:pStyle w:val="Bodynumbered3"/>
        <w:numPr>
          <w:ilvl w:val="0"/>
          <w:numId w:val="25"/>
        </w:numPr>
        <w:ind w:left="1418" w:hanging="425"/>
      </w:pPr>
      <w:r>
        <w:t xml:space="preserve">mass, dimension and </w:t>
      </w:r>
      <w:proofErr w:type="gramStart"/>
      <w:r>
        <w:t>loading;</w:t>
      </w:r>
      <w:proofErr w:type="gramEnd"/>
    </w:p>
    <w:p w14:paraId="0FC31845" w14:textId="16A9E04A" w:rsidR="000820AD" w:rsidRDefault="000820AD" w:rsidP="00934467">
      <w:pPr>
        <w:pStyle w:val="Bodynumbered3"/>
        <w:numPr>
          <w:ilvl w:val="0"/>
          <w:numId w:val="25"/>
        </w:numPr>
        <w:ind w:left="1418" w:hanging="425"/>
      </w:pPr>
      <w:r>
        <w:t>speeding;</w:t>
      </w:r>
    </w:p>
    <w:p w14:paraId="4A86C158" w14:textId="02377045" w:rsidR="000820AD" w:rsidRDefault="000820AD" w:rsidP="00934467">
      <w:pPr>
        <w:pStyle w:val="Bodynumbered3"/>
        <w:numPr>
          <w:ilvl w:val="0"/>
          <w:numId w:val="25"/>
        </w:numPr>
        <w:ind w:left="1418" w:hanging="425"/>
      </w:pPr>
      <w:r>
        <w:t>driver fatigue;</w:t>
      </w:r>
    </w:p>
    <w:p w14:paraId="2EB42DBD" w14:textId="449259FE" w:rsidR="000820AD" w:rsidRDefault="000820AD" w:rsidP="00934467">
      <w:pPr>
        <w:pStyle w:val="Bodynumbered3"/>
        <w:numPr>
          <w:ilvl w:val="0"/>
          <w:numId w:val="25"/>
        </w:numPr>
        <w:ind w:left="1418" w:hanging="425"/>
      </w:pPr>
      <w:r>
        <w:t>vehicle maintenance.</w:t>
      </w:r>
    </w:p>
    <w:p w14:paraId="514B88DF" w14:textId="3893DB1A" w:rsidR="000820AD" w:rsidRDefault="000820AD" w:rsidP="00934467">
      <w:pPr>
        <w:pStyle w:val="Bodynumbered2"/>
        <w:ind w:left="993" w:hanging="426"/>
      </w:pPr>
      <w:r>
        <w:lastRenderedPageBreak/>
        <w:t>Hazard identification and risk analysis of the matters listed in item (e) above.</w:t>
      </w:r>
    </w:p>
    <w:p w14:paraId="68907B74" w14:textId="5C07DA7E" w:rsidR="000820AD" w:rsidRDefault="000820AD" w:rsidP="00934467">
      <w:pPr>
        <w:pStyle w:val="Bodynumbered2"/>
        <w:ind w:left="993" w:hanging="426"/>
      </w:pPr>
      <w:r>
        <w:t>Resources management, including training requirements, for managing HVCoR processes and</w:t>
      </w:r>
      <w:r w:rsidR="00901FEE">
        <w:t xml:space="preserve"> </w:t>
      </w:r>
      <w:r>
        <w:t>controls.</w:t>
      </w:r>
    </w:p>
    <w:p w14:paraId="09DCF03A" w14:textId="3CDEAF6E" w:rsidR="000820AD" w:rsidRDefault="000820AD" w:rsidP="00934467">
      <w:pPr>
        <w:pStyle w:val="Bodynumbered2"/>
        <w:ind w:left="993" w:hanging="426"/>
      </w:pPr>
      <w:r>
        <w:t>Safety metrics in relation to areas listed in item (e) above.</w:t>
      </w:r>
    </w:p>
    <w:p w14:paraId="7BF8A7CD" w14:textId="3EA6E023" w:rsidR="000820AD" w:rsidRDefault="000820AD" w:rsidP="00934467">
      <w:pPr>
        <w:pStyle w:val="Bodynumbered2"/>
        <w:ind w:left="993" w:hanging="426"/>
      </w:pPr>
      <w:r>
        <w:t>Reporting on incidents and contraventions in relation to HVCoR.</w:t>
      </w:r>
    </w:p>
    <w:p w14:paraId="4518E651" w14:textId="6F841ED8" w:rsidR="000820AD" w:rsidRDefault="009261AA">
      <w:pPr>
        <w:pStyle w:val="Bodynumbered1"/>
      </w:pPr>
      <w:r>
        <w:t>A</w:t>
      </w:r>
      <w:r w:rsidR="000820AD">
        <w:t xml:space="preserve">ll applicable, </w:t>
      </w:r>
      <w:proofErr w:type="gramStart"/>
      <w:r w:rsidR="000820AD">
        <w:t>relevant</w:t>
      </w:r>
      <w:proofErr w:type="gramEnd"/>
      <w:r w:rsidR="000820AD">
        <w:t xml:space="preserve"> or necessary requirements in relation to the chain of responsibility</w:t>
      </w:r>
      <w:r w:rsidR="00954719">
        <w:t xml:space="preserve"> </w:t>
      </w:r>
      <w:r w:rsidR="000820AD">
        <w:t>provisions of the Heavy Vehicle National Law (NSW) and associated regulations for all aspects of the</w:t>
      </w:r>
      <w:r w:rsidR="00954719">
        <w:t xml:space="preserve"> </w:t>
      </w:r>
      <w:r w:rsidR="000820AD">
        <w:t xml:space="preserve">Works </w:t>
      </w:r>
      <w:r w:rsidR="00552662">
        <w:t xml:space="preserve">must be incorporated into </w:t>
      </w:r>
      <w:r>
        <w:t xml:space="preserve">the </w:t>
      </w:r>
      <w:r w:rsidR="000820AD">
        <w:t>HVCoR Management Plan.</w:t>
      </w:r>
    </w:p>
    <w:p w14:paraId="6F89DCC3" w14:textId="285275D2" w:rsidR="000820AD" w:rsidRDefault="00954719" w:rsidP="009B3076">
      <w:pPr>
        <w:pStyle w:val="Bodynumbered1"/>
      </w:pPr>
      <w:r>
        <w:t xml:space="preserve">The </w:t>
      </w:r>
      <w:r w:rsidR="000820AD">
        <w:t xml:space="preserve">HVCoR Management Plan may form part of </w:t>
      </w:r>
      <w:r w:rsidR="005D05A0">
        <w:t xml:space="preserve">the </w:t>
      </w:r>
      <w:r w:rsidR="000820AD" w:rsidRPr="005D05A0">
        <w:rPr>
          <w:i/>
          <w:iCs/>
        </w:rPr>
        <w:t>WHS Management Plan</w:t>
      </w:r>
      <w:r w:rsidR="000820AD">
        <w:t>.</w:t>
      </w:r>
    </w:p>
    <w:p w14:paraId="5ACBDCF1" w14:textId="5C4BC29F" w:rsidR="000820AD" w:rsidRDefault="00954719">
      <w:pPr>
        <w:pStyle w:val="Bodynumbered1"/>
      </w:pPr>
      <w:r>
        <w:t>The Contractor must r</w:t>
      </w:r>
      <w:r w:rsidR="000820AD">
        <w:t>eview and where necessary revise the HVCoR Management Plan throughout the duration of the</w:t>
      </w:r>
      <w:r w:rsidR="009B3076">
        <w:t xml:space="preserve"> </w:t>
      </w:r>
      <w:r w:rsidR="000820AD">
        <w:t xml:space="preserve">Contract, </w:t>
      </w:r>
      <w:proofErr w:type="gramStart"/>
      <w:r w:rsidR="000820AD">
        <w:t>taking into account</w:t>
      </w:r>
      <w:proofErr w:type="gramEnd"/>
      <w:r w:rsidR="000820AD">
        <w:t xml:space="preserve"> any changes in the Contract details, site conditions, legislation and</w:t>
      </w:r>
      <w:r w:rsidR="009B3076">
        <w:t xml:space="preserve"> </w:t>
      </w:r>
      <w:r w:rsidR="000820AD">
        <w:t xml:space="preserve">requests or requirements of any </w:t>
      </w:r>
      <w:r w:rsidR="00107ED6">
        <w:t>a</w:t>
      </w:r>
      <w:r w:rsidR="000820AD">
        <w:t>uthority.</w:t>
      </w:r>
    </w:p>
    <w:p w14:paraId="7B8AD587" w14:textId="35B30E53" w:rsidR="000820AD" w:rsidRDefault="000820AD">
      <w:pPr>
        <w:pStyle w:val="Bodynumbered1"/>
      </w:pPr>
      <w:bookmarkStart w:id="104" w:name="_Ref133831329"/>
      <w:r>
        <w:t xml:space="preserve">At least 10 working days prior to commencing work on the Site, </w:t>
      </w:r>
      <w:r w:rsidR="00B303BC">
        <w:t xml:space="preserve">the Contractor must </w:t>
      </w:r>
      <w:r>
        <w:t>submit the HVCoR Management Plan</w:t>
      </w:r>
      <w:r w:rsidR="00B303BC">
        <w:t xml:space="preserve"> to the Principal</w:t>
      </w:r>
      <w:r>
        <w:t>.</w:t>
      </w:r>
      <w:bookmarkEnd w:id="104"/>
    </w:p>
    <w:tbl>
      <w:tblPr>
        <w:tblStyle w:val="TMTable1"/>
        <w:tblW w:w="4713" w:type="pct"/>
        <w:tblInd w:w="545" w:type="dxa"/>
        <w:tblLook w:val="04A0" w:firstRow="1" w:lastRow="0" w:firstColumn="1" w:lastColumn="0" w:noHBand="0" w:noVBand="1"/>
      </w:tblPr>
      <w:tblGrid>
        <w:gridCol w:w="1981"/>
        <w:gridCol w:w="6974"/>
      </w:tblGrid>
      <w:tr w:rsidR="00B303BC" w:rsidRPr="00DE33D3" w14:paraId="1996B745" w14:textId="77777777" w:rsidTr="00F93515">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663BA786" w14:textId="2D4513FE" w:rsidR="00B303BC" w:rsidRPr="00DE33D3" w:rsidRDefault="00B303BC">
            <w:pPr>
              <w:pStyle w:val="TableHeading"/>
              <w:rPr>
                <w:rFonts w:eastAsia="SimSun"/>
              </w:rPr>
            </w:pPr>
            <w:r w:rsidRPr="00DE33D3">
              <w:rPr>
                <w:rFonts w:eastAsia="SimSun"/>
              </w:rPr>
              <w:t>HOLD POINT </w:t>
            </w:r>
            <w:r w:rsidR="00524828">
              <w:rPr>
                <w:rFonts w:eastAsia="SimSun"/>
              </w:rPr>
              <w:t>2</w:t>
            </w:r>
          </w:p>
        </w:tc>
      </w:tr>
      <w:tr w:rsidR="00B303BC" w:rsidRPr="00DE33D3" w14:paraId="600583B2" w14:textId="77777777" w:rsidTr="008B5A03">
        <w:tc>
          <w:tcPr>
            <w:tcW w:w="1106" w:type="pct"/>
            <w:tcBorders>
              <w:bottom w:val="single" w:sz="4" w:space="0" w:color="FFFFFF" w:themeColor="background1"/>
            </w:tcBorders>
          </w:tcPr>
          <w:p w14:paraId="460181A5" w14:textId="77777777" w:rsidR="00B303BC" w:rsidRPr="00DE33D3" w:rsidRDefault="00B303BC">
            <w:pPr>
              <w:pStyle w:val="TableBodyText"/>
              <w:rPr>
                <w:rFonts w:eastAsia="SimSun"/>
                <w:b/>
              </w:rPr>
            </w:pPr>
            <w:r w:rsidRPr="00DE33D3">
              <w:rPr>
                <w:rFonts w:eastAsia="SimSun"/>
              </w:rPr>
              <w:t>Process Held</w:t>
            </w:r>
          </w:p>
        </w:tc>
        <w:tc>
          <w:tcPr>
            <w:tcW w:w="3894" w:type="pct"/>
            <w:tcBorders>
              <w:bottom w:val="single" w:sz="4" w:space="0" w:color="FFFFFF" w:themeColor="background1"/>
            </w:tcBorders>
          </w:tcPr>
          <w:p w14:paraId="42D77DE5" w14:textId="2B6275BA" w:rsidR="00B303BC" w:rsidRPr="00DE33D3" w:rsidRDefault="00B303BC">
            <w:pPr>
              <w:pStyle w:val="TableBodyText"/>
              <w:rPr>
                <w:rFonts w:eastAsia="SimSun"/>
                <w:b/>
              </w:rPr>
            </w:pPr>
            <w:r>
              <w:rPr>
                <w:rFonts w:eastAsia="SimSun"/>
              </w:rPr>
              <w:t>Commencement of work</w:t>
            </w:r>
            <w:r w:rsidR="00524828">
              <w:rPr>
                <w:rFonts w:eastAsia="SimSun"/>
              </w:rPr>
              <w:t xml:space="preserve"> on Site</w:t>
            </w:r>
            <w:r w:rsidR="008B1952">
              <w:rPr>
                <w:rFonts w:eastAsia="SimSun"/>
              </w:rPr>
              <w:t>.</w:t>
            </w:r>
          </w:p>
        </w:tc>
      </w:tr>
      <w:tr w:rsidR="00B303BC" w:rsidRPr="00DE33D3" w14:paraId="258B138E" w14:textId="77777777" w:rsidTr="008B5A03">
        <w:tc>
          <w:tcPr>
            <w:tcW w:w="1106" w:type="pct"/>
            <w:tcBorders>
              <w:bottom w:val="single" w:sz="4" w:space="0" w:color="FFFFFF" w:themeColor="background1"/>
            </w:tcBorders>
          </w:tcPr>
          <w:p w14:paraId="4E9A24C5" w14:textId="77777777" w:rsidR="00B303BC" w:rsidRPr="00DE33D3" w:rsidRDefault="00B303BC">
            <w:pPr>
              <w:pStyle w:val="TableBodyText"/>
              <w:rPr>
                <w:rFonts w:eastAsia="SimSun"/>
              </w:rPr>
            </w:pPr>
            <w:r w:rsidRPr="00DE33D3">
              <w:rPr>
                <w:rFonts w:eastAsia="SimSun"/>
              </w:rPr>
              <w:t>Submission Details</w:t>
            </w:r>
          </w:p>
        </w:tc>
        <w:tc>
          <w:tcPr>
            <w:tcW w:w="3894" w:type="pct"/>
            <w:tcBorders>
              <w:bottom w:val="single" w:sz="4" w:space="0" w:color="FFFFFF" w:themeColor="background1"/>
            </w:tcBorders>
          </w:tcPr>
          <w:p w14:paraId="0A8182FE" w14:textId="195B0556" w:rsidR="00B303BC" w:rsidRPr="00DE33D3" w:rsidRDefault="00B303BC">
            <w:pPr>
              <w:pStyle w:val="TableBodyText"/>
              <w:rPr>
                <w:rFonts w:eastAsia="SimSun"/>
              </w:rPr>
            </w:pPr>
            <w:r>
              <w:rPr>
                <w:rFonts w:eastAsia="SimSun"/>
              </w:rPr>
              <w:t>Th</w:t>
            </w:r>
            <w:r w:rsidRPr="004A320C">
              <w:rPr>
                <w:rFonts w:eastAsia="SimSun"/>
              </w:rPr>
              <w:t xml:space="preserve">e </w:t>
            </w:r>
            <w:r w:rsidR="004A320C" w:rsidRPr="004A320C">
              <w:rPr>
                <w:rFonts w:eastAsia="SimSun"/>
              </w:rPr>
              <w:t>HVCoR Management Plan</w:t>
            </w:r>
            <w:r w:rsidRPr="004A320C">
              <w:rPr>
                <w:rFonts w:eastAsia="SimSun"/>
              </w:rPr>
              <w:t xml:space="preserve"> m</w:t>
            </w:r>
            <w:r>
              <w:rPr>
                <w:rFonts w:eastAsia="SimSun"/>
              </w:rPr>
              <w:t xml:space="preserve">ust be submitted </w:t>
            </w:r>
            <w:r w:rsidRPr="00B519DD">
              <w:rPr>
                <w:rFonts w:eastAsia="SimSun"/>
              </w:rPr>
              <w:t>to the Principal at least 10</w:t>
            </w:r>
            <w:r>
              <w:rPr>
                <w:rFonts w:eastAsia="SimSun"/>
              </w:rPr>
              <w:t xml:space="preserve"> working </w:t>
            </w:r>
            <w:r w:rsidRPr="00B519DD">
              <w:rPr>
                <w:rFonts w:eastAsia="SimSun"/>
              </w:rPr>
              <w:t>days prior to the commencement of work on the site</w:t>
            </w:r>
            <w:r w:rsidRPr="00DE33D3">
              <w:rPr>
                <w:rFonts w:eastAsia="SimSun"/>
              </w:rPr>
              <w:t>.</w:t>
            </w:r>
          </w:p>
        </w:tc>
      </w:tr>
    </w:tbl>
    <w:p w14:paraId="5E219D2A" w14:textId="027ECE82" w:rsidR="008F2C7B" w:rsidRPr="00A9567C" w:rsidRDefault="008F2C7B" w:rsidP="00A9567C">
      <w:pPr>
        <w:pStyle w:val="Heading1"/>
        <w:ind w:left="567" w:hanging="567"/>
        <w:rPr>
          <w:rFonts w:ascii="Arial" w:hAnsi="Arial"/>
          <w:caps w:val="0"/>
        </w:rPr>
      </w:pPr>
      <w:bookmarkStart w:id="105" w:name="_Toc134517078"/>
      <w:bookmarkStart w:id="106" w:name="_Toc148520757"/>
      <w:bookmarkStart w:id="107" w:name="_Toc149574697"/>
      <w:r w:rsidRPr="00A9567C">
        <w:rPr>
          <w:rFonts w:ascii="Arial" w:hAnsi="Arial"/>
          <w:caps w:val="0"/>
        </w:rPr>
        <w:t>I</w:t>
      </w:r>
      <w:r w:rsidR="005D1CE0" w:rsidRPr="00A9567C">
        <w:rPr>
          <w:rFonts w:ascii="Arial" w:hAnsi="Arial"/>
          <w:caps w:val="0"/>
        </w:rPr>
        <w:t>nterventions</w:t>
      </w:r>
      <w:bookmarkEnd w:id="105"/>
      <w:bookmarkEnd w:id="106"/>
      <w:bookmarkEnd w:id="107"/>
    </w:p>
    <w:p w14:paraId="443AADC8" w14:textId="0189EACB" w:rsidR="008F2C7B" w:rsidRPr="008F2C7B" w:rsidRDefault="005206A6">
      <w:pPr>
        <w:pStyle w:val="Bodynumbered1"/>
      </w:pPr>
      <w:r>
        <w:t>If the Principal reasonably considers that the work under the Contract is not being carried out safely</w:t>
      </w:r>
      <w:r w:rsidR="004F6F7A">
        <w:t xml:space="preserve"> or</w:t>
      </w:r>
      <w:r>
        <w:t xml:space="preserve"> hazards are not being controlled effectively, the Principal may issue a </w:t>
      </w:r>
      <w:r w:rsidR="00584443">
        <w:t>Corrective Action Request</w:t>
      </w:r>
      <w:r>
        <w:t xml:space="preserve"> and</w:t>
      </w:r>
      <w:r w:rsidR="004F6F7A">
        <w:t xml:space="preserve"> </w:t>
      </w:r>
      <w:r w:rsidR="00000595">
        <w:t xml:space="preserve">a </w:t>
      </w:r>
      <w:r>
        <w:t xml:space="preserve">Hold Point </w:t>
      </w:r>
      <w:r w:rsidR="00000595">
        <w:t>will</w:t>
      </w:r>
      <w:r w:rsidR="00726297">
        <w:t xml:space="preserve"> then</w:t>
      </w:r>
      <w:r w:rsidR="00000595">
        <w:t xml:space="preserve"> apply immediately</w:t>
      </w:r>
      <w:r w:rsidR="006952BE">
        <w:t>.</w:t>
      </w:r>
    </w:p>
    <w:p w14:paraId="2CE27427" w14:textId="13971608" w:rsidR="00AC3A4B" w:rsidRDefault="007113E7" w:rsidP="00776F6E">
      <w:pPr>
        <w:pStyle w:val="Bodynumbered1"/>
      </w:pPr>
      <w:r>
        <w:t>T</w:t>
      </w:r>
      <w:r w:rsidRPr="008E0E70">
        <w:t xml:space="preserve">he </w:t>
      </w:r>
      <w:bookmarkStart w:id="108" w:name="_Hlk132961020"/>
      <w:r w:rsidRPr="008E0E70">
        <w:t>Contractor must</w:t>
      </w:r>
      <w:bookmarkEnd w:id="108"/>
      <w:r w:rsidRPr="008E0E70">
        <w:t xml:space="preserve"> record a non-conformance i</w:t>
      </w:r>
      <w:r w:rsidR="007846E7">
        <w:t>n</w:t>
      </w:r>
      <w:r w:rsidRPr="008E0E70">
        <w:t xml:space="preserve"> the quality</w:t>
      </w:r>
      <w:r w:rsidR="000F1B38">
        <w:t xml:space="preserve">/safety </w:t>
      </w:r>
      <w:r w:rsidRPr="008E0E70">
        <w:t>management system</w:t>
      </w:r>
      <w:r w:rsidR="00AC3A4B">
        <w:t xml:space="preserve"> if:</w:t>
      </w:r>
    </w:p>
    <w:p w14:paraId="1A27DAF9" w14:textId="5324C5D5" w:rsidR="00BC5DC9" w:rsidRDefault="00BC5DC9" w:rsidP="00891909">
      <w:pPr>
        <w:pStyle w:val="Bodynumbered2"/>
        <w:numPr>
          <w:ilvl w:val="0"/>
          <w:numId w:val="35"/>
        </w:numPr>
        <w:ind w:left="993" w:hanging="426"/>
      </w:pPr>
      <w:r w:rsidRPr="00BC5DC9">
        <w:t>the Principal</w:t>
      </w:r>
      <w:r w:rsidR="005A681F" w:rsidRPr="005A681F">
        <w:t xml:space="preserve"> issue a Corrective Action Request</w:t>
      </w:r>
      <w:r w:rsidR="005A681F">
        <w:t xml:space="preserve"> or</w:t>
      </w:r>
      <w:r w:rsidRPr="00BC5DC9">
        <w:t xml:space="preserve"> direct</w:t>
      </w:r>
      <w:r>
        <w:t>s</w:t>
      </w:r>
      <w:r w:rsidRPr="00BC5DC9">
        <w:t xml:space="preserve"> the Contractor to suspend the progress of the whole or part of the work</w:t>
      </w:r>
      <w:r>
        <w:t>;</w:t>
      </w:r>
    </w:p>
    <w:p w14:paraId="7CF77BF7" w14:textId="148DACB8" w:rsidR="00E02C36" w:rsidRDefault="0069228F" w:rsidP="00891909">
      <w:pPr>
        <w:pStyle w:val="Bodynumbered2"/>
        <w:numPr>
          <w:ilvl w:val="0"/>
          <w:numId w:val="35"/>
        </w:numPr>
        <w:ind w:left="993" w:hanging="426"/>
      </w:pPr>
      <w:r w:rsidRPr="008E0E70">
        <w:t xml:space="preserve">the </w:t>
      </w:r>
      <w:bookmarkStart w:id="109" w:name="_Hlk132961062"/>
      <w:r w:rsidRPr="008E0E70">
        <w:t>WHS Regulator</w:t>
      </w:r>
      <w:bookmarkEnd w:id="109"/>
      <w:r w:rsidRPr="008E0E70">
        <w:t xml:space="preserve"> </w:t>
      </w:r>
      <w:r w:rsidR="004974BA" w:rsidRPr="008E0E70">
        <w:t>issues a notice</w:t>
      </w:r>
      <w:r w:rsidR="00637AD1" w:rsidRPr="008E0E70">
        <w:t xml:space="preserve">, order or </w:t>
      </w:r>
      <w:r w:rsidR="009A1173" w:rsidRPr="008E0E70">
        <w:t>summons</w:t>
      </w:r>
      <w:r w:rsidR="00637AD1" w:rsidRPr="008E0E70">
        <w:t xml:space="preserve"> </w:t>
      </w:r>
      <w:r w:rsidR="00D44CAC" w:rsidRPr="008E0E70">
        <w:t>to the Contractor or one of its subcontractors in connection with the WHS Law</w:t>
      </w:r>
      <w:r w:rsidR="00327467" w:rsidRPr="008E0E70">
        <w:t xml:space="preserve"> for </w:t>
      </w:r>
      <w:r w:rsidR="008D4ACD">
        <w:t xml:space="preserve">the </w:t>
      </w:r>
      <w:r w:rsidR="00327467" w:rsidRPr="008E0E70">
        <w:t>work under the Contract</w:t>
      </w:r>
      <w:r w:rsidR="00AC3A4B">
        <w:t>; or</w:t>
      </w:r>
    </w:p>
    <w:p w14:paraId="14CC17F5" w14:textId="629CD85B" w:rsidR="00AC3A4B" w:rsidRDefault="002C08A0" w:rsidP="00891909">
      <w:pPr>
        <w:pStyle w:val="Bodynumbered2"/>
        <w:ind w:left="993" w:hanging="426"/>
      </w:pPr>
      <w:r>
        <w:t xml:space="preserve">a </w:t>
      </w:r>
      <w:r w:rsidR="00664898" w:rsidRPr="00095A38">
        <w:rPr>
          <w:i/>
          <w:iCs/>
        </w:rPr>
        <w:t>Provisional Improvement Notice</w:t>
      </w:r>
      <w:r w:rsidR="00664898" w:rsidRPr="00664898">
        <w:t xml:space="preserve"> </w:t>
      </w:r>
      <w:r>
        <w:t>has been</w:t>
      </w:r>
      <w:r w:rsidR="00664898" w:rsidRPr="00664898">
        <w:t xml:space="preserve"> issued by </w:t>
      </w:r>
      <w:r w:rsidR="0038098C">
        <w:t>a</w:t>
      </w:r>
      <w:r>
        <w:t xml:space="preserve"> </w:t>
      </w:r>
      <w:bookmarkStart w:id="110" w:name="_Hlk132961080"/>
      <w:r w:rsidR="002B508B" w:rsidRPr="002B508B">
        <w:rPr>
          <w:i/>
          <w:iCs/>
        </w:rPr>
        <w:t>health and safety representative</w:t>
      </w:r>
      <w:bookmarkEnd w:id="110"/>
      <w:r w:rsidR="00664898" w:rsidRPr="002B508B">
        <w:t>.</w:t>
      </w:r>
    </w:p>
    <w:p w14:paraId="10B3FECD" w14:textId="15DCA1FA" w:rsidR="000E1727" w:rsidRPr="002B508B" w:rsidRDefault="000E1727" w:rsidP="000E1727">
      <w:pPr>
        <w:pStyle w:val="Bodynumbered1"/>
      </w:pPr>
      <w:bookmarkStart w:id="111" w:name="_Ref133832888"/>
      <w:r>
        <w:t xml:space="preserve">The </w:t>
      </w:r>
      <w:r w:rsidRPr="008E0E70">
        <w:t>Contractor must immediately notify the Principal</w:t>
      </w:r>
      <w:r w:rsidR="00951620">
        <w:t xml:space="preserve"> of any notice issue by the </w:t>
      </w:r>
      <w:r w:rsidR="00951620" w:rsidRPr="008E0E70">
        <w:t>WHS Regulator</w:t>
      </w:r>
      <w:r w:rsidR="00951620">
        <w:t xml:space="preserve"> or a </w:t>
      </w:r>
      <w:r w:rsidR="00951620" w:rsidRPr="002B508B">
        <w:rPr>
          <w:i/>
          <w:iCs/>
        </w:rPr>
        <w:t>health and safety representative</w:t>
      </w:r>
      <w:r w:rsidR="004F5498">
        <w:rPr>
          <w:i/>
          <w:iCs/>
        </w:rPr>
        <w:t>.</w:t>
      </w:r>
      <w:bookmarkEnd w:id="111"/>
    </w:p>
    <w:p w14:paraId="0366EE95" w14:textId="77777777" w:rsidR="007C0316" w:rsidRPr="00DE33D3" w:rsidRDefault="007C0316" w:rsidP="00775207">
      <w:pPr>
        <w:pStyle w:val="AnnexureHeading"/>
        <w:ind w:left="1843" w:hanging="1843"/>
      </w:pPr>
      <w:bookmarkStart w:id="112" w:name="_Toc26182495"/>
      <w:bookmarkStart w:id="113" w:name="_Toc74148916"/>
      <w:bookmarkStart w:id="114" w:name="_Toc134517079"/>
      <w:bookmarkStart w:id="115" w:name="_Toc148520758"/>
      <w:bookmarkStart w:id="116" w:name="_Toc149574698"/>
      <w:bookmarkStart w:id="117" w:name="_Hlk129329875"/>
      <w:bookmarkEnd w:id="34"/>
      <w:bookmarkEnd w:id="73"/>
      <w:r w:rsidRPr="00DE33D3">
        <w:lastRenderedPageBreak/>
        <w:t>Annexure A:</w:t>
      </w:r>
      <w:r w:rsidRPr="00DE33D3">
        <w:tab/>
        <w:t>Summary of Hold Points, Witness Points and Records</w:t>
      </w:r>
      <w:bookmarkEnd w:id="112"/>
      <w:bookmarkEnd w:id="113"/>
      <w:bookmarkEnd w:id="114"/>
      <w:bookmarkEnd w:id="115"/>
      <w:bookmarkEnd w:id="116"/>
    </w:p>
    <w:p w14:paraId="1EDB8A7F" w14:textId="6DF30A4A" w:rsidR="007C0316" w:rsidRPr="00DE33D3" w:rsidRDefault="007C0316" w:rsidP="00221E30">
      <w:pPr>
        <w:pStyle w:val="BodyText"/>
      </w:pPr>
      <w:r w:rsidRPr="00DE33D3">
        <w:t>The following is a summary of the Witness Points/Hold Points that apply to this Specification and the Records that the Contractor must submit to the Principal to demonstrate compliance with this Specification.</w:t>
      </w:r>
    </w:p>
    <w:tbl>
      <w:tblPr>
        <w:tblStyle w:val="TMTable1"/>
        <w:tblW w:w="5000" w:type="pct"/>
        <w:tblLook w:val="04A0" w:firstRow="1" w:lastRow="0" w:firstColumn="1" w:lastColumn="0" w:noHBand="0" w:noVBand="1"/>
      </w:tblPr>
      <w:tblGrid>
        <w:gridCol w:w="1128"/>
        <w:gridCol w:w="2269"/>
        <w:gridCol w:w="1843"/>
        <w:gridCol w:w="4260"/>
      </w:tblGrid>
      <w:tr w:rsidR="00903100" w:rsidRPr="001E08A9" w14:paraId="7DDC057B" w14:textId="77777777" w:rsidTr="00ED2FEF">
        <w:trPr>
          <w:cnfStyle w:val="100000000000" w:firstRow="1" w:lastRow="0" w:firstColumn="0" w:lastColumn="0" w:oddVBand="0" w:evenVBand="0" w:oddHBand="0" w:evenHBand="0" w:firstRowFirstColumn="0" w:firstRowLastColumn="0" w:lastRowFirstColumn="0" w:lastRowLastColumn="0"/>
        </w:trPr>
        <w:tc>
          <w:tcPr>
            <w:tcW w:w="594" w:type="pct"/>
          </w:tcPr>
          <w:p w14:paraId="675CDEBC" w14:textId="54F6FE48" w:rsidR="007C0316" w:rsidRPr="001E08A9" w:rsidRDefault="00B15BDC" w:rsidP="00B15BDC">
            <w:pPr>
              <w:pStyle w:val="TableHeading"/>
            </w:pPr>
            <w:r w:rsidRPr="001E08A9">
              <w:t>Clause</w:t>
            </w:r>
          </w:p>
        </w:tc>
        <w:tc>
          <w:tcPr>
            <w:tcW w:w="1194" w:type="pct"/>
          </w:tcPr>
          <w:p w14:paraId="70D9BFC4" w14:textId="5AD57CB1" w:rsidR="007C0316" w:rsidRPr="001E08A9" w:rsidRDefault="00B15BDC" w:rsidP="00F645F5">
            <w:pPr>
              <w:pStyle w:val="TableHeading"/>
            </w:pPr>
            <w:r w:rsidRPr="001E08A9">
              <w:t>Hold point</w:t>
            </w:r>
          </w:p>
        </w:tc>
        <w:tc>
          <w:tcPr>
            <w:tcW w:w="970" w:type="pct"/>
          </w:tcPr>
          <w:p w14:paraId="6C9EAA80" w14:textId="010D7D8C" w:rsidR="007C0316" w:rsidRPr="001E08A9" w:rsidRDefault="00B15BDC" w:rsidP="00B15BDC">
            <w:pPr>
              <w:pStyle w:val="TableHeading"/>
            </w:pPr>
            <w:r w:rsidRPr="001E08A9">
              <w:t>Witness point</w:t>
            </w:r>
          </w:p>
        </w:tc>
        <w:tc>
          <w:tcPr>
            <w:tcW w:w="2242" w:type="pct"/>
          </w:tcPr>
          <w:p w14:paraId="1DFFEAB6" w14:textId="03BEFC43" w:rsidR="007C0316" w:rsidRPr="001E08A9" w:rsidRDefault="00B15BDC" w:rsidP="00B15BDC">
            <w:pPr>
              <w:pStyle w:val="TableHeading"/>
            </w:pPr>
            <w:r w:rsidRPr="001E08A9">
              <w:t>Record</w:t>
            </w:r>
          </w:p>
        </w:tc>
      </w:tr>
      <w:tr w:rsidR="00903100" w:rsidRPr="001E08A9" w14:paraId="51B10AAB" w14:textId="77777777" w:rsidTr="00ED2FEF">
        <w:tc>
          <w:tcPr>
            <w:tcW w:w="594" w:type="pct"/>
          </w:tcPr>
          <w:p w14:paraId="7CCB36D1" w14:textId="2105F2E4" w:rsidR="007C0316" w:rsidRPr="001E08A9" w:rsidRDefault="00524828">
            <w:pPr>
              <w:pStyle w:val="TableBodyText"/>
            </w:pPr>
            <w:r w:rsidRPr="001E08A9">
              <w:fldChar w:fldCharType="begin"/>
            </w:r>
            <w:r w:rsidRPr="001E08A9">
              <w:instrText xml:space="preserve"> REF _Ref129350078 \r \h </w:instrText>
            </w:r>
            <w:r w:rsidR="001E08A9">
              <w:instrText xml:space="preserve"> \* MERGEFORMAT </w:instrText>
            </w:r>
            <w:r w:rsidRPr="001E08A9">
              <w:fldChar w:fldCharType="separate"/>
            </w:r>
            <w:r w:rsidR="00C40E23">
              <w:t>6.2</w:t>
            </w:r>
            <w:r w:rsidRPr="001E08A9">
              <w:fldChar w:fldCharType="end"/>
            </w:r>
          </w:p>
        </w:tc>
        <w:tc>
          <w:tcPr>
            <w:tcW w:w="1194" w:type="pct"/>
          </w:tcPr>
          <w:p w14:paraId="1B02E8F0" w14:textId="7C3B119E" w:rsidR="007C0316" w:rsidRPr="001E08A9" w:rsidRDefault="007C0316" w:rsidP="00197511">
            <w:pPr>
              <w:pStyle w:val="TableBodyText"/>
              <w:numPr>
                <w:ilvl w:val="0"/>
                <w:numId w:val="19"/>
              </w:numPr>
              <w:ind w:left="321" w:hanging="284"/>
            </w:pPr>
            <w:r w:rsidRPr="001E08A9">
              <w:t xml:space="preserve">Commencement </w:t>
            </w:r>
            <w:r w:rsidR="00524828" w:rsidRPr="001E08A9">
              <w:t>of work on Site</w:t>
            </w:r>
            <w:r w:rsidRPr="001E08A9">
              <w:t xml:space="preserve"> </w:t>
            </w:r>
          </w:p>
        </w:tc>
        <w:tc>
          <w:tcPr>
            <w:tcW w:w="970" w:type="pct"/>
          </w:tcPr>
          <w:p w14:paraId="59AF0026" w14:textId="77777777" w:rsidR="007C0316" w:rsidRPr="001E08A9" w:rsidRDefault="007C0316" w:rsidP="000116A4">
            <w:pPr>
              <w:pStyle w:val="Tabletext"/>
              <w:ind w:left="0" w:firstLine="0"/>
              <w:rPr>
                <w:sz w:val="20"/>
              </w:rPr>
            </w:pPr>
          </w:p>
        </w:tc>
        <w:tc>
          <w:tcPr>
            <w:tcW w:w="2242" w:type="pct"/>
          </w:tcPr>
          <w:p w14:paraId="29A59E27" w14:textId="0AFDA1B4" w:rsidR="007C0316" w:rsidRPr="001E08A9" w:rsidRDefault="00524828">
            <w:pPr>
              <w:pStyle w:val="TableBodyText"/>
            </w:pPr>
            <w:r w:rsidRPr="001E08A9">
              <w:t xml:space="preserve">WHS Management </w:t>
            </w:r>
            <w:r w:rsidR="002F7CF2" w:rsidRPr="001E08A9">
              <w:t>Plan</w:t>
            </w:r>
          </w:p>
        </w:tc>
      </w:tr>
      <w:tr w:rsidR="00903100" w:rsidRPr="001E08A9" w14:paraId="2FA24C41" w14:textId="77777777" w:rsidTr="00ED2FEF">
        <w:tc>
          <w:tcPr>
            <w:tcW w:w="594" w:type="pct"/>
          </w:tcPr>
          <w:p w14:paraId="67D4A3C0" w14:textId="50623EC1" w:rsidR="00111766" w:rsidRPr="001E08A9" w:rsidRDefault="00111766">
            <w:pPr>
              <w:pStyle w:val="TableBodyText"/>
            </w:pPr>
            <w:r w:rsidRPr="001E08A9">
              <w:fldChar w:fldCharType="begin"/>
            </w:r>
            <w:r w:rsidRPr="001E08A9">
              <w:instrText xml:space="preserve"> REF _Ref133832152 \r \h </w:instrText>
            </w:r>
            <w:r w:rsidR="001E08A9">
              <w:instrText xml:space="preserve"> \* MERGEFORMAT </w:instrText>
            </w:r>
            <w:r w:rsidRPr="001E08A9">
              <w:fldChar w:fldCharType="separate"/>
            </w:r>
            <w:r w:rsidR="00C40E23">
              <w:t>8.3</w:t>
            </w:r>
            <w:r w:rsidRPr="001E08A9">
              <w:fldChar w:fldCharType="end"/>
            </w:r>
          </w:p>
        </w:tc>
        <w:tc>
          <w:tcPr>
            <w:tcW w:w="1194" w:type="pct"/>
          </w:tcPr>
          <w:p w14:paraId="639AD96F" w14:textId="77777777" w:rsidR="00111766" w:rsidRPr="001E08A9" w:rsidRDefault="00111766" w:rsidP="00533639">
            <w:pPr>
              <w:pStyle w:val="TableBodyText"/>
              <w:jc w:val="both"/>
            </w:pPr>
          </w:p>
        </w:tc>
        <w:tc>
          <w:tcPr>
            <w:tcW w:w="970" w:type="pct"/>
          </w:tcPr>
          <w:p w14:paraId="46946B9D" w14:textId="77777777" w:rsidR="00111766" w:rsidRPr="001E08A9" w:rsidRDefault="00111766">
            <w:pPr>
              <w:pStyle w:val="Tabletext"/>
              <w:ind w:left="157" w:hanging="141"/>
              <w:rPr>
                <w:sz w:val="20"/>
              </w:rPr>
            </w:pPr>
          </w:p>
        </w:tc>
        <w:tc>
          <w:tcPr>
            <w:tcW w:w="2242" w:type="pct"/>
          </w:tcPr>
          <w:p w14:paraId="46F13C47" w14:textId="6A03301F" w:rsidR="00111766" w:rsidRPr="001E08A9" w:rsidRDefault="00873EBE" w:rsidP="001B17E5">
            <w:pPr>
              <w:pStyle w:val="TableBodyText"/>
            </w:pPr>
            <w:r w:rsidRPr="001E08A9">
              <w:t xml:space="preserve">Notification of </w:t>
            </w:r>
            <w:r w:rsidR="001E08A9" w:rsidRPr="001E08A9">
              <w:t>an unexpected</w:t>
            </w:r>
            <w:r w:rsidR="001B17E5" w:rsidRPr="001E08A9">
              <w:t xml:space="preserve"> find of a hazardous chemical or asbestos</w:t>
            </w:r>
          </w:p>
        </w:tc>
      </w:tr>
      <w:tr w:rsidR="00903100" w:rsidRPr="001E08A9" w14:paraId="77D1D0EF" w14:textId="77777777" w:rsidTr="00ED2FEF">
        <w:tc>
          <w:tcPr>
            <w:tcW w:w="594" w:type="pct"/>
          </w:tcPr>
          <w:p w14:paraId="62554E7A" w14:textId="173936A3" w:rsidR="00873EBE" w:rsidRPr="001E08A9" w:rsidRDefault="00F66BB1">
            <w:pPr>
              <w:pStyle w:val="TableBodyText"/>
            </w:pPr>
            <w:r w:rsidRPr="001E08A9">
              <w:fldChar w:fldCharType="begin"/>
            </w:r>
            <w:r w:rsidRPr="001E08A9">
              <w:instrText xml:space="preserve"> REF _Ref133832318 \r \h </w:instrText>
            </w:r>
            <w:r w:rsidR="001E08A9">
              <w:instrText xml:space="preserve"> \* MERGEFORMAT </w:instrText>
            </w:r>
            <w:r w:rsidRPr="001E08A9">
              <w:fldChar w:fldCharType="separate"/>
            </w:r>
            <w:r w:rsidR="00C40E23">
              <w:t>9.1</w:t>
            </w:r>
            <w:r w:rsidRPr="001E08A9">
              <w:fldChar w:fldCharType="end"/>
            </w:r>
          </w:p>
        </w:tc>
        <w:tc>
          <w:tcPr>
            <w:tcW w:w="1194" w:type="pct"/>
          </w:tcPr>
          <w:p w14:paraId="7DB08BA3" w14:textId="77777777" w:rsidR="00873EBE" w:rsidRPr="001E08A9" w:rsidRDefault="00873EBE" w:rsidP="00533639">
            <w:pPr>
              <w:pStyle w:val="TableBodyText"/>
              <w:jc w:val="both"/>
            </w:pPr>
          </w:p>
        </w:tc>
        <w:tc>
          <w:tcPr>
            <w:tcW w:w="970" w:type="pct"/>
          </w:tcPr>
          <w:p w14:paraId="78E9ECF0" w14:textId="77777777" w:rsidR="00873EBE" w:rsidRPr="001E08A9" w:rsidRDefault="00873EBE">
            <w:pPr>
              <w:pStyle w:val="Tabletext"/>
              <w:ind w:left="157" w:hanging="141"/>
              <w:rPr>
                <w:sz w:val="20"/>
              </w:rPr>
            </w:pPr>
          </w:p>
        </w:tc>
        <w:tc>
          <w:tcPr>
            <w:tcW w:w="2242" w:type="pct"/>
          </w:tcPr>
          <w:p w14:paraId="4133B5CA" w14:textId="641FA146" w:rsidR="00873EBE" w:rsidRPr="001E08A9" w:rsidRDefault="00EC522B">
            <w:pPr>
              <w:pStyle w:val="TableBodyText"/>
            </w:pPr>
            <w:r w:rsidRPr="001E08A9">
              <w:t>Internal audits and other performance evaluation</w:t>
            </w:r>
          </w:p>
        </w:tc>
      </w:tr>
      <w:tr w:rsidR="00903100" w:rsidRPr="001E08A9" w14:paraId="1B586C55" w14:textId="77777777" w:rsidTr="00ED2FEF">
        <w:tc>
          <w:tcPr>
            <w:tcW w:w="594" w:type="pct"/>
          </w:tcPr>
          <w:p w14:paraId="2CC2CE49" w14:textId="4046BA47" w:rsidR="00A26E5B" w:rsidRPr="001E08A9" w:rsidRDefault="00A26E5B">
            <w:pPr>
              <w:pStyle w:val="TableBodyText"/>
            </w:pPr>
            <w:r w:rsidRPr="001E08A9">
              <w:fldChar w:fldCharType="begin"/>
            </w:r>
            <w:r w:rsidRPr="001E08A9">
              <w:instrText xml:space="preserve"> REF _Ref133832399 \r \h </w:instrText>
            </w:r>
            <w:r w:rsidR="001E08A9">
              <w:instrText xml:space="preserve"> \* MERGEFORMAT </w:instrText>
            </w:r>
            <w:r w:rsidRPr="001E08A9">
              <w:fldChar w:fldCharType="separate"/>
            </w:r>
            <w:r w:rsidR="00C40E23">
              <w:t>10.3</w:t>
            </w:r>
            <w:r w:rsidRPr="001E08A9">
              <w:fldChar w:fldCharType="end"/>
            </w:r>
          </w:p>
        </w:tc>
        <w:tc>
          <w:tcPr>
            <w:tcW w:w="1194" w:type="pct"/>
          </w:tcPr>
          <w:p w14:paraId="48708E3A" w14:textId="77777777" w:rsidR="00A26E5B" w:rsidRPr="001E08A9" w:rsidRDefault="00A26E5B" w:rsidP="00533639">
            <w:pPr>
              <w:pStyle w:val="TableBodyText"/>
              <w:jc w:val="both"/>
            </w:pPr>
          </w:p>
        </w:tc>
        <w:tc>
          <w:tcPr>
            <w:tcW w:w="970" w:type="pct"/>
          </w:tcPr>
          <w:p w14:paraId="210D1A65" w14:textId="77777777" w:rsidR="00A26E5B" w:rsidRPr="001E08A9" w:rsidRDefault="00A26E5B">
            <w:pPr>
              <w:pStyle w:val="Tabletext"/>
              <w:ind w:left="157" w:hanging="141"/>
              <w:rPr>
                <w:sz w:val="20"/>
              </w:rPr>
            </w:pPr>
          </w:p>
        </w:tc>
        <w:tc>
          <w:tcPr>
            <w:tcW w:w="2242" w:type="pct"/>
          </w:tcPr>
          <w:p w14:paraId="0EBA4792" w14:textId="7B63C1B9" w:rsidR="00A26E5B" w:rsidRPr="001E08A9" w:rsidRDefault="00A26E5B" w:rsidP="00A26E5B">
            <w:pPr>
              <w:pStyle w:val="TableBodyText"/>
            </w:pPr>
            <w:r w:rsidRPr="001E08A9">
              <w:t>Safety Performance Report</w:t>
            </w:r>
          </w:p>
        </w:tc>
      </w:tr>
      <w:tr w:rsidR="00903100" w:rsidRPr="001E08A9" w14:paraId="5279248D" w14:textId="77777777" w:rsidTr="00ED2FEF">
        <w:tc>
          <w:tcPr>
            <w:tcW w:w="594" w:type="pct"/>
          </w:tcPr>
          <w:p w14:paraId="12DFC0A2" w14:textId="6609B505" w:rsidR="0085786D" w:rsidRPr="001E08A9" w:rsidRDefault="00D616B3">
            <w:pPr>
              <w:pStyle w:val="TableBodyText"/>
            </w:pPr>
            <w:r w:rsidRPr="001E08A9">
              <w:fldChar w:fldCharType="begin"/>
            </w:r>
            <w:r w:rsidRPr="001E08A9">
              <w:instrText xml:space="preserve"> REF _Ref133832734 \r \h </w:instrText>
            </w:r>
            <w:r w:rsidR="001E08A9">
              <w:instrText xml:space="preserve"> \* MERGEFORMAT </w:instrText>
            </w:r>
            <w:r w:rsidRPr="001E08A9">
              <w:fldChar w:fldCharType="separate"/>
            </w:r>
            <w:r w:rsidR="00C40E23">
              <w:t>11.3</w:t>
            </w:r>
            <w:r w:rsidRPr="001E08A9">
              <w:fldChar w:fldCharType="end"/>
            </w:r>
          </w:p>
        </w:tc>
        <w:tc>
          <w:tcPr>
            <w:tcW w:w="1194" w:type="pct"/>
          </w:tcPr>
          <w:p w14:paraId="2CEDC81E" w14:textId="77777777" w:rsidR="0085786D" w:rsidRPr="001E08A9" w:rsidRDefault="0085786D" w:rsidP="00533639">
            <w:pPr>
              <w:pStyle w:val="TableBodyText"/>
              <w:jc w:val="both"/>
            </w:pPr>
          </w:p>
        </w:tc>
        <w:tc>
          <w:tcPr>
            <w:tcW w:w="970" w:type="pct"/>
          </w:tcPr>
          <w:p w14:paraId="3922E264" w14:textId="77777777" w:rsidR="0085786D" w:rsidRPr="001E08A9" w:rsidRDefault="0085786D">
            <w:pPr>
              <w:pStyle w:val="Tabletext"/>
              <w:ind w:left="157" w:hanging="141"/>
              <w:rPr>
                <w:sz w:val="20"/>
              </w:rPr>
            </w:pPr>
          </w:p>
        </w:tc>
        <w:tc>
          <w:tcPr>
            <w:tcW w:w="2242" w:type="pct"/>
          </w:tcPr>
          <w:p w14:paraId="0A53F8B6" w14:textId="77ACB29E" w:rsidR="0085786D" w:rsidRPr="001E08A9" w:rsidRDefault="0085786D">
            <w:pPr>
              <w:pStyle w:val="TableBodyText"/>
            </w:pPr>
            <w:r w:rsidRPr="001E08A9">
              <w:t>A</w:t>
            </w:r>
            <w:r w:rsidR="008979C3" w:rsidRPr="001E08A9">
              <w:t xml:space="preserve">dvice of </w:t>
            </w:r>
            <w:r w:rsidR="007C2BEB" w:rsidRPr="001E08A9">
              <w:t xml:space="preserve">notifiable incident and </w:t>
            </w:r>
            <w:r w:rsidR="00FE0BE5" w:rsidRPr="001E08A9">
              <w:t>incident report</w:t>
            </w:r>
          </w:p>
        </w:tc>
      </w:tr>
      <w:tr w:rsidR="00903100" w:rsidRPr="001E08A9" w14:paraId="18046558" w14:textId="77777777" w:rsidTr="00ED2FEF">
        <w:tc>
          <w:tcPr>
            <w:tcW w:w="594" w:type="pct"/>
          </w:tcPr>
          <w:p w14:paraId="26675F2C" w14:textId="4E03DFB4" w:rsidR="00FE0BE5" w:rsidRPr="001E08A9" w:rsidRDefault="001E08A9">
            <w:pPr>
              <w:pStyle w:val="TableBodyText"/>
            </w:pPr>
            <w:r w:rsidRPr="001E08A9">
              <w:fldChar w:fldCharType="begin"/>
            </w:r>
            <w:r w:rsidRPr="001E08A9">
              <w:instrText xml:space="preserve"> REF _Ref133832768 \r \h </w:instrText>
            </w:r>
            <w:r>
              <w:instrText xml:space="preserve"> \* MERGEFORMAT </w:instrText>
            </w:r>
            <w:r w:rsidRPr="001E08A9">
              <w:fldChar w:fldCharType="separate"/>
            </w:r>
            <w:r w:rsidR="00C40E23">
              <w:t>11.4</w:t>
            </w:r>
            <w:r w:rsidRPr="001E08A9">
              <w:fldChar w:fldCharType="end"/>
            </w:r>
            <w:r w:rsidRPr="001E08A9">
              <w:t xml:space="preserve"> and </w:t>
            </w:r>
            <w:r w:rsidRPr="001E08A9">
              <w:fldChar w:fldCharType="begin"/>
            </w:r>
            <w:r w:rsidRPr="001E08A9">
              <w:instrText xml:space="preserve"> REF _Ref133832788 \r \h </w:instrText>
            </w:r>
            <w:r>
              <w:instrText xml:space="preserve"> \* MERGEFORMAT </w:instrText>
            </w:r>
            <w:r w:rsidRPr="001E08A9">
              <w:fldChar w:fldCharType="separate"/>
            </w:r>
            <w:r w:rsidR="00C40E23">
              <w:t>11.8</w:t>
            </w:r>
            <w:r w:rsidRPr="001E08A9">
              <w:fldChar w:fldCharType="end"/>
            </w:r>
          </w:p>
        </w:tc>
        <w:tc>
          <w:tcPr>
            <w:tcW w:w="1194" w:type="pct"/>
          </w:tcPr>
          <w:p w14:paraId="66BAD4E7" w14:textId="77777777" w:rsidR="00FE0BE5" w:rsidRPr="001E08A9" w:rsidRDefault="00FE0BE5" w:rsidP="00533639">
            <w:pPr>
              <w:pStyle w:val="TableBodyText"/>
              <w:jc w:val="both"/>
            </w:pPr>
          </w:p>
        </w:tc>
        <w:tc>
          <w:tcPr>
            <w:tcW w:w="970" w:type="pct"/>
          </w:tcPr>
          <w:p w14:paraId="28868B6B" w14:textId="77777777" w:rsidR="00FE0BE5" w:rsidRPr="001E08A9" w:rsidRDefault="00FE0BE5">
            <w:pPr>
              <w:pStyle w:val="Tabletext"/>
              <w:ind w:left="157" w:hanging="141"/>
              <w:rPr>
                <w:sz w:val="20"/>
              </w:rPr>
            </w:pPr>
          </w:p>
        </w:tc>
        <w:tc>
          <w:tcPr>
            <w:tcW w:w="2242" w:type="pct"/>
          </w:tcPr>
          <w:p w14:paraId="4C9F581E" w14:textId="6C89B5EA" w:rsidR="00FE0BE5" w:rsidRPr="001E08A9" w:rsidRDefault="00D616B3">
            <w:pPr>
              <w:pStyle w:val="TableBodyText"/>
            </w:pPr>
            <w:r w:rsidRPr="001E08A9">
              <w:t>Preliminary Investigation Report and/or Final Investigation Report</w:t>
            </w:r>
          </w:p>
        </w:tc>
      </w:tr>
      <w:tr w:rsidR="00903100" w:rsidRPr="001E08A9" w14:paraId="0837E141" w14:textId="77777777" w:rsidTr="00A31FE8">
        <w:tc>
          <w:tcPr>
            <w:tcW w:w="594" w:type="pct"/>
            <w:tcBorders>
              <w:bottom w:val="single" w:sz="4" w:space="0" w:color="FFFFFF" w:themeColor="background1"/>
            </w:tcBorders>
          </w:tcPr>
          <w:p w14:paraId="0FF32D6C" w14:textId="5DB4FC50" w:rsidR="007C0316" w:rsidRPr="001E08A9" w:rsidRDefault="000000B6">
            <w:pPr>
              <w:pStyle w:val="TableBodyText"/>
            </w:pPr>
            <w:r w:rsidRPr="001E08A9">
              <w:fldChar w:fldCharType="begin"/>
            </w:r>
            <w:r w:rsidRPr="001E08A9">
              <w:instrText xml:space="preserve"> REF _Ref133831329 \r \h </w:instrText>
            </w:r>
            <w:r w:rsidR="001E08A9">
              <w:instrText xml:space="preserve"> \* MERGEFORMAT </w:instrText>
            </w:r>
            <w:r w:rsidRPr="001E08A9">
              <w:fldChar w:fldCharType="separate"/>
            </w:r>
            <w:r w:rsidR="00C40E23">
              <w:t>12.7</w:t>
            </w:r>
            <w:r w:rsidRPr="001E08A9">
              <w:fldChar w:fldCharType="end"/>
            </w:r>
          </w:p>
        </w:tc>
        <w:tc>
          <w:tcPr>
            <w:tcW w:w="1194" w:type="pct"/>
            <w:tcBorders>
              <w:bottom w:val="single" w:sz="4" w:space="0" w:color="FFFFFF" w:themeColor="background1"/>
            </w:tcBorders>
          </w:tcPr>
          <w:p w14:paraId="7F223FE7" w14:textId="2031DCFC" w:rsidR="007C0316" w:rsidRPr="001E08A9" w:rsidRDefault="00524828" w:rsidP="00197511">
            <w:pPr>
              <w:pStyle w:val="TableBodyText"/>
              <w:numPr>
                <w:ilvl w:val="0"/>
                <w:numId w:val="19"/>
              </w:numPr>
              <w:ind w:left="321" w:hanging="284"/>
            </w:pPr>
            <w:r w:rsidRPr="001E08A9">
              <w:t>Commencement of work on Site</w:t>
            </w:r>
          </w:p>
        </w:tc>
        <w:tc>
          <w:tcPr>
            <w:tcW w:w="970" w:type="pct"/>
            <w:tcBorders>
              <w:bottom w:val="single" w:sz="4" w:space="0" w:color="FFFFFF" w:themeColor="background1"/>
            </w:tcBorders>
          </w:tcPr>
          <w:p w14:paraId="5FFA7F8C" w14:textId="77777777" w:rsidR="007C0316" w:rsidRPr="001E08A9" w:rsidRDefault="007C0316">
            <w:pPr>
              <w:pStyle w:val="Tabletext"/>
              <w:ind w:left="157" w:hanging="141"/>
              <w:rPr>
                <w:sz w:val="20"/>
              </w:rPr>
            </w:pPr>
          </w:p>
        </w:tc>
        <w:tc>
          <w:tcPr>
            <w:tcW w:w="2242" w:type="pct"/>
            <w:tcBorders>
              <w:bottom w:val="single" w:sz="4" w:space="0" w:color="FFFFFF" w:themeColor="background1"/>
            </w:tcBorders>
          </w:tcPr>
          <w:p w14:paraId="27FBF6CD" w14:textId="547FA6D0" w:rsidR="007C0316" w:rsidRPr="001E08A9" w:rsidRDefault="00524828">
            <w:pPr>
              <w:pStyle w:val="TableBodyText"/>
            </w:pPr>
            <w:r w:rsidRPr="001E08A9">
              <w:t>HVCoR Management Plan (wh</w:t>
            </w:r>
            <w:r w:rsidR="000000B6" w:rsidRPr="001E08A9">
              <w:t>ere applicable)</w:t>
            </w:r>
          </w:p>
        </w:tc>
      </w:tr>
      <w:tr w:rsidR="00903100" w:rsidRPr="001E08A9" w14:paraId="5BB5A705" w14:textId="77777777" w:rsidTr="00A31FE8">
        <w:tc>
          <w:tcPr>
            <w:tcW w:w="594" w:type="pct"/>
            <w:tcBorders>
              <w:bottom w:val="single" w:sz="8" w:space="0" w:color="004259"/>
            </w:tcBorders>
          </w:tcPr>
          <w:p w14:paraId="62C938BA" w14:textId="5B9A217F" w:rsidR="007C0316" w:rsidRPr="001E08A9" w:rsidRDefault="004A2BA4">
            <w:pPr>
              <w:pStyle w:val="TableBodyText"/>
            </w:pPr>
            <w:r>
              <w:fldChar w:fldCharType="begin"/>
            </w:r>
            <w:r>
              <w:instrText xml:space="preserve"> REF _Ref133832888 \r \h </w:instrText>
            </w:r>
            <w:r>
              <w:fldChar w:fldCharType="separate"/>
            </w:r>
            <w:r w:rsidR="00C40E23">
              <w:t>13.3</w:t>
            </w:r>
            <w:r>
              <w:fldChar w:fldCharType="end"/>
            </w:r>
          </w:p>
        </w:tc>
        <w:tc>
          <w:tcPr>
            <w:tcW w:w="1194" w:type="pct"/>
            <w:tcBorders>
              <w:bottom w:val="single" w:sz="8" w:space="0" w:color="004259"/>
            </w:tcBorders>
          </w:tcPr>
          <w:p w14:paraId="5C9227A9" w14:textId="230102C3" w:rsidR="007C0316" w:rsidRPr="001E08A9" w:rsidRDefault="007C0316" w:rsidP="00533639">
            <w:pPr>
              <w:pStyle w:val="TableBodyText"/>
            </w:pPr>
          </w:p>
        </w:tc>
        <w:tc>
          <w:tcPr>
            <w:tcW w:w="970" w:type="pct"/>
            <w:tcBorders>
              <w:bottom w:val="single" w:sz="8" w:space="0" w:color="004259"/>
            </w:tcBorders>
          </w:tcPr>
          <w:p w14:paraId="6E087467" w14:textId="77777777" w:rsidR="007C0316" w:rsidRPr="001E08A9" w:rsidRDefault="007C0316">
            <w:pPr>
              <w:pStyle w:val="Tabletext"/>
              <w:ind w:left="157" w:hanging="141"/>
              <w:rPr>
                <w:sz w:val="20"/>
              </w:rPr>
            </w:pPr>
          </w:p>
        </w:tc>
        <w:tc>
          <w:tcPr>
            <w:tcW w:w="2242" w:type="pct"/>
            <w:tcBorders>
              <w:bottom w:val="single" w:sz="8" w:space="0" w:color="004259"/>
            </w:tcBorders>
          </w:tcPr>
          <w:p w14:paraId="556696D7" w14:textId="7E190061" w:rsidR="007C0316" w:rsidRPr="001E08A9" w:rsidRDefault="004A2BA4">
            <w:pPr>
              <w:pStyle w:val="TableBodyText"/>
            </w:pPr>
            <w:r>
              <w:t xml:space="preserve">Any notice issue by the </w:t>
            </w:r>
            <w:r w:rsidRPr="008E0E70">
              <w:t>WHS Regulator</w:t>
            </w:r>
            <w:r>
              <w:t xml:space="preserve"> or a </w:t>
            </w:r>
            <w:r w:rsidRPr="002B508B">
              <w:rPr>
                <w:i/>
                <w:iCs/>
              </w:rPr>
              <w:t>health and safety representative</w:t>
            </w:r>
          </w:p>
        </w:tc>
      </w:tr>
    </w:tbl>
    <w:p w14:paraId="666D0786" w14:textId="77777777" w:rsidR="007C0316" w:rsidRPr="00DE33D3" w:rsidRDefault="007C0316" w:rsidP="007C0316">
      <w:pPr>
        <w:ind w:left="851"/>
      </w:pPr>
    </w:p>
    <w:p w14:paraId="2AE1F524" w14:textId="77777777" w:rsidR="00245EDC" w:rsidRDefault="00245EDC">
      <w:pPr>
        <w:rPr>
          <w:rFonts w:ascii="Arial" w:hAnsi="Arial" w:cs="Arial"/>
          <w:b/>
          <w:bCs/>
          <w:caps/>
          <w:color w:val="004259"/>
          <w:sz w:val="28"/>
          <w:szCs w:val="32"/>
        </w:rPr>
      </w:pPr>
      <w:r>
        <w:br w:type="page"/>
      </w:r>
    </w:p>
    <w:p w14:paraId="29B46DFC" w14:textId="01D7B272" w:rsidR="00245EDC" w:rsidRPr="00DE33D3" w:rsidRDefault="00245EDC" w:rsidP="00FB25E2">
      <w:pPr>
        <w:pStyle w:val="AnnexureHeading"/>
        <w:ind w:left="1843" w:hanging="1843"/>
      </w:pPr>
      <w:bookmarkStart w:id="118" w:name="_Toc134517080"/>
      <w:bookmarkStart w:id="119" w:name="_Toc148520759"/>
      <w:bookmarkStart w:id="120" w:name="_Toc149574699"/>
      <w:bookmarkStart w:id="121" w:name="_Hlk132796663"/>
      <w:bookmarkEnd w:id="117"/>
      <w:r w:rsidRPr="00DE33D3">
        <w:lastRenderedPageBreak/>
        <w:t xml:space="preserve">Annexure </w:t>
      </w:r>
      <w:r w:rsidR="00683DC3">
        <w:t>B</w:t>
      </w:r>
      <w:r w:rsidRPr="00DE33D3">
        <w:t>:</w:t>
      </w:r>
      <w:r w:rsidRPr="00DE33D3">
        <w:tab/>
      </w:r>
      <w:r w:rsidR="00CA2125">
        <w:t xml:space="preserve">WHS Law and </w:t>
      </w:r>
      <w:r w:rsidR="008430C5">
        <w:t>WHS</w:t>
      </w:r>
      <w:r w:rsidR="00CA2125" w:rsidRPr="00CA2125">
        <w:t xml:space="preserve"> </w:t>
      </w:r>
      <w:r w:rsidR="00F97541">
        <w:t>Regulators</w:t>
      </w:r>
      <w:bookmarkEnd w:id="118"/>
      <w:bookmarkEnd w:id="119"/>
      <w:bookmarkEnd w:id="120"/>
    </w:p>
    <w:p w14:paraId="033E671E" w14:textId="6B9D1460" w:rsidR="003C6EE2" w:rsidRDefault="00245EDC" w:rsidP="00245EDC">
      <w:pPr>
        <w:pStyle w:val="BodyText"/>
      </w:pPr>
      <w:r w:rsidRPr="00DE33D3">
        <w:t xml:space="preserve">The </w:t>
      </w:r>
      <w:r w:rsidR="00F53537">
        <w:t>W</w:t>
      </w:r>
      <w:r w:rsidR="00576442">
        <w:t xml:space="preserve">HS Law includes the legislation </w:t>
      </w:r>
      <w:r w:rsidR="009F7914">
        <w:t xml:space="preserve">and regulations listed in </w:t>
      </w:r>
      <w:r w:rsidR="00386BB8">
        <w:fldChar w:fldCharType="begin"/>
      </w:r>
      <w:r w:rsidR="00386BB8">
        <w:instrText xml:space="preserve"> REF _Ref149208057 \h </w:instrText>
      </w:r>
      <w:r w:rsidR="00386BB8">
        <w:fldChar w:fldCharType="separate"/>
      </w:r>
      <w:r w:rsidR="00386BB8">
        <w:t>Table B.</w:t>
      </w:r>
      <w:r w:rsidR="00386BB8">
        <w:rPr>
          <w:noProof/>
        </w:rPr>
        <w:t>1</w:t>
      </w:r>
      <w:r w:rsidR="00386BB8">
        <w:fldChar w:fldCharType="end"/>
      </w:r>
      <w:r w:rsidR="009F7914">
        <w:t xml:space="preserve"> and </w:t>
      </w:r>
      <w:r w:rsidR="00B910BA">
        <w:fldChar w:fldCharType="begin"/>
      </w:r>
      <w:r w:rsidR="00B910BA">
        <w:instrText xml:space="preserve"> REF _Ref149213903 \h </w:instrText>
      </w:r>
      <w:r w:rsidR="00B910BA">
        <w:fldChar w:fldCharType="separate"/>
      </w:r>
      <w:r w:rsidR="00B910BA">
        <w:t>Table B.</w:t>
      </w:r>
      <w:r w:rsidR="00B910BA">
        <w:rPr>
          <w:noProof/>
        </w:rPr>
        <w:t>2</w:t>
      </w:r>
      <w:r w:rsidR="00B910BA">
        <w:fldChar w:fldCharType="end"/>
      </w:r>
      <w:r w:rsidR="009F7914">
        <w:t xml:space="preserve"> </w:t>
      </w:r>
      <w:r w:rsidR="00372B43">
        <w:t>which are app</w:t>
      </w:r>
      <w:r w:rsidR="00883A5F">
        <w:t xml:space="preserve">licable </w:t>
      </w:r>
      <w:r w:rsidR="00372B43">
        <w:t xml:space="preserve">in the jurisdiction where the </w:t>
      </w:r>
      <w:r w:rsidR="003C6EE2">
        <w:t>work is being carried out.</w:t>
      </w:r>
    </w:p>
    <w:p w14:paraId="09EC12A6" w14:textId="0E4A0490" w:rsidR="00245EDC" w:rsidRDefault="003C6EE2" w:rsidP="00245EDC">
      <w:pPr>
        <w:pStyle w:val="BodyText"/>
      </w:pPr>
      <w:r>
        <w:t xml:space="preserve">The WHS Regulations </w:t>
      </w:r>
      <w:r w:rsidR="00DC50FD">
        <w:t>include</w:t>
      </w:r>
      <w:r>
        <w:t xml:space="preserve"> the </w:t>
      </w:r>
      <w:r w:rsidR="00883A5F">
        <w:t xml:space="preserve">regulations </w:t>
      </w:r>
      <w:r w:rsidR="00883A5F" w:rsidRPr="00883A5F">
        <w:t xml:space="preserve">listed in </w:t>
      </w:r>
      <w:r w:rsidR="00B910BA">
        <w:fldChar w:fldCharType="begin"/>
      </w:r>
      <w:r w:rsidR="00B910BA">
        <w:instrText xml:space="preserve"> REF _Ref149213903 \h </w:instrText>
      </w:r>
      <w:r w:rsidR="00B910BA">
        <w:fldChar w:fldCharType="separate"/>
      </w:r>
      <w:r w:rsidR="00B910BA">
        <w:t>Table B.</w:t>
      </w:r>
      <w:r w:rsidR="00B910BA">
        <w:rPr>
          <w:noProof/>
        </w:rPr>
        <w:t>2</w:t>
      </w:r>
      <w:r w:rsidR="00B910BA">
        <w:fldChar w:fldCharType="end"/>
      </w:r>
      <w:r w:rsidR="00883A5F" w:rsidRPr="00883A5F">
        <w:t xml:space="preserve"> which are </w:t>
      </w:r>
      <w:r w:rsidR="00883A5F">
        <w:t>applicable</w:t>
      </w:r>
      <w:r w:rsidR="00883A5F" w:rsidRPr="00883A5F">
        <w:t xml:space="preserve"> in the jurisdiction where the work is being carried </w:t>
      </w:r>
      <w:r w:rsidR="000771E2" w:rsidRPr="00883A5F">
        <w:t>out.</w:t>
      </w:r>
    </w:p>
    <w:p w14:paraId="11A9EA93" w14:textId="23E4A64C" w:rsidR="0023744C" w:rsidRDefault="00B01DAC" w:rsidP="00245EDC">
      <w:pPr>
        <w:pStyle w:val="BodyText"/>
      </w:pPr>
      <w:r>
        <w:t xml:space="preserve">The </w:t>
      </w:r>
      <w:r w:rsidR="008430C5">
        <w:t>WHS</w:t>
      </w:r>
      <w:r w:rsidRPr="00B01DAC">
        <w:t xml:space="preserve"> </w:t>
      </w:r>
      <w:r w:rsidR="000771E2" w:rsidRPr="00B01DAC">
        <w:t xml:space="preserve">Regulator </w:t>
      </w:r>
      <w:r w:rsidR="000771E2">
        <w:t>is</w:t>
      </w:r>
      <w:r w:rsidR="00005296">
        <w:t xml:space="preserve"> t</w:t>
      </w:r>
      <w:r w:rsidRPr="00B01DAC">
        <w:t xml:space="preserve">he government agency listed in </w:t>
      </w:r>
      <w:r w:rsidR="008160CA">
        <w:fldChar w:fldCharType="begin"/>
      </w:r>
      <w:r w:rsidR="008160CA">
        <w:instrText xml:space="preserve"> REF _Ref149214128 \h </w:instrText>
      </w:r>
      <w:r w:rsidR="008160CA">
        <w:fldChar w:fldCharType="separate"/>
      </w:r>
      <w:r w:rsidR="008160CA">
        <w:t>Table B.</w:t>
      </w:r>
      <w:r w:rsidR="008160CA">
        <w:rPr>
          <w:noProof/>
        </w:rPr>
        <w:t>3</w:t>
      </w:r>
      <w:r w:rsidR="008160CA">
        <w:fldChar w:fldCharType="end"/>
      </w:r>
      <w:r w:rsidRPr="00B01DAC">
        <w:t xml:space="preserve"> with the authority to administer the WHS </w:t>
      </w:r>
      <w:r w:rsidR="000771E2">
        <w:t>L</w:t>
      </w:r>
      <w:r w:rsidRPr="00B01DAC">
        <w:t>aws applicable to the work under Contract.</w:t>
      </w:r>
    </w:p>
    <w:p w14:paraId="040571FD" w14:textId="7965CE31" w:rsidR="00A66ABE" w:rsidRPr="00DE33D3" w:rsidRDefault="001F0A40" w:rsidP="001F0A40">
      <w:pPr>
        <w:pStyle w:val="Caption"/>
      </w:pPr>
      <w:bookmarkStart w:id="122" w:name="_Ref149208057"/>
      <w:r>
        <w:t>Table B.</w:t>
      </w:r>
      <w:r>
        <w:fldChar w:fldCharType="begin"/>
      </w:r>
      <w:r>
        <w:instrText xml:space="preserve"> SEQ Table_B. \* ARABIC </w:instrText>
      </w:r>
      <w:r>
        <w:fldChar w:fldCharType="separate"/>
      </w:r>
      <w:r w:rsidR="008C6DD7">
        <w:rPr>
          <w:noProof/>
        </w:rPr>
        <w:t>1</w:t>
      </w:r>
      <w:r>
        <w:fldChar w:fldCharType="end"/>
      </w:r>
      <w:bookmarkEnd w:id="122"/>
    </w:p>
    <w:tbl>
      <w:tblPr>
        <w:tblStyle w:val="TMTable"/>
        <w:tblW w:w="4720" w:type="pct"/>
        <w:tblInd w:w="561" w:type="dxa"/>
        <w:tblLook w:val="04A0" w:firstRow="1" w:lastRow="0" w:firstColumn="1" w:lastColumn="0" w:noHBand="0" w:noVBand="1"/>
      </w:tblPr>
      <w:tblGrid>
        <w:gridCol w:w="2032"/>
        <w:gridCol w:w="6927"/>
      </w:tblGrid>
      <w:tr w:rsidR="00153840" w:rsidRPr="00DE33D3" w14:paraId="0F8B72B7" w14:textId="77777777" w:rsidTr="00AF16AD">
        <w:trPr>
          <w:cnfStyle w:val="100000000000" w:firstRow="1" w:lastRow="0" w:firstColumn="0" w:lastColumn="0" w:oddVBand="0" w:evenVBand="0" w:oddHBand="0" w:evenHBand="0" w:firstRowFirstColumn="0" w:firstRowLastColumn="0" w:lastRowFirstColumn="0" w:lastRowLastColumn="0"/>
        </w:trPr>
        <w:tc>
          <w:tcPr>
            <w:tcW w:w="1134" w:type="pct"/>
            <w:tcBorders>
              <w:top w:val="single" w:sz="4" w:space="0" w:color="FFFFFF" w:themeColor="background1"/>
              <w:bottom w:val="single" w:sz="4" w:space="0" w:color="FFFFFF" w:themeColor="background1"/>
              <w:right w:val="single" w:sz="4" w:space="0" w:color="FFFFFF" w:themeColor="background1"/>
            </w:tcBorders>
          </w:tcPr>
          <w:p w14:paraId="3481547F" w14:textId="3D6D296E" w:rsidR="00153840" w:rsidRDefault="00153840">
            <w:pPr>
              <w:pStyle w:val="TableBodyText"/>
            </w:pPr>
            <w:r w:rsidRPr="00463D42">
              <w:t>Jurisdiction</w:t>
            </w:r>
          </w:p>
        </w:tc>
        <w:tc>
          <w:tcPr>
            <w:tcW w:w="3866" w:type="pct"/>
            <w:tcBorders>
              <w:top w:val="single" w:sz="4" w:space="0" w:color="FFFFFF" w:themeColor="background1"/>
              <w:left w:val="single" w:sz="4" w:space="0" w:color="FFFFFF" w:themeColor="background1"/>
              <w:bottom w:val="single" w:sz="4" w:space="0" w:color="FFFFFF" w:themeColor="background1"/>
            </w:tcBorders>
          </w:tcPr>
          <w:p w14:paraId="6093575D" w14:textId="22A671F2" w:rsidR="00153840" w:rsidRPr="00F436E2" w:rsidRDefault="00153840" w:rsidP="00B70A30">
            <w:pPr>
              <w:pStyle w:val="Tabletext"/>
              <w:ind w:left="16" w:firstLine="0"/>
              <w:rPr>
                <w:rFonts w:eastAsiaTheme="minorEastAsia"/>
                <w:bCs/>
                <w:color w:val="000000"/>
                <w:kern w:val="0"/>
                <w:sz w:val="20"/>
                <w:lang w:val="en-AU"/>
              </w:rPr>
            </w:pPr>
            <w:r w:rsidRPr="00F436E2">
              <w:rPr>
                <w:bCs/>
                <w:sz w:val="20"/>
              </w:rPr>
              <w:t>Enabling Legislation</w:t>
            </w:r>
          </w:p>
        </w:tc>
      </w:tr>
      <w:tr w:rsidR="00521FB9" w:rsidRPr="00DE33D3" w14:paraId="0FB2893D" w14:textId="77777777" w:rsidTr="00AF16AD">
        <w:tc>
          <w:tcPr>
            <w:tcW w:w="1134" w:type="pct"/>
            <w:tcBorders>
              <w:top w:val="single" w:sz="4" w:space="0" w:color="FFFFFF" w:themeColor="background1"/>
              <w:bottom w:val="single" w:sz="4" w:space="0" w:color="FFFFFF" w:themeColor="background1"/>
            </w:tcBorders>
          </w:tcPr>
          <w:p w14:paraId="1EAFE04A" w14:textId="577903AE" w:rsidR="00521FB9" w:rsidRPr="00DE33D3" w:rsidRDefault="00521FB9">
            <w:pPr>
              <w:pStyle w:val="TableBodyText"/>
            </w:pPr>
            <w:r>
              <w:t>Queensland</w:t>
            </w:r>
          </w:p>
        </w:tc>
        <w:tc>
          <w:tcPr>
            <w:tcW w:w="3866" w:type="pct"/>
            <w:tcBorders>
              <w:top w:val="single" w:sz="4" w:space="0" w:color="FFFFFF" w:themeColor="background1"/>
              <w:bottom w:val="single" w:sz="4" w:space="0" w:color="FFFFFF" w:themeColor="background1"/>
            </w:tcBorders>
          </w:tcPr>
          <w:p w14:paraId="5C3C4867" w14:textId="24B9F9B3" w:rsidR="00521FB9" w:rsidRPr="00F436E2" w:rsidRDefault="00463D42" w:rsidP="00B70A30">
            <w:pPr>
              <w:pStyle w:val="Tabletext"/>
              <w:ind w:left="16" w:firstLine="0"/>
              <w:rPr>
                <w:rFonts w:eastAsiaTheme="minorEastAsia"/>
                <w:bCs/>
                <w:color w:val="000000"/>
                <w:kern w:val="0"/>
                <w:sz w:val="20"/>
                <w:lang w:val="en-AU"/>
              </w:rPr>
            </w:pPr>
            <w:r w:rsidRPr="00F436E2">
              <w:rPr>
                <w:rFonts w:eastAsiaTheme="minorEastAsia"/>
                <w:bCs/>
                <w:i/>
                <w:iCs/>
                <w:color w:val="000000"/>
                <w:kern w:val="0"/>
                <w:sz w:val="20"/>
                <w:lang w:val="en-AU"/>
              </w:rPr>
              <w:t>Work Health and Safety Act 2011</w:t>
            </w:r>
            <w:r w:rsidR="00A97CFA" w:rsidRPr="00F436E2">
              <w:rPr>
                <w:rFonts w:eastAsiaTheme="minorEastAsia"/>
                <w:bCs/>
                <w:color w:val="000000"/>
                <w:kern w:val="0"/>
                <w:sz w:val="20"/>
                <w:lang w:val="en-AU"/>
              </w:rPr>
              <w:t xml:space="preserve"> (Qld)</w:t>
            </w:r>
          </w:p>
        </w:tc>
      </w:tr>
      <w:tr w:rsidR="00521FB9" w:rsidRPr="00DE33D3" w14:paraId="0804850A" w14:textId="77777777" w:rsidTr="00AF16AD">
        <w:tc>
          <w:tcPr>
            <w:tcW w:w="1134" w:type="pct"/>
            <w:tcBorders>
              <w:bottom w:val="single" w:sz="4" w:space="0" w:color="FFFFFF" w:themeColor="background1"/>
            </w:tcBorders>
          </w:tcPr>
          <w:p w14:paraId="1CAA6F72" w14:textId="18D8E00D" w:rsidR="00521FB9" w:rsidRPr="00DE33D3" w:rsidRDefault="00521FB9">
            <w:pPr>
              <w:pStyle w:val="TableBodyText"/>
            </w:pPr>
            <w:r>
              <w:t>New South Wales</w:t>
            </w:r>
          </w:p>
        </w:tc>
        <w:tc>
          <w:tcPr>
            <w:tcW w:w="3866" w:type="pct"/>
            <w:tcBorders>
              <w:bottom w:val="single" w:sz="4" w:space="0" w:color="FFFFFF" w:themeColor="background1"/>
            </w:tcBorders>
          </w:tcPr>
          <w:p w14:paraId="51821FA3" w14:textId="5088AFC7" w:rsidR="00521FB9" w:rsidRPr="00B70A30" w:rsidRDefault="003B7F05" w:rsidP="00B70A30">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Act 2011</w:t>
            </w:r>
            <w:r w:rsidR="00A97CFA">
              <w:rPr>
                <w:rFonts w:eastAsiaTheme="minorEastAsia"/>
                <w:bCs/>
                <w:color w:val="000000"/>
                <w:kern w:val="0"/>
                <w:sz w:val="20"/>
                <w:lang w:val="en-AU"/>
              </w:rPr>
              <w:t xml:space="preserve"> (NSW)</w:t>
            </w:r>
          </w:p>
        </w:tc>
      </w:tr>
      <w:tr w:rsidR="00521FB9" w:rsidRPr="00DE33D3" w14:paraId="4EECB1A6" w14:textId="77777777" w:rsidTr="00AF16AD">
        <w:tc>
          <w:tcPr>
            <w:tcW w:w="1134" w:type="pct"/>
            <w:tcBorders>
              <w:top w:val="single" w:sz="4" w:space="0" w:color="FFFFFF" w:themeColor="background1"/>
            </w:tcBorders>
          </w:tcPr>
          <w:p w14:paraId="50A4381C" w14:textId="5C82A89F" w:rsidR="00521FB9" w:rsidRPr="00DE33D3" w:rsidRDefault="003C6F13">
            <w:pPr>
              <w:pStyle w:val="TableBodyText"/>
            </w:pPr>
            <w:r>
              <w:t>Australian</w:t>
            </w:r>
            <w:r w:rsidR="00521FB9">
              <w:t xml:space="preserve"> Capital Territory</w:t>
            </w:r>
          </w:p>
        </w:tc>
        <w:tc>
          <w:tcPr>
            <w:tcW w:w="3866" w:type="pct"/>
            <w:tcBorders>
              <w:top w:val="single" w:sz="4" w:space="0" w:color="FFFFFF" w:themeColor="background1"/>
            </w:tcBorders>
          </w:tcPr>
          <w:p w14:paraId="47096822" w14:textId="322498A9" w:rsidR="00521FB9" w:rsidRPr="00B70A30" w:rsidRDefault="0004117D" w:rsidP="00B70A30">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Act 2011</w:t>
            </w:r>
            <w:r w:rsidR="00A97CFA">
              <w:rPr>
                <w:rFonts w:eastAsiaTheme="minorEastAsia"/>
                <w:bCs/>
                <w:color w:val="000000"/>
                <w:kern w:val="0"/>
                <w:sz w:val="20"/>
                <w:lang w:val="en-AU"/>
              </w:rPr>
              <w:t xml:space="preserve"> (ACT)</w:t>
            </w:r>
          </w:p>
        </w:tc>
      </w:tr>
      <w:tr w:rsidR="00521FB9" w:rsidRPr="00DE33D3" w14:paraId="08A6F302" w14:textId="77777777" w:rsidTr="00AF16AD">
        <w:tc>
          <w:tcPr>
            <w:tcW w:w="1134" w:type="pct"/>
          </w:tcPr>
          <w:p w14:paraId="468E8D95" w14:textId="5B7D0184" w:rsidR="00521FB9" w:rsidRPr="00DE33D3" w:rsidRDefault="00B5488B">
            <w:pPr>
              <w:pStyle w:val="TableBodyText"/>
            </w:pPr>
            <w:r>
              <w:t>Victoria</w:t>
            </w:r>
          </w:p>
        </w:tc>
        <w:tc>
          <w:tcPr>
            <w:tcW w:w="3866" w:type="pct"/>
          </w:tcPr>
          <w:p w14:paraId="65DA7427" w14:textId="466FD358" w:rsidR="00521FB9" w:rsidRPr="00B70A30" w:rsidRDefault="00D1146A" w:rsidP="00B70A30">
            <w:pPr>
              <w:pStyle w:val="Tabletext"/>
              <w:ind w:left="16" w:firstLine="0"/>
              <w:rPr>
                <w:rFonts w:eastAsiaTheme="minorEastAsia"/>
                <w:bCs/>
                <w:color w:val="000000"/>
                <w:kern w:val="0"/>
                <w:sz w:val="20"/>
                <w:lang w:val="en-AU"/>
              </w:rPr>
            </w:pPr>
            <w:r w:rsidRPr="00D1146A">
              <w:rPr>
                <w:rFonts w:eastAsiaTheme="minorEastAsia"/>
                <w:bCs/>
                <w:i/>
                <w:iCs/>
                <w:color w:val="000000"/>
                <w:kern w:val="0"/>
                <w:sz w:val="20"/>
                <w:lang w:val="en-AU"/>
              </w:rPr>
              <w:t xml:space="preserve">Occupational Health and Safety Act 2004 </w:t>
            </w:r>
            <w:r>
              <w:rPr>
                <w:rFonts w:eastAsiaTheme="minorEastAsia"/>
                <w:bCs/>
                <w:color w:val="000000"/>
                <w:kern w:val="0"/>
                <w:sz w:val="20"/>
                <w:lang w:val="en-AU"/>
              </w:rPr>
              <w:t>(Vic)</w:t>
            </w:r>
          </w:p>
        </w:tc>
      </w:tr>
      <w:tr w:rsidR="00521FB9" w:rsidRPr="00DE33D3" w14:paraId="70DAA2F9" w14:textId="77777777" w:rsidTr="00AF16AD">
        <w:tc>
          <w:tcPr>
            <w:tcW w:w="1134" w:type="pct"/>
          </w:tcPr>
          <w:p w14:paraId="31B9F8A6" w14:textId="5A0A8362" w:rsidR="00521FB9" w:rsidRPr="00DE33D3" w:rsidRDefault="003C6F13">
            <w:pPr>
              <w:pStyle w:val="TableBodyText"/>
            </w:pPr>
            <w:r>
              <w:t>Tasmania</w:t>
            </w:r>
          </w:p>
        </w:tc>
        <w:tc>
          <w:tcPr>
            <w:tcW w:w="3866" w:type="pct"/>
          </w:tcPr>
          <w:p w14:paraId="4684D48B" w14:textId="7798A2FB" w:rsidR="00521FB9" w:rsidRPr="00B70A30" w:rsidRDefault="005235FB" w:rsidP="00B70A30">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Act 2012</w:t>
            </w:r>
            <w:r w:rsidR="00A97CFA" w:rsidRPr="00332B2C">
              <w:rPr>
                <w:rFonts w:eastAsiaTheme="minorEastAsia"/>
                <w:bCs/>
                <w:i/>
                <w:iCs/>
                <w:color w:val="000000"/>
                <w:kern w:val="0"/>
                <w:sz w:val="20"/>
                <w:lang w:val="en-AU"/>
              </w:rPr>
              <w:t xml:space="preserve"> </w:t>
            </w:r>
            <w:r w:rsidR="00A97CFA">
              <w:rPr>
                <w:rFonts w:eastAsiaTheme="minorEastAsia"/>
                <w:bCs/>
                <w:color w:val="000000"/>
                <w:kern w:val="0"/>
                <w:sz w:val="20"/>
                <w:lang w:val="en-AU"/>
              </w:rPr>
              <w:t>(Tas)</w:t>
            </w:r>
          </w:p>
        </w:tc>
      </w:tr>
      <w:tr w:rsidR="00521FB9" w:rsidRPr="00DE33D3" w14:paraId="1920D52D" w14:textId="77777777" w:rsidTr="00AF16AD">
        <w:tc>
          <w:tcPr>
            <w:tcW w:w="1134" w:type="pct"/>
          </w:tcPr>
          <w:p w14:paraId="7D42068D" w14:textId="6F44CA9B" w:rsidR="00521FB9" w:rsidRPr="00DE33D3" w:rsidRDefault="00B5488B">
            <w:pPr>
              <w:pStyle w:val="TableBodyText"/>
            </w:pPr>
            <w:r>
              <w:t>South Australia</w:t>
            </w:r>
          </w:p>
        </w:tc>
        <w:tc>
          <w:tcPr>
            <w:tcW w:w="3866" w:type="pct"/>
          </w:tcPr>
          <w:p w14:paraId="6902526B" w14:textId="30336EAD" w:rsidR="00521FB9" w:rsidRPr="00B70A30" w:rsidRDefault="005235FB" w:rsidP="00B70A30">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Act 2012</w:t>
            </w:r>
            <w:r w:rsidR="006022F9">
              <w:rPr>
                <w:rFonts w:eastAsiaTheme="minorEastAsia"/>
                <w:bCs/>
                <w:color w:val="000000"/>
                <w:kern w:val="0"/>
                <w:sz w:val="20"/>
                <w:lang w:val="en-AU"/>
              </w:rPr>
              <w:t xml:space="preserve"> (SA)</w:t>
            </w:r>
          </w:p>
        </w:tc>
      </w:tr>
      <w:tr w:rsidR="00521FB9" w:rsidRPr="00DE33D3" w14:paraId="73E8AE17" w14:textId="77777777" w:rsidTr="00AF16AD">
        <w:tc>
          <w:tcPr>
            <w:tcW w:w="1134" w:type="pct"/>
          </w:tcPr>
          <w:p w14:paraId="358B9B26" w14:textId="6DF7A9D1" w:rsidR="00521FB9" w:rsidRPr="00DE33D3" w:rsidRDefault="00B5488B">
            <w:pPr>
              <w:pStyle w:val="TableBodyText"/>
            </w:pPr>
            <w:r>
              <w:t>Western Australia</w:t>
            </w:r>
          </w:p>
        </w:tc>
        <w:tc>
          <w:tcPr>
            <w:tcW w:w="3866" w:type="pct"/>
          </w:tcPr>
          <w:p w14:paraId="47CBE3A3" w14:textId="7F681AD2" w:rsidR="00521FB9" w:rsidRPr="00B70A30" w:rsidRDefault="00E22B9D" w:rsidP="00B70A30">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 xml:space="preserve">Work Health and Safety Act 2020 </w:t>
            </w:r>
            <w:r>
              <w:rPr>
                <w:rFonts w:eastAsiaTheme="minorEastAsia"/>
                <w:bCs/>
                <w:color w:val="000000"/>
                <w:kern w:val="0"/>
                <w:sz w:val="20"/>
                <w:lang w:val="en-AU"/>
              </w:rPr>
              <w:t>(WA)</w:t>
            </w:r>
          </w:p>
        </w:tc>
      </w:tr>
      <w:tr w:rsidR="00521FB9" w:rsidRPr="00DE33D3" w14:paraId="72951FDC" w14:textId="77777777" w:rsidTr="00AF16AD">
        <w:tc>
          <w:tcPr>
            <w:tcW w:w="1134" w:type="pct"/>
          </w:tcPr>
          <w:p w14:paraId="7BAC7780" w14:textId="1A44A86A" w:rsidR="00521FB9" w:rsidRPr="00DE33D3" w:rsidRDefault="003C6F13">
            <w:pPr>
              <w:pStyle w:val="TableBodyText"/>
            </w:pPr>
            <w:r>
              <w:t>Northern Territory</w:t>
            </w:r>
          </w:p>
        </w:tc>
        <w:tc>
          <w:tcPr>
            <w:tcW w:w="3866" w:type="pct"/>
          </w:tcPr>
          <w:p w14:paraId="227160A3" w14:textId="60A3BE59" w:rsidR="00521FB9" w:rsidRPr="00B70A30" w:rsidRDefault="008D1E0A" w:rsidP="008D1E0A">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(National Uniform Legislation) Act 2011</w:t>
            </w:r>
            <w:r w:rsidR="00375DC0">
              <w:rPr>
                <w:rFonts w:eastAsiaTheme="minorEastAsia"/>
                <w:bCs/>
                <w:color w:val="000000"/>
                <w:kern w:val="0"/>
                <w:sz w:val="20"/>
                <w:lang w:val="en-AU"/>
              </w:rPr>
              <w:t xml:space="preserve"> (NT)</w:t>
            </w:r>
          </w:p>
        </w:tc>
      </w:tr>
    </w:tbl>
    <w:p w14:paraId="43BAB0FC" w14:textId="791D49C6" w:rsidR="00AC2F3D" w:rsidRDefault="00A96B24" w:rsidP="00A96B24">
      <w:pPr>
        <w:pStyle w:val="Caption"/>
      </w:pPr>
      <w:bookmarkStart w:id="123" w:name="_Ref149213903"/>
      <w:r>
        <w:t>Table B.</w:t>
      </w:r>
      <w:r>
        <w:fldChar w:fldCharType="begin"/>
      </w:r>
      <w:r>
        <w:instrText xml:space="preserve"> SEQ Table_B. \* ARABIC </w:instrText>
      </w:r>
      <w:r>
        <w:fldChar w:fldCharType="separate"/>
      </w:r>
      <w:r w:rsidR="008C6DD7">
        <w:rPr>
          <w:noProof/>
        </w:rPr>
        <w:t>2</w:t>
      </w:r>
      <w:r>
        <w:fldChar w:fldCharType="end"/>
      </w:r>
      <w:bookmarkEnd w:id="123"/>
    </w:p>
    <w:tbl>
      <w:tblPr>
        <w:tblStyle w:val="TMTable"/>
        <w:tblW w:w="4715" w:type="pct"/>
        <w:tblInd w:w="561" w:type="dxa"/>
        <w:tblLook w:val="04A0" w:firstRow="1" w:lastRow="0" w:firstColumn="1" w:lastColumn="0" w:noHBand="0" w:noVBand="1"/>
      </w:tblPr>
      <w:tblGrid>
        <w:gridCol w:w="2030"/>
        <w:gridCol w:w="6919"/>
      </w:tblGrid>
      <w:tr w:rsidR="003F20D7" w:rsidRPr="00DE33D3" w14:paraId="34D5AA45" w14:textId="77777777" w:rsidTr="00AF16AD">
        <w:trPr>
          <w:cnfStyle w:val="100000000000" w:firstRow="1" w:lastRow="0" w:firstColumn="0" w:lastColumn="0" w:oddVBand="0" w:evenVBand="0" w:oddHBand="0" w:evenHBand="0" w:firstRowFirstColumn="0" w:firstRowLastColumn="0" w:lastRowFirstColumn="0" w:lastRowLastColumn="0"/>
        </w:trPr>
        <w:tc>
          <w:tcPr>
            <w:tcW w:w="1134" w:type="pct"/>
            <w:tcBorders>
              <w:top w:val="single" w:sz="4" w:space="0" w:color="FFFFFF" w:themeColor="background1"/>
              <w:bottom w:val="single" w:sz="4" w:space="0" w:color="FFFFFF" w:themeColor="background1"/>
              <w:right w:val="single" w:sz="4" w:space="0" w:color="FFFFFF" w:themeColor="background1"/>
            </w:tcBorders>
          </w:tcPr>
          <w:bookmarkEnd w:id="121"/>
          <w:p w14:paraId="199A7F2B" w14:textId="582C736F" w:rsidR="003F20D7" w:rsidRDefault="003F20D7">
            <w:pPr>
              <w:pStyle w:val="TableBodyText"/>
            </w:pPr>
            <w:r w:rsidRPr="00463D42">
              <w:t>Jurisdiction</w:t>
            </w:r>
          </w:p>
        </w:tc>
        <w:tc>
          <w:tcPr>
            <w:tcW w:w="3866" w:type="pct"/>
            <w:tcBorders>
              <w:top w:val="single" w:sz="4" w:space="0" w:color="FFFFFF" w:themeColor="background1"/>
              <w:left w:val="single" w:sz="4" w:space="0" w:color="FFFFFF" w:themeColor="background1"/>
              <w:bottom w:val="single" w:sz="4" w:space="0" w:color="FFFFFF" w:themeColor="background1"/>
            </w:tcBorders>
          </w:tcPr>
          <w:p w14:paraId="570D507D" w14:textId="69E8DFBC" w:rsidR="003F20D7" w:rsidRPr="003F20D7" w:rsidRDefault="003F20D7" w:rsidP="00E10502">
            <w:pPr>
              <w:pStyle w:val="Tabletext"/>
              <w:ind w:left="16" w:firstLine="0"/>
              <w:rPr>
                <w:rFonts w:eastAsiaTheme="minorEastAsia"/>
                <w:bCs/>
                <w:color w:val="000000"/>
                <w:kern w:val="0"/>
                <w:sz w:val="20"/>
                <w:lang w:val="en-AU"/>
              </w:rPr>
            </w:pPr>
            <w:r w:rsidRPr="003F20D7">
              <w:rPr>
                <w:bCs/>
                <w:sz w:val="20"/>
              </w:rPr>
              <w:t>WHS Regulations</w:t>
            </w:r>
            <w:r w:rsidRPr="003F20D7">
              <w:rPr>
                <w:bCs/>
                <w:sz w:val="20"/>
                <w:vertAlign w:val="superscript"/>
              </w:rPr>
              <w:t xml:space="preserve"> (1)</w:t>
            </w:r>
          </w:p>
        </w:tc>
      </w:tr>
      <w:tr w:rsidR="005475DE" w:rsidRPr="00DE33D3" w14:paraId="22D311F2" w14:textId="77777777" w:rsidTr="00AF16AD">
        <w:tc>
          <w:tcPr>
            <w:tcW w:w="1134" w:type="pct"/>
            <w:tcBorders>
              <w:top w:val="single" w:sz="4" w:space="0" w:color="FFFFFF" w:themeColor="background1"/>
              <w:bottom w:val="single" w:sz="4" w:space="0" w:color="FFFFFF" w:themeColor="background1"/>
            </w:tcBorders>
          </w:tcPr>
          <w:p w14:paraId="6A5BB35A" w14:textId="77777777" w:rsidR="005475DE" w:rsidRPr="00DE33D3" w:rsidRDefault="005475DE">
            <w:pPr>
              <w:pStyle w:val="TableBodyText"/>
            </w:pPr>
            <w:r>
              <w:t>Queensland</w:t>
            </w:r>
          </w:p>
        </w:tc>
        <w:tc>
          <w:tcPr>
            <w:tcW w:w="3866" w:type="pct"/>
            <w:tcBorders>
              <w:top w:val="single" w:sz="4" w:space="0" w:color="FFFFFF" w:themeColor="background1"/>
              <w:bottom w:val="single" w:sz="4" w:space="0" w:color="FFFFFF" w:themeColor="background1"/>
            </w:tcBorders>
          </w:tcPr>
          <w:p w14:paraId="5AFC79A2" w14:textId="3A23D803" w:rsidR="005475DE" w:rsidRPr="003F20D7" w:rsidRDefault="00D90744" w:rsidP="00E10502">
            <w:pPr>
              <w:pStyle w:val="Tabletext"/>
              <w:ind w:left="16" w:firstLine="0"/>
              <w:rPr>
                <w:rFonts w:eastAsiaTheme="minorEastAsia"/>
                <w:bCs/>
                <w:color w:val="000000"/>
                <w:kern w:val="0"/>
                <w:sz w:val="20"/>
                <w:lang w:val="en-AU"/>
              </w:rPr>
            </w:pPr>
            <w:r w:rsidRPr="003F20D7">
              <w:rPr>
                <w:rFonts w:eastAsiaTheme="minorEastAsia"/>
                <w:bCs/>
                <w:i/>
                <w:iCs/>
                <w:color w:val="000000"/>
                <w:kern w:val="0"/>
                <w:sz w:val="20"/>
                <w:lang w:val="en-AU"/>
              </w:rPr>
              <w:t>Work Health and Safety Regulation 2011</w:t>
            </w:r>
            <w:r w:rsidR="00A97CFA" w:rsidRPr="003F20D7">
              <w:rPr>
                <w:rFonts w:eastAsiaTheme="minorEastAsia"/>
                <w:bCs/>
                <w:color w:val="000000"/>
                <w:kern w:val="0"/>
                <w:sz w:val="20"/>
                <w:lang w:val="en-AU"/>
              </w:rPr>
              <w:t xml:space="preserve"> (Qld)</w:t>
            </w:r>
          </w:p>
        </w:tc>
      </w:tr>
      <w:tr w:rsidR="005475DE" w:rsidRPr="00DE33D3" w14:paraId="753A45EA" w14:textId="77777777" w:rsidTr="00AF16AD">
        <w:tc>
          <w:tcPr>
            <w:tcW w:w="1134" w:type="pct"/>
            <w:tcBorders>
              <w:top w:val="single" w:sz="4" w:space="0" w:color="FFFFFF" w:themeColor="background1"/>
            </w:tcBorders>
          </w:tcPr>
          <w:p w14:paraId="16643F71" w14:textId="77777777" w:rsidR="005475DE" w:rsidRPr="00DE33D3" w:rsidRDefault="005475DE">
            <w:pPr>
              <w:pStyle w:val="TableBodyText"/>
            </w:pPr>
            <w:r>
              <w:t>New South Wales</w:t>
            </w:r>
          </w:p>
        </w:tc>
        <w:tc>
          <w:tcPr>
            <w:tcW w:w="3866" w:type="pct"/>
            <w:tcBorders>
              <w:top w:val="single" w:sz="4" w:space="0" w:color="FFFFFF" w:themeColor="background1"/>
            </w:tcBorders>
          </w:tcPr>
          <w:p w14:paraId="1EE29351" w14:textId="0063DF13" w:rsidR="005475DE" w:rsidRPr="00B70A30" w:rsidRDefault="003B7F05">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Regulation 2011</w:t>
            </w:r>
            <w:r w:rsidR="00A97CFA">
              <w:rPr>
                <w:rFonts w:eastAsiaTheme="minorEastAsia"/>
                <w:bCs/>
                <w:color w:val="000000"/>
                <w:kern w:val="0"/>
                <w:sz w:val="20"/>
                <w:lang w:val="en-AU"/>
              </w:rPr>
              <w:t xml:space="preserve"> (NSW)</w:t>
            </w:r>
          </w:p>
        </w:tc>
      </w:tr>
      <w:tr w:rsidR="005475DE" w:rsidRPr="00DE33D3" w14:paraId="5AFA4EAD" w14:textId="77777777" w:rsidTr="00AF16AD">
        <w:tc>
          <w:tcPr>
            <w:tcW w:w="1134" w:type="pct"/>
          </w:tcPr>
          <w:p w14:paraId="57992AC0" w14:textId="77777777" w:rsidR="005475DE" w:rsidRPr="00DE33D3" w:rsidRDefault="005475DE">
            <w:pPr>
              <w:pStyle w:val="TableBodyText"/>
            </w:pPr>
            <w:r>
              <w:t>Australian Capital Territory</w:t>
            </w:r>
          </w:p>
        </w:tc>
        <w:tc>
          <w:tcPr>
            <w:tcW w:w="3866" w:type="pct"/>
          </w:tcPr>
          <w:p w14:paraId="2A09F49F" w14:textId="0BAEBBF9" w:rsidR="005475DE" w:rsidRPr="00B70A30" w:rsidRDefault="0004117D">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Regulation 2011</w:t>
            </w:r>
            <w:r w:rsidR="00A97CFA" w:rsidRPr="00332B2C">
              <w:rPr>
                <w:rFonts w:eastAsiaTheme="minorEastAsia"/>
                <w:bCs/>
                <w:i/>
                <w:iCs/>
                <w:color w:val="000000"/>
                <w:kern w:val="0"/>
                <w:sz w:val="20"/>
                <w:lang w:val="en-AU"/>
              </w:rPr>
              <w:t xml:space="preserve"> </w:t>
            </w:r>
            <w:r w:rsidR="00A97CFA">
              <w:rPr>
                <w:rFonts w:eastAsiaTheme="minorEastAsia"/>
                <w:bCs/>
                <w:color w:val="000000"/>
                <w:kern w:val="0"/>
                <w:sz w:val="20"/>
                <w:lang w:val="en-AU"/>
              </w:rPr>
              <w:t>(ACT</w:t>
            </w:r>
            <w:r w:rsidR="00177BB1">
              <w:rPr>
                <w:rFonts w:eastAsiaTheme="minorEastAsia"/>
                <w:bCs/>
                <w:color w:val="000000"/>
                <w:kern w:val="0"/>
                <w:sz w:val="20"/>
                <w:lang w:val="en-AU"/>
              </w:rPr>
              <w:t>)</w:t>
            </w:r>
          </w:p>
        </w:tc>
      </w:tr>
      <w:tr w:rsidR="005475DE" w:rsidRPr="00DE33D3" w14:paraId="261EEBB4" w14:textId="77777777" w:rsidTr="00AF16AD">
        <w:tc>
          <w:tcPr>
            <w:tcW w:w="1134" w:type="pct"/>
          </w:tcPr>
          <w:p w14:paraId="4FA937A9" w14:textId="77777777" w:rsidR="005475DE" w:rsidRPr="00DE33D3" w:rsidRDefault="005475DE">
            <w:pPr>
              <w:pStyle w:val="TableBodyText"/>
            </w:pPr>
            <w:r>
              <w:t>Victoria</w:t>
            </w:r>
          </w:p>
        </w:tc>
        <w:tc>
          <w:tcPr>
            <w:tcW w:w="3866" w:type="pct"/>
          </w:tcPr>
          <w:p w14:paraId="29C92F0E" w14:textId="750EFA03" w:rsidR="005475DE" w:rsidRPr="00B70A30" w:rsidRDefault="0079053C">
            <w:pPr>
              <w:pStyle w:val="Tabletext"/>
              <w:ind w:left="16" w:firstLine="0"/>
              <w:rPr>
                <w:rFonts w:eastAsiaTheme="minorEastAsia"/>
                <w:bCs/>
                <w:color w:val="000000"/>
                <w:kern w:val="0"/>
                <w:sz w:val="20"/>
                <w:lang w:val="en-AU"/>
              </w:rPr>
            </w:pPr>
            <w:r w:rsidRPr="0079053C">
              <w:rPr>
                <w:rFonts w:eastAsiaTheme="minorEastAsia"/>
                <w:bCs/>
                <w:i/>
                <w:iCs/>
                <w:color w:val="000000"/>
                <w:kern w:val="0"/>
                <w:sz w:val="20"/>
                <w:lang w:val="en-AU"/>
              </w:rPr>
              <w:t xml:space="preserve">Occupational Health and Safety Regulations 2017 </w:t>
            </w:r>
            <w:r>
              <w:rPr>
                <w:rFonts w:eastAsiaTheme="minorEastAsia"/>
                <w:bCs/>
                <w:color w:val="000000"/>
                <w:kern w:val="0"/>
                <w:sz w:val="20"/>
                <w:lang w:val="en-AU"/>
              </w:rPr>
              <w:t>(Vic)</w:t>
            </w:r>
          </w:p>
        </w:tc>
      </w:tr>
      <w:tr w:rsidR="005475DE" w:rsidRPr="00DE33D3" w14:paraId="4D6ADA43" w14:textId="77777777" w:rsidTr="00AF16AD">
        <w:tc>
          <w:tcPr>
            <w:tcW w:w="1134" w:type="pct"/>
          </w:tcPr>
          <w:p w14:paraId="0B451409" w14:textId="77777777" w:rsidR="005475DE" w:rsidRPr="00DE33D3" w:rsidRDefault="005475DE">
            <w:pPr>
              <w:pStyle w:val="TableBodyText"/>
            </w:pPr>
            <w:r>
              <w:t>Tasmania</w:t>
            </w:r>
          </w:p>
        </w:tc>
        <w:tc>
          <w:tcPr>
            <w:tcW w:w="3866" w:type="pct"/>
          </w:tcPr>
          <w:p w14:paraId="741E6739" w14:textId="28D59AA1" w:rsidR="005475DE" w:rsidRPr="00B70A30" w:rsidRDefault="0097603B">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Regulations 2022</w:t>
            </w:r>
            <w:r w:rsidR="00177BB1">
              <w:rPr>
                <w:rFonts w:eastAsiaTheme="minorEastAsia"/>
                <w:bCs/>
                <w:color w:val="000000"/>
                <w:kern w:val="0"/>
                <w:sz w:val="20"/>
                <w:lang w:val="en-AU"/>
              </w:rPr>
              <w:t xml:space="preserve"> (Tas)</w:t>
            </w:r>
          </w:p>
        </w:tc>
      </w:tr>
      <w:tr w:rsidR="005475DE" w:rsidRPr="00DE33D3" w14:paraId="1FFA4A1D" w14:textId="77777777" w:rsidTr="00AF16AD">
        <w:tc>
          <w:tcPr>
            <w:tcW w:w="1134" w:type="pct"/>
          </w:tcPr>
          <w:p w14:paraId="17440D31" w14:textId="77777777" w:rsidR="005475DE" w:rsidRPr="00DE33D3" w:rsidRDefault="005475DE">
            <w:pPr>
              <w:pStyle w:val="TableBodyText"/>
            </w:pPr>
            <w:r>
              <w:t>South Australia</w:t>
            </w:r>
          </w:p>
        </w:tc>
        <w:tc>
          <w:tcPr>
            <w:tcW w:w="3866" w:type="pct"/>
          </w:tcPr>
          <w:p w14:paraId="28BAC3E7" w14:textId="2E9DCE2C" w:rsidR="005475DE" w:rsidRPr="00B70A30" w:rsidRDefault="00177BB1">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Regulations 2012</w:t>
            </w:r>
            <w:r>
              <w:rPr>
                <w:rFonts w:eastAsiaTheme="minorEastAsia"/>
                <w:bCs/>
                <w:color w:val="000000"/>
                <w:kern w:val="0"/>
                <w:sz w:val="20"/>
                <w:lang w:val="en-AU"/>
              </w:rPr>
              <w:t xml:space="preserve"> (SA)</w:t>
            </w:r>
          </w:p>
        </w:tc>
      </w:tr>
      <w:tr w:rsidR="005475DE" w:rsidRPr="00DE33D3" w14:paraId="3902E8D2" w14:textId="77777777" w:rsidTr="00AF16AD">
        <w:tc>
          <w:tcPr>
            <w:tcW w:w="1134" w:type="pct"/>
          </w:tcPr>
          <w:p w14:paraId="5FFA022A" w14:textId="77777777" w:rsidR="005475DE" w:rsidRPr="00DE33D3" w:rsidRDefault="005475DE">
            <w:pPr>
              <w:pStyle w:val="TableBodyText"/>
            </w:pPr>
            <w:r>
              <w:t>Western Australia</w:t>
            </w:r>
          </w:p>
        </w:tc>
        <w:tc>
          <w:tcPr>
            <w:tcW w:w="3866" w:type="pct"/>
          </w:tcPr>
          <w:p w14:paraId="1531F7FA" w14:textId="2806170F" w:rsidR="005475DE" w:rsidRPr="00B70A30" w:rsidRDefault="00FD24FE">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(General) Regulations 2022</w:t>
            </w:r>
            <w:r>
              <w:rPr>
                <w:rFonts w:eastAsiaTheme="minorEastAsia"/>
                <w:bCs/>
                <w:color w:val="000000"/>
                <w:kern w:val="0"/>
                <w:sz w:val="20"/>
                <w:lang w:val="en-AU"/>
              </w:rPr>
              <w:t xml:space="preserve"> (WA)</w:t>
            </w:r>
          </w:p>
        </w:tc>
      </w:tr>
      <w:tr w:rsidR="005475DE" w:rsidRPr="00DE33D3" w14:paraId="5F05CF9D" w14:textId="77777777" w:rsidTr="00AF16AD">
        <w:tc>
          <w:tcPr>
            <w:tcW w:w="1134" w:type="pct"/>
          </w:tcPr>
          <w:p w14:paraId="3FAA8034" w14:textId="77777777" w:rsidR="005475DE" w:rsidRPr="00DE33D3" w:rsidRDefault="005475DE">
            <w:pPr>
              <w:pStyle w:val="TableBodyText"/>
            </w:pPr>
            <w:r>
              <w:t>Northern Territory</w:t>
            </w:r>
          </w:p>
        </w:tc>
        <w:tc>
          <w:tcPr>
            <w:tcW w:w="3866" w:type="pct"/>
          </w:tcPr>
          <w:p w14:paraId="0B052269" w14:textId="072CB1A7" w:rsidR="005475DE" w:rsidRPr="00B70A30" w:rsidRDefault="008E262A">
            <w:pPr>
              <w:pStyle w:val="Tabletext"/>
              <w:ind w:left="16" w:firstLine="0"/>
              <w:rPr>
                <w:rFonts w:eastAsiaTheme="minorEastAsia"/>
                <w:bCs/>
                <w:color w:val="000000"/>
                <w:kern w:val="0"/>
                <w:sz w:val="20"/>
                <w:lang w:val="en-AU"/>
              </w:rPr>
            </w:pPr>
            <w:r w:rsidRPr="00332B2C">
              <w:rPr>
                <w:rFonts w:eastAsiaTheme="minorEastAsia"/>
                <w:bCs/>
                <w:i/>
                <w:iCs/>
                <w:color w:val="000000"/>
                <w:kern w:val="0"/>
                <w:sz w:val="20"/>
                <w:lang w:val="en-AU"/>
              </w:rPr>
              <w:t>Work Health and Safety (National Uniform Legislation) Regulations 2011</w:t>
            </w:r>
            <w:r w:rsidR="00332B2C">
              <w:rPr>
                <w:rFonts w:eastAsiaTheme="minorEastAsia"/>
                <w:bCs/>
                <w:i/>
                <w:iCs/>
                <w:color w:val="000000"/>
                <w:kern w:val="0"/>
                <w:sz w:val="20"/>
                <w:lang w:val="en-AU"/>
              </w:rPr>
              <w:t xml:space="preserve"> </w:t>
            </w:r>
            <w:r w:rsidR="00332B2C">
              <w:rPr>
                <w:rFonts w:eastAsiaTheme="minorEastAsia"/>
                <w:bCs/>
                <w:color w:val="000000"/>
                <w:kern w:val="0"/>
                <w:sz w:val="20"/>
                <w:lang w:val="en-AU"/>
              </w:rPr>
              <w:t>(NT)</w:t>
            </w:r>
          </w:p>
        </w:tc>
      </w:tr>
    </w:tbl>
    <w:p w14:paraId="4B112C13" w14:textId="3443A9DD" w:rsidR="005475DE" w:rsidRDefault="000F2527" w:rsidP="00A46112">
      <w:pPr>
        <w:pStyle w:val="Notes"/>
        <w:ind w:left="567"/>
      </w:pPr>
      <w:r w:rsidRPr="00923B03">
        <w:t xml:space="preserve">Note: Other regulations may be </w:t>
      </w:r>
      <w:r w:rsidR="00BE55D2" w:rsidRPr="00923B03">
        <w:t>issued pursuant to the legislation, but are not listed here</w:t>
      </w:r>
      <w:r w:rsidR="00AB348B">
        <w:t>,</w:t>
      </w:r>
      <w:r w:rsidR="00946F53" w:rsidRPr="00923B03">
        <w:t xml:space="preserve"> such as </w:t>
      </w:r>
      <w:r w:rsidR="003B030C">
        <w:t xml:space="preserve">working in mines or </w:t>
      </w:r>
      <w:r w:rsidR="0079356B">
        <w:t xml:space="preserve">for </w:t>
      </w:r>
      <w:r w:rsidR="003B030C">
        <w:t>the transportation of dangerous goods</w:t>
      </w:r>
      <w:r w:rsidR="00946F53" w:rsidRPr="00923B03">
        <w:t>.</w:t>
      </w:r>
    </w:p>
    <w:p w14:paraId="02D1B4AA" w14:textId="77777777" w:rsidR="00365230" w:rsidRDefault="00365230">
      <w:pPr>
        <w:rPr>
          <w:rFonts w:ascii="Arial" w:eastAsia="Arial" w:hAnsi="Arial" w:cs="Arial"/>
          <w:b/>
          <w:bCs/>
          <w:sz w:val="18"/>
          <w:szCs w:val="18"/>
          <w:lang w:eastAsia="en-AU"/>
        </w:rPr>
      </w:pPr>
      <w:bookmarkStart w:id="124" w:name="_Ref149214128"/>
      <w:r>
        <w:br w:type="page"/>
      </w:r>
    </w:p>
    <w:p w14:paraId="2F4BEC0F" w14:textId="1AC49696" w:rsidR="00082667" w:rsidRPr="00082667" w:rsidRDefault="008C6DD7" w:rsidP="008C6DD7">
      <w:pPr>
        <w:pStyle w:val="Caption"/>
        <w:rPr>
          <w:b w:val="0"/>
          <w:bCs w:val="0"/>
        </w:rPr>
      </w:pPr>
      <w:r>
        <w:lastRenderedPageBreak/>
        <w:t>Table B.</w:t>
      </w:r>
      <w:r>
        <w:fldChar w:fldCharType="begin"/>
      </w:r>
      <w:r>
        <w:instrText xml:space="preserve"> SEQ Table_B. \* ARABIC </w:instrText>
      </w:r>
      <w:r>
        <w:fldChar w:fldCharType="separate"/>
      </w:r>
      <w:r>
        <w:rPr>
          <w:noProof/>
        </w:rPr>
        <w:t>3</w:t>
      </w:r>
      <w:r>
        <w:fldChar w:fldCharType="end"/>
      </w:r>
      <w:bookmarkEnd w:id="124"/>
    </w:p>
    <w:tbl>
      <w:tblPr>
        <w:tblStyle w:val="TMTable"/>
        <w:tblW w:w="4715" w:type="pct"/>
        <w:tblInd w:w="561" w:type="dxa"/>
        <w:tblLook w:val="04A0" w:firstRow="1" w:lastRow="0" w:firstColumn="1" w:lastColumn="0" w:noHBand="0" w:noVBand="1"/>
      </w:tblPr>
      <w:tblGrid>
        <w:gridCol w:w="2030"/>
        <w:gridCol w:w="6919"/>
      </w:tblGrid>
      <w:tr w:rsidR="003D2D81" w:rsidRPr="00DE33D3" w14:paraId="142B8176" w14:textId="77777777" w:rsidTr="00AA7B71">
        <w:trPr>
          <w:cnfStyle w:val="100000000000" w:firstRow="1" w:lastRow="0" w:firstColumn="0" w:lastColumn="0" w:oddVBand="0" w:evenVBand="0" w:oddHBand="0" w:evenHBand="0" w:firstRowFirstColumn="0" w:firstRowLastColumn="0" w:lastRowFirstColumn="0" w:lastRowLastColumn="0"/>
          <w:cantSplit/>
        </w:trPr>
        <w:tc>
          <w:tcPr>
            <w:tcW w:w="1134" w:type="pct"/>
            <w:tcBorders>
              <w:bottom w:val="single" w:sz="4" w:space="0" w:color="FFFFFF" w:themeColor="background1"/>
              <w:right w:val="single" w:sz="4" w:space="0" w:color="FFFFFF" w:themeColor="background1"/>
            </w:tcBorders>
          </w:tcPr>
          <w:p w14:paraId="3C338BBC" w14:textId="77777777" w:rsidR="003D2D81" w:rsidRPr="00A3451D" w:rsidRDefault="003D2D81" w:rsidP="00AB76B1">
            <w:pPr>
              <w:pStyle w:val="TableHeading"/>
              <w:jc w:val="center"/>
              <w:rPr>
                <w:b w:val="0"/>
                <w:bCs/>
              </w:rPr>
            </w:pPr>
            <w:r w:rsidRPr="00A3451D">
              <w:rPr>
                <w:bCs/>
              </w:rPr>
              <w:t>Jurisdiction</w:t>
            </w:r>
          </w:p>
        </w:tc>
        <w:tc>
          <w:tcPr>
            <w:tcW w:w="3866" w:type="pct"/>
            <w:tcBorders>
              <w:left w:val="single" w:sz="4" w:space="0" w:color="FFFFFF" w:themeColor="background1"/>
              <w:bottom w:val="single" w:sz="4" w:space="0" w:color="FFFFFF" w:themeColor="background1"/>
            </w:tcBorders>
          </w:tcPr>
          <w:p w14:paraId="2084728E" w14:textId="67AF5BF7" w:rsidR="003D2D81" w:rsidRPr="00A3451D" w:rsidRDefault="006513B8" w:rsidP="00AB76B1">
            <w:pPr>
              <w:pStyle w:val="TableHeading"/>
              <w:jc w:val="center"/>
              <w:rPr>
                <w:b w:val="0"/>
                <w:bCs/>
              </w:rPr>
            </w:pPr>
            <w:r>
              <w:rPr>
                <w:bCs/>
              </w:rPr>
              <w:t>WHS</w:t>
            </w:r>
            <w:r w:rsidR="00A3451D" w:rsidRPr="00A3451D">
              <w:rPr>
                <w:bCs/>
              </w:rPr>
              <w:t xml:space="preserve"> </w:t>
            </w:r>
            <w:r w:rsidR="00F97541">
              <w:rPr>
                <w:bCs/>
              </w:rPr>
              <w:t>Regulator</w:t>
            </w:r>
          </w:p>
        </w:tc>
      </w:tr>
      <w:tr w:rsidR="003D2D81" w:rsidRPr="00DE33D3" w14:paraId="102571C4" w14:textId="77777777" w:rsidTr="00AA7B71">
        <w:trPr>
          <w:cantSplit/>
        </w:trPr>
        <w:tc>
          <w:tcPr>
            <w:tcW w:w="1134" w:type="pct"/>
            <w:tcBorders>
              <w:bottom w:val="single" w:sz="4" w:space="0" w:color="FFFFFF" w:themeColor="background1"/>
            </w:tcBorders>
          </w:tcPr>
          <w:p w14:paraId="64125778" w14:textId="77777777" w:rsidR="003D2D81" w:rsidRPr="00DE33D3" w:rsidRDefault="003D2D81">
            <w:pPr>
              <w:pStyle w:val="TableBodyText"/>
            </w:pPr>
            <w:r>
              <w:t>Queensland</w:t>
            </w:r>
          </w:p>
        </w:tc>
        <w:tc>
          <w:tcPr>
            <w:tcW w:w="3866" w:type="pct"/>
            <w:tcBorders>
              <w:bottom w:val="single" w:sz="4" w:space="0" w:color="FFFFFF" w:themeColor="background1"/>
            </w:tcBorders>
          </w:tcPr>
          <w:p w14:paraId="2EB27B00" w14:textId="77CC3F9D" w:rsidR="003D2D81" w:rsidRPr="00B70A30" w:rsidRDefault="00A3451D">
            <w:pPr>
              <w:pStyle w:val="Tabletext"/>
              <w:ind w:left="16" w:firstLine="0"/>
              <w:rPr>
                <w:rFonts w:eastAsiaTheme="minorEastAsia"/>
                <w:bCs/>
                <w:color w:val="000000"/>
                <w:kern w:val="0"/>
                <w:sz w:val="20"/>
                <w:lang w:val="en-AU"/>
              </w:rPr>
            </w:pPr>
            <w:r w:rsidRPr="00A3451D">
              <w:rPr>
                <w:rFonts w:eastAsiaTheme="minorEastAsia"/>
                <w:bCs/>
                <w:color w:val="000000"/>
                <w:kern w:val="0"/>
                <w:sz w:val="20"/>
                <w:lang w:val="en-AU"/>
              </w:rPr>
              <w:t>Workplace Health and Safety Queensland</w:t>
            </w:r>
          </w:p>
        </w:tc>
      </w:tr>
      <w:tr w:rsidR="003D2D81" w:rsidRPr="00DE33D3" w14:paraId="5F356159" w14:textId="77777777" w:rsidTr="00AA7B71">
        <w:trPr>
          <w:cantSplit/>
        </w:trPr>
        <w:tc>
          <w:tcPr>
            <w:tcW w:w="1134" w:type="pct"/>
            <w:tcBorders>
              <w:bottom w:val="single" w:sz="4" w:space="0" w:color="FFFFFF" w:themeColor="background1"/>
            </w:tcBorders>
          </w:tcPr>
          <w:p w14:paraId="078A199D" w14:textId="77777777" w:rsidR="003D2D81" w:rsidRPr="00DE33D3" w:rsidRDefault="003D2D81">
            <w:pPr>
              <w:pStyle w:val="TableBodyText"/>
            </w:pPr>
            <w:r>
              <w:t>New South Wales</w:t>
            </w:r>
          </w:p>
        </w:tc>
        <w:tc>
          <w:tcPr>
            <w:tcW w:w="3866" w:type="pct"/>
            <w:tcBorders>
              <w:bottom w:val="single" w:sz="4" w:space="0" w:color="FFFFFF" w:themeColor="background1"/>
            </w:tcBorders>
          </w:tcPr>
          <w:p w14:paraId="5805525B" w14:textId="276516D4" w:rsidR="003D2D81" w:rsidRPr="00B70A30" w:rsidRDefault="00237068">
            <w:pPr>
              <w:pStyle w:val="Tabletext"/>
              <w:ind w:left="16" w:firstLine="0"/>
              <w:rPr>
                <w:rFonts w:eastAsiaTheme="minorEastAsia"/>
                <w:bCs/>
                <w:color w:val="000000"/>
                <w:kern w:val="0"/>
                <w:sz w:val="20"/>
                <w:lang w:val="en-AU"/>
              </w:rPr>
            </w:pPr>
            <w:r>
              <w:rPr>
                <w:rFonts w:eastAsiaTheme="minorEastAsia"/>
                <w:bCs/>
                <w:color w:val="000000"/>
                <w:kern w:val="0"/>
                <w:sz w:val="20"/>
                <w:lang w:val="en-AU"/>
              </w:rPr>
              <w:t>Safe</w:t>
            </w:r>
            <w:r w:rsidR="00CE19E2">
              <w:rPr>
                <w:rFonts w:eastAsiaTheme="minorEastAsia"/>
                <w:bCs/>
                <w:color w:val="000000"/>
                <w:kern w:val="0"/>
                <w:sz w:val="20"/>
                <w:lang w:val="en-AU"/>
              </w:rPr>
              <w:t>W</w:t>
            </w:r>
            <w:r w:rsidR="00F97541">
              <w:rPr>
                <w:rFonts w:eastAsiaTheme="minorEastAsia"/>
                <w:bCs/>
                <w:color w:val="000000"/>
                <w:kern w:val="0"/>
                <w:sz w:val="20"/>
                <w:lang w:val="en-AU"/>
              </w:rPr>
              <w:t>ork NSW</w:t>
            </w:r>
          </w:p>
        </w:tc>
      </w:tr>
      <w:tr w:rsidR="003D2D81" w:rsidRPr="00DE33D3" w14:paraId="1567E5AC" w14:textId="77777777" w:rsidTr="00AA7B71">
        <w:trPr>
          <w:cantSplit/>
        </w:trPr>
        <w:tc>
          <w:tcPr>
            <w:tcW w:w="1134" w:type="pct"/>
            <w:tcBorders>
              <w:bottom w:val="single" w:sz="4" w:space="0" w:color="FFFFFF" w:themeColor="background1"/>
            </w:tcBorders>
          </w:tcPr>
          <w:p w14:paraId="1DE46994" w14:textId="77777777" w:rsidR="003D2D81" w:rsidRPr="00DE33D3" w:rsidRDefault="003D2D81">
            <w:pPr>
              <w:pStyle w:val="TableBodyText"/>
            </w:pPr>
            <w:r>
              <w:t>Australian Capital Territory</w:t>
            </w:r>
          </w:p>
        </w:tc>
        <w:tc>
          <w:tcPr>
            <w:tcW w:w="3866" w:type="pct"/>
            <w:tcBorders>
              <w:bottom w:val="single" w:sz="4" w:space="0" w:color="FFFFFF" w:themeColor="background1"/>
            </w:tcBorders>
          </w:tcPr>
          <w:p w14:paraId="5EB308DD" w14:textId="18ACDC2D" w:rsidR="003D2D81" w:rsidRPr="00B70A30" w:rsidRDefault="004D7DF2">
            <w:pPr>
              <w:pStyle w:val="Tabletext"/>
              <w:ind w:left="16" w:firstLine="0"/>
              <w:rPr>
                <w:rFonts w:eastAsiaTheme="minorEastAsia"/>
                <w:bCs/>
                <w:color w:val="000000"/>
                <w:kern w:val="0"/>
                <w:sz w:val="20"/>
                <w:lang w:val="en-AU"/>
              </w:rPr>
            </w:pPr>
            <w:r w:rsidRPr="004D7DF2">
              <w:rPr>
                <w:rFonts w:eastAsiaTheme="minorEastAsia"/>
                <w:bCs/>
                <w:color w:val="000000"/>
                <w:kern w:val="0"/>
                <w:sz w:val="20"/>
                <w:lang w:val="en-AU"/>
              </w:rPr>
              <w:t>WorkSafe ACT</w:t>
            </w:r>
          </w:p>
        </w:tc>
      </w:tr>
      <w:tr w:rsidR="003D2D81" w:rsidRPr="00DE33D3" w14:paraId="16BCCB3C" w14:textId="77777777" w:rsidTr="00AA7B71">
        <w:trPr>
          <w:cantSplit/>
        </w:trPr>
        <w:tc>
          <w:tcPr>
            <w:tcW w:w="1134" w:type="pct"/>
            <w:tcBorders>
              <w:top w:val="single" w:sz="4" w:space="0" w:color="FFFFFF" w:themeColor="background1"/>
            </w:tcBorders>
          </w:tcPr>
          <w:p w14:paraId="4DE2B3BA" w14:textId="77777777" w:rsidR="003D2D81" w:rsidRPr="00DE33D3" w:rsidRDefault="003D2D81">
            <w:pPr>
              <w:pStyle w:val="TableBodyText"/>
            </w:pPr>
            <w:r>
              <w:t>Victoria</w:t>
            </w:r>
          </w:p>
        </w:tc>
        <w:tc>
          <w:tcPr>
            <w:tcW w:w="3866" w:type="pct"/>
            <w:tcBorders>
              <w:top w:val="single" w:sz="4" w:space="0" w:color="FFFFFF" w:themeColor="background1"/>
            </w:tcBorders>
          </w:tcPr>
          <w:p w14:paraId="0D15C1E9" w14:textId="088FC8C6" w:rsidR="003D2D81" w:rsidRPr="00B70A30" w:rsidRDefault="00915046">
            <w:pPr>
              <w:pStyle w:val="Tabletext"/>
              <w:ind w:left="16" w:firstLine="0"/>
              <w:rPr>
                <w:rFonts w:eastAsiaTheme="minorEastAsia"/>
                <w:bCs/>
                <w:color w:val="000000"/>
                <w:kern w:val="0"/>
                <w:sz w:val="20"/>
                <w:lang w:val="en-AU"/>
              </w:rPr>
            </w:pPr>
            <w:r>
              <w:rPr>
                <w:rFonts w:eastAsiaTheme="minorEastAsia"/>
                <w:bCs/>
                <w:color w:val="000000"/>
                <w:kern w:val="0"/>
                <w:sz w:val="20"/>
                <w:lang w:val="en-AU"/>
              </w:rPr>
              <w:t>Work</w:t>
            </w:r>
            <w:r w:rsidR="00CE434C">
              <w:rPr>
                <w:rFonts w:eastAsiaTheme="minorEastAsia"/>
                <w:bCs/>
                <w:color w:val="000000"/>
                <w:kern w:val="0"/>
                <w:sz w:val="20"/>
                <w:lang w:val="en-AU"/>
              </w:rPr>
              <w:t>S</w:t>
            </w:r>
            <w:r>
              <w:rPr>
                <w:rFonts w:eastAsiaTheme="minorEastAsia"/>
                <w:bCs/>
                <w:color w:val="000000"/>
                <w:kern w:val="0"/>
                <w:sz w:val="20"/>
                <w:lang w:val="en-AU"/>
              </w:rPr>
              <w:t>afe Victoria</w:t>
            </w:r>
          </w:p>
        </w:tc>
      </w:tr>
      <w:tr w:rsidR="003D2D81" w:rsidRPr="00DE33D3" w14:paraId="2DB176CD" w14:textId="77777777" w:rsidTr="00AA7B71">
        <w:trPr>
          <w:cantSplit/>
        </w:trPr>
        <w:tc>
          <w:tcPr>
            <w:tcW w:w="1134" w:type="pct"/>
          </w:tcPr>
          <w:p w14:paraId="63CD6A20" w14:textId="77777777" w:rsidR="003D2D81" w:rsidRPr="00DE33D3" w:rsidRDefault="003D2D81">
            <w:pPr>
              <w:pStyle w:val="TableBodyText"/>
            </w:pPr>
            <w:r>
              <w:t>Tasmania</w:t>
            </w:r>
          </w:p>
        </w:tc>
        <w:tc>
          <w:tcPr>
            <w:tcW w:w="3866" w:type="pct"/>
          </w:tcPr>
          <w:p w14:paraId="5A6D49B4" w14:textId="26D0CDF1" w:rsidR="003D2D81" w:rsidRPr="00B70A30" w:rsidRDefault="007532B2">
            <w:pPr>
              <w:pStyle w:val="Tabletext"/>
              <w:ind w:left="16" w:firstLine="0"/>
              <w:rPr>
                <w:rFonts w:eastAsiaTheme="minorEastAsia"/>
                <w:bCs/>
                <w:color w:val="000000"/>
                <w:kern w:val="0"/>
                <w:sz w:val="20"/>
                <w:lang w:val="en-AU"/>
              </w:rPr>
            </w:pPr>
            <w:r w:rsidRPr="007532B2">
              <w:rPr>
                <w:rFonts w:eastAsiaTheme="minorEastAsia"/>
                <w:bCs/>
                <w:color w:val="000000"/>
                <w:kern w:val="0"/>
                <w:sz w:val="20"/>
                <w:lang w:val="en-AU"/>
              </w:rPr>
              <w:t>WorkSafe Tasmania</w:t>
            </w:r>
          </w:p>
        </w:tc>
      </w:tr>
      <w:tr w:rsidR="003D2D81" w:rsidRPr="00DE33D3" w14:paraId="05D2DF7C" w14:textId="77777777" w:rsidTr="00AA7B71">
        <w:trPr>
          <w:cantSplit/>
        </w:trPr>
        <w:tc>
          <w:tcPr>
            <w:tcW w:w="1134" w:type="pct"/>
          </w:tcPr>
          <w:p w14:paraId="0C276C58" w14:textId="77777777" w:rsidR="003D2D81" w:rsidRPr="00DE33D3" w:rsidRDefault="003D2D81">
            <w:pPr>
              <w:pStyle w:val="TableBodyText"/>
            </w:pPr>
            <w:r>
              <w:t>South Australia</w:t>
            </w:r>
          </w:p>
        </w:tc>
        <w:tc>
          <w:tcPr>
            <w:tcW w:w="3866" w:type="pct"/>
          </w:tcPr>
          <w:p w14:paraId="5F742596" w14:textId="068A6B9B" w:rsidR="003D2D81" w:rsidRPr="00B70A30" w:rsidRDefault="00D64297">
            <w:pPr>
              <w:pStyle w:val="Tabletext"/>
              <w:ind w:left="16" w:firstLine="0"/>
              <w:rPr>
                <w:rFonts w:eastAsiaTheme="minorEastAsia"/>
                <w:bCs/>
                <w:color w:val="000000"/>
                <w:kern w:val="0"/>
                <w:sz w:val="20"/>
                <w:lang w:val="en-AU"/>
              </w:rPr>
            </w:pPr>
            <w:r w:rsidRPr="00D64297">
              <w:rPr>
                <w:rFonts w:eastAsiaTheme="minorEastAsia"/>
                <w:bCs/>
                <w:color w:val="000000"/>
                <w:kern w:val="0"/>
                <w:sz w:val="20"/>
                <w:lang w:val="en-AU"/>
              </w:rPr>
              <w:t>SafeWork SA</w:t>
            </w:r>
          </w:p>
        </w:tc>
      </w:tr>
      <w:tr w:rsidR="003D2D81" w:rsidRPr="00DE33D3" w14:paraId="3D8DD507" w14:textId="77777777" w:rsidTr="00AA7B71">
        <w:trPr>
          <w:cantSplit/>
        </w:trPr>
        <w:tc>
          <w:tcPr>
            <w:tcW w:w="1134" w:type="pct"/>
          </w:tcPr>
          <w:p w14:paraId="05D4526B" w14:textId="77777777" w:rsidR="003D2D81" w:rsidRPr="00DE33D3" w:rsidRDefault="003D2D81">
            <w:pPr>
              <w:pStyle w:val="TableBodyText"/>
            </w:pPr>
            <w:r>
              <w:t>Western Australia</w:t>
            </w:r>
          </w:p>
        </w:tc>
        <w:tc>
          <w:tcPr>
            <w:tcW w:w="3866" w:type="pct"/>
          </w:tcPr>
          <w:p w14:paraId="3D6A9974" w14:textId="04D309A7" w:rsidR="003D2D81" w:rsidRPr="00B70A30" w:rsidRDefault="00C42E8D">
            <w:pPr>
              <w:pStyle w:val="Tabletext"/>
              <w:ind w:left="16" w:firstLine="0"/>
              <w:rPr>
                <w:rFonts w:eastAsiaTheme="minorEastAsia"/>
                <w:bCs/>
                <w:color w:val="000000"/>
                <w:kern w:val="0"/>
                <w:sz w:val="20"/>
                <w:lang w:val="en-AU"/>
              </w:rPr>
            </w:pPr>
            <w:r w:rsidRPr="00C42E8D">
              <w:rPr>
                <w:rFonts w:eastAsiaTheme="minorEastAsia"/>
                <w:bCs/>
                <w:color w:val="000000"/>
                <w:kern w:val="0"/>
                <w:sz w:val="20"/>
                <w:lang w:val="en-AU"/>
              </w:rPr>
              <w:t>WorkSafe</w:t>
            </w:r>
            <w:r w:rsidR="00381D4B">
              <w:rPr>
                <w:rFonts w:eastAsiaTheme="minorEastAsia"/>
                <w:bCs/>
                <w:color w:val="000000"/>
                <w:kern w:val="0"/>
                <w:sz w:val="20"/>
                <w:lang w:val="en-AU"/>
              </w:rPr>
              <w:t xml:space="preserve"> WA</w:t>
            </w:r>
          </w:p>
        </w:tc>
      </w:tr>
      <w:tr w:rsidR="003D2D81" w:rsidRPr="00DE33D3" w14:paraId="0A305375" w14:textId="77777777" w:rsidTr="00AA7B71">
        <w:trPr>
          <w:cantSplit/>
        </w:trPr>
        <w:tc>
          <w:tcPr>
            <w:tcW w:w="1134" w:type="pct"/>
          </w:tcPr>
          <w:p w14:paraId="053237E0" w14:textId="77777777" w:rsidR="003D2D81" w:rsidRPr="00DE33D3" w:rsidRDefault="003D2D81">
            <w:pPr>
              <w:pStyle w:val="TableBodyText"/>
            </w:pPr>
            <w:r>
              <w:t>Northern Territory</w:t>
            </w:r>
          </w:p>
        </w:tc>
        <w:tc>
          <w:tcPr>
            <w:tcW w:w="3866" w:type="pct"/>
          </w:tcPr>
          <w:p w14:paraId="7296470B" w14:textId="0B3103D8" w:rsidR="003D2D81" w:rsidRPr="00B70A30" w:rsidRDefault="006755AB">
            <w:pPr>
              <w:pStyle w:val="Tabletext"/>
              <w:ind w:left="16" w:firstLine="0"/>
              <w:rPr>
                <w:rFonts w:eastAsiaTheme="minorEastAsia"/>
                <w:bCs/>
                <w:color w:val="000000"/>
                <w:kern w:val="0"/>
                <w:sz w:val="20"/>
                <w:lang w:val="en-AU"/>
              </w:rPr>
            </w:pPr>
            <w:r w:rsidRPr="006755AB">
              <w:rPr>
                <w:rFonts w:eastAsiaTheme="minorEastAsia"/>
                <w:bCs/>
                <w:color w:val="000000"/>
                <w:kern w:val="0"/>
                <w:sz w:val="20"/>
                <w:lang w:val="en-AU"/>
              </w:rPr>
              <w:t>NT WorkSafe</w:t>
            </w:r>
          </w:p>
        </w:tc>
      </w:tr>
    </w:tbl>
    <w:p w14:paraId="5329DADF" w14:textId="424F66D0" w:rsidR="00B019EA" w:rsidRPr="00DE33D3" w:rsidRDefault="00B019EA" w:rsidP="00FB25E2">
      <w:pPr>
        <w:pStyle w:val="AnnexureHeading"/>
        <w:ind w:left="1843" w:hanging="1843"/>
      </w:pPr>
      <w:bookmarkStart w:id="125" w:name="_Toc134517081"/>
      <w:bookmarkStart w:id="126" w:name="_Toc148520760"/>
      <w:bookmarkStart w:id="127" w:name="_Toc149574700"/>
      <w:r w:rsidRPr="00DE33D3">
        <w:lastRenderedPageBreak/>
        <w:t xml:space="preserve">Annexure </w:t>
      </w:r>
      <w:r w:rsidR="003176CF">
        <w:t>C</w:t>
      </w:r>
      <w:r w:rsidRPr="00DE33D3">
        <w:t>:</w:t>
      </w:r>
      <w:r w:rsidRPr="00DE33D3">
        <w:tab/>
      </w:r>
      <w:r w:rsidR="003176CF" w:rsidRPr="003176CF">
        <w:t>Heavy Vehicle National Law</w:t>
      </w:r>
      <w:bookmarkEnd w:id="125"/>
      <w:bookmarkEnd w:id="126"/>
      <w:bookmarkEnd w:id="127"/>
    </w:p>
    <w:p w14:paraId="07BE7A9A" w14:textId="526FDDE7" w:rsidR="00B019EA" w:rsidRDefault="00B019EA" w:rsidP="00B019EA">
      <w:pPr>
        <w:pStyle w:val="BodyText"/>
      </w:pPr>
      <w:r w:rsidRPr="00DE33D3">
        <w:t xml:space="preserve">The </w:t>
      </w:r>
      <w:r w:rsidR="00A942BC" w:rsidRPr="00A942BC">
        <w:t>Heavy Vehicle National Law</w:t>
      </w:r>
      <w:r>
        <w:t xml:space="preserve"> includes the legislation and regulations listed in </w:t>
      </w:r>
      <w:r w:rsidR="0098118F">
        <w:fldChar w:fldCharType="begin"/>
      </w:r>
      <w:r w:rsidR="0098118F">
        <w:instrText xml:space="preserve"> REF _Ref149215063 \h </w:instrText>
      </w:r>
      <w:r w:rsidR="0098118F">
        <w:fldChar w:fldCharType="separate"/>
      </w:r>
      <w:r w:rsidR="0098118F">
        <w:t>Table C.</w:t>
      </w:r>
      <w:r w:rsidR="0098118F">
        <w:rPr>
          <w:noProof/>
        </w:rPr>
        <w:t>1</w:t>
      </w:r>
      <w:r w:rsidR="0098118F">
        <w:fldChar w:fldCharType="end"/>
      </w:r>
      <w:r>
        <w:t xml:space="preserve"> which are applicable in the jurisdiction where the work is being carried out.</w:t>
      </w:r>
    </w:p>
    <w:p w14:paraId="3815D9BB" w14:textId="121467DB" w:rsidR="00D73FD1" w:rsidRDefault="00D73FD1" w:rsidP="00D73FD1">
      <w:pPr>
        <w:pStyle w:val="Caption"/>
      </w:pPr>
      <w:bookmarkStart w:id="128" w:name="_Ref149215063"/>
      <w:r>
        <w:t>Table C.</w:t>
      </w:r>
      <w:r>
        <w:fldChar w:fldCharType="begin"/>
      </w:r>
      <w:r>
        <w:instrText xml:space="preserve"> SEQ Table_C. \* ARABIC </w:instrText>
      </w:r>
      <w:r>
        <w:fldChar w:fldCharType="separate"/>
      </w:r>
      <w:r>
        <w:rPr>
          <w:noProof/>
        </w:rPr>
        <w:t>1</w:t>
      </w:r>
      <w:r>
        <w:fldChar w:fldCharType="end"/>
      </w:r>
      <w:bookmarkEnd w:id="128"/>
    </w:p>
    <w:tbl>
      <w:tblPr>
        <w:tblStyle w:val="TMTable"/>
        <w:tblW w:w="4715" w:type="pct"/>
        <w:tblInd w:w="561" w:type="dxa"/>
        <w:tblLook w:val="04A0" w:firstRow="1" w:lastRow="0" w:firstColumn="1" w:lastColumn="0" w:noHBand="0" w:noVBand="1"/>
      </w:tblPr>
      <w:tblGrid>
        <w:gridCol w:w="1930"/>
        <w:gridCol w:w="3521"/>
        <w:gridCol w:w="3517"/>
      </w:tblGrid>
      <w:tr w:rsidR="00F94D88" w:rsidRPr="00463D42" w14:paraId="628577A9" w14:textId="57CF6879" w:rsidTr="00C671B6">
        <w:trPr>
          <w:cnfStyle w:val="100000000000" w:firstRow="1" w:lastRow="0" w:firstColumn="0" w:lastColumn="0" w:oddVBand="0" w:evenVBand="0" w:oddHBand="0" w:evenHBand="0" w:firstRowFirstColumn="0" w:firstRowLastColumn="0" w:lastRowFirstColumn="0" w:lastRowLastColumn="0"/>
        </w:trPr>
        <w:tc>
          <w:tcPr>
            <w:tcW w:w="1076" w:type="pct"/>
            <w:tcBorders>
              <w:top w:val="nil"/>
              <w:left w:val="nil"/>
              <w:bottom w:val="single" w:sz="4" w:space="0" w:color="FFFFFF" w:themeColor="background1"/>
              <w:right w:val="single" w:sz="4" w:space="0" w:color="FFFFFF" w:themeColor="background1"/>
            </w:tcBorders>
          </w:tcPr>
          <w:p w14:paraId="2E1D31A6" w14:textId="77777777" w:rsidR="00F94D88" w:rsidRPr="00463D42" w:rsidRDefault="00F94D88">
            <w:pPr>
              <w:pStyle w:val="TableHeading"/>
              <w:jc w:val="center"/>
              <w:rPr>
                <w:b w:val="0"/>
                <w:bCs/>
              </w:rPr>
            </w:pPr>
            <w:r w:rsidRPr="00463D42">
              <w:rPr>
                <w:bCs/>
              </w:rPr>
              <w:t>Jurisdiction</w:t>
            </w:r>
          </w:p>
        </w:tc>
        <w:tc>
          <w:tcPr>
            <w:tcW w:w="1963" w:type="pct"/>
            <w:tcBorders>
              <w:top w:val="nil"/>
              <w:left w:val="single" w:sz="4" w:space="0" w:color="FFFFFF" w:themeColor="background1"/>
              <w:bottom w:val="single" w:sz="4" w:space="0" w:color="FFFFFF" w:themeColor="background1"/>
              <w:right w:val="single" w:sz="4" w:space="0" w:color="FFFFFF" w:themeColor="background1"/>
            </w:tcBorders>
          </w:tcPr>
          <w:p w14:paraId="31068768" w14:textId="77777777" w:rsidR="00F94D88" w:rsidRPr="00463D42" w:rsidRDefault="00F94D88">
            <w:pPr>
              <w:pStyle w:val="TableHeading"/>
              <w:jc w:val="center"/>
              <w:rPr>
                <w:b w:val="0"/>
                <w:bCs/>
              </w:rPr>
            </w:pPr>
            <w:r w:rsidRPr="00463D42">
              <w:rPr>
                <w:bCs/>
              </w:rPr>
              <w:t>Enabling Legislation</w:t>
            </w:r>
          </w:p>
        </w:tc>
        <w:tc>
          <w:tcPr>
            <w:tcW w:w="1961" w:type="pct"/>
            <w:tcBorders>
              <w:top w:val="nil"/>
              <w:left w:val="single" w:sz="4" w:space="0" w:color="FFFFFF" w:themeColor="background1"/>
              <w:bottom w:val="single" w:sz="4" w:space="0" w:color="FFFFFF" w:themeColor="background1"/>
              <w:right w:val="nil"/>
            </w:tcBorders>
          </w:tcPr>
          <w:p w14:paraId="4AE7CF56" w14:textId="37508978" w:rsidR="00F94D88" w:rsidRPr="00463D42" w:rsidRDefault="00F462FC">
            <w:pPr>
              <w:pStyle w:val="TableHeading"/>
              <w:jc w:val="center"/>
              <w:rPr>
                <w:b w:val="0"/>
                <w:bCs/>
              </w:rPr>
            </w:pPr>
            <w:r>
              <w:rPr>
                <w:bCs/>
              </w:rPr>
              <w:t>Regulations</w:t>
            </w:r>
          </w:p>
        </w:tc>
      </w:tr>
      <w:tr w:rsidR="00F94D88" w:rsidRPr="00DE33D3" w14:paraId="4D5CE8A2" w14:textId="4AB7ADCF" w:rsidTr="00C671B6">
        <w:tc>
          <w:tcPr>
            <w:tcW w:w="1076" w:type="pct"/>
            <w:tcBorders>
              <w:top w:val="single" w:sz="4" w:space="0" w:color="FFFFFF" w:themeColor="background1"/>
              <w:left w:val="nil"/>
              <w:bottom w:val="single" w:sz="4" w:space="0" w:color="FFFFFF" w:themeColor="background1"/>
              <w:right w:val="single" w:sz="4" w:space="0" w:color="FFFFFF" w:themeColor="background1"/>
            </w:tcBorders>
          </w:tcPr>
          <w:p w14:paraId="354C6C8B" w14:textId="77777777" w:rsidR="00F94D88" w:rsidRPr="00DE33D3" w:rsidRDefault="00F94D88" w:rsidP="00574836">
            <w:pPr>
              <w:pStyle w:val="TableBodyText"/>
            </w:pPr>
            <w:r>
              <w:t>Queensland</w:t>
            </w:r>
          </w:p>
        </w:tc>
        <w:tc>
          <w:tcPr>
            <w:tcW w:w="19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ECE012" w14:textId="0A81D7FA" w:rsidR="00F94D88" w:rsidRPr="00F462FC" w:rsidRDefault="00A56260" w:rsidP="00574836">
            <w:pPr>
              <w:pStyle w:val="TableBodyText"/>
            </w:pPr>
            <w:hyperlink r:id="rId12" w:tgtFrame="_blank" w:history="1">
              <w:r w:rsidR="00725522" w:rsidRPr="00562A20">
                <w:rPr>
                  <w:i/>
                  <w:iCs/>
                </w:rPr>
                <w:t>Heavy Vehicle National Law Act 2</w:t>
              </w:r>
              <w:r w:rsidR="00725522" w:rsidRPr="00AC4737">
                <w:rPr>
                  <w:i/>
                  <w:iCs/>
                </w:rPr>
                <w:t>012 (Qld)</w:t>
              </w:r>
            </w:hyperlink>
          </w:p>
        </w:tc>
        <w:tc>
          <w:tcPr>
            <w:tcW w:w="1961" w:type="pct"/>
            <w:tcBorders>
              <w:top w:val="single" w:sz="4" w:space="0" w:color="FFFFFF" w:themeColor="background1"/>
              <w:left w:val="single" w:sz="4" w:space="0" w:color="FFFFFF" w:themeColor="background1"/>
              <w:bottom w:val="single" w:sz="4" w:space="0" w:color="FFFFFF" w:themeColor="background1"/>
              <w:right w:val="nil"/>
            </w:tcBorders>
          </w:tcPr>
          <w:p w14:paraId="0393CB13" w14:textId="72E12A4A" w:rsidR="00F94D88" w:rsidRPr="00F462FC" w:rsidRDefault="00A56260" w:rsidP="00574836">
            <w:pPr>
              <w:pStyle w:val="TableBodyText"/>
            </w:pPr>
            <w:hyperlink r:id="rId13" w:tgtFrame="_blank" w:history="1">
              <w:r w:rsidR="00725522" w:rsidRPr="00B57F1C">
                <w:t>Heavy Vehicle National Law Regulation 2014</w:t>
              </w:r>
            </w:hyperlink>
          </w:p>
        </w:tc>
      </w:tr>
      <w:tr w:rsidR="00F94D88" w:rsidRPr="00DE33D3" w14:paraId="2CB4F75C" w14:textId="3DCD374C" w:rsidTr="00C671B6">
        <w:tc>
          <w:tcPr>
            <w:tcW w:w="1076" w:type="pct"/>
            <w:tcBorders>
              <w:top w:val="single" w:sz="4" w:space="0" w:color="FFFFFF" w:themeColor="background1"/>
              <w:left w:val="nil"/>
              <w:bottom w:val="single" w:sz="4" w:space="0" w:color="FFFFFF" w:themeColor="background1"/>
              <w:right w:val="single" w:sz="4" w:space="0" w:color="FFFFFF" w:themeColor="background1"/>
            </w:tcBorders>
          </w:tcPr>
          <w:p w14:paraId="00555D61" w14:textId="77777777" w:rsidR="00F94D88" w:rsidRPr="00DE33D3" w:rsidRDefault="00F94D88" w:rsidP="00574836">
            <w:pPr>
              <w:pStyle w:val="TableBodyText"/>
            </w:pPr>
            <w:r>
              <w:t>New South Wales</w:t>
            </w:r>
          </w:p>
        </w:tc>
        <w:tc>
          <w:tcPr>
            <w:tcW w:w="196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C1380" w14:textId="471B3FF3" w:rsidR="00F94D88" w:rsidRPr="00131224" w:rsidRDefault="00A56260" w:rsidP="00574836">
            <w:pPr>
              <w:pStyle w:val="TableBodyText"/>
              <w:rPr>
                <w:i/>
                <w:iCs/>
              </w:rPr>
            </w:pPr>
            <w:hyperlink r:id="rId14" w:tgtFrame="_blank" w:history="1">
              <w:r w:rsidR="00725522" w:rsidRPr="00131224">
                <w:rPr>
                  <w:i/>
                  <w:iCs/>
                </w:rPr>
                <w:t>Heavy Vehicle (Adoption of National Law) Act 2013</w:t>
              </w:r>
            </w:hyperlink>
          </w:p>
        </w:tc>
        <w:tc>
          <w:tcPr>
            <w:tcW w:w="1961" w:type="pct"/>
            <w:tcBorders>
              <w:top w:val="single" w:sz="4" w:space="0" w:color="FFFFFF" w:themeColor="background1"/>
              <w:left w:val="single" w:sz="4" w:space="0" w:color="FFFFFF" w:themeColor="background1"/>
              <w:bottom w:val="single" w:sz="4" w:space="0" w:color="FFFFFF" w:themeColor="background1"/>
              <w:right w:val="nil"/>
            </w:tcBorders>
          </w:tcPr>
          <w:p w14:paraId="04CF4497" w14:textId="3E0DA60C" w:rsidR="00F94D88" w:rsidRPr="00F462FC" w:rsidRDefault="00A56260" w:rsidP="00574836">
            <w:pPr>
              <w:pStyle w:val="TableBodyText"/>
            </w:pPr>
            <w:hyperlink r:id="rId15" w:tgtFrame="_blank" w:history="1">
              <w:r w:rsidR="00725522" w:rsidRPr="00B57F1C">
                <w:t>Heavy Vehicle (Adoption of National Law) Regulation 2013</w:t>
              </w:r>
            </w:hyperlink>
          </w:p>
        </w:tc>
      </w:tr>
      <w:tr w:rsidR="00F94D88" w:rsidRPr="00DE33D3" w14:paraId="7F1BD100" w14:textId="5366EEB2" w:rsidTr="00C671B6">
        <w:tc>
          <w:tcPr>
            <w:tcW w:w="1076" w:type="pct"/>
            <w:tcBorders>
              <w:top w:val="single" w:sz="4" w:space="0" w:color="FFFFFF" w:themeColor="background1"/>
              <w:left w:val="nil"/>
              <w:bottom w:val="nil"/>
              <w:right w:val="single" w:sz="4" w:space="0" w:color="FFFFFF" w:themeColor="background1"/>
            </w:tcBorders>
          </w:tcPr>
          <w:p w14:paraId="35824ED4" w14:textId="77777777" w:rsidR="00F94D88" w:rsidRPr="00DE33D3" w:rsidRDefault="00F94D88" w:rsidP="00574836">
            <w:pPr>
              <w:pStyle w:val="TableBodyText"/>
            </w:pPr>
            <w:r>
              <w:t>Australian Capital Territory</w:t>
            </w:r>
          </w:p>
        </w:tc>
        <w:tc>
          <w:tcPr>
            <w:tcW w:w="1963" w:type="pct"/>
            <w:tcBorders>
              <w:top w:val="single" w:sz="4" w:space="0" w:color="FFFFFF" w:themeColor="background1"/>
              <w:left w:val="single" w:sz="4" w:space="0" w:color="FFFFFF" w:themeColor="background1"/>
              <w:bottom w:val="nil"/>
              <w:right w:val="single" w:sz="4" w:space="0" w:color="FFFFFF" w:themeColor="background1"/>
            </w:tcBorders>
          </w:tcPr>
          <w:p w14:paraId="6316DCA7" w14:textId="4089EEA2" w:rsidR="00F94D88" w:rsidRPr="00131224" w:rsidRDefault="00A56260" w:rsidP="00574836">
            <w:pPr>
              <w:pStyle w:val="TableBodyText"/>
              <w:rPr>
                <w:i/>
                <w:iCs/>
              </w:rPr>
            </w:pPr>
            <w:hyperlink r:id="rId16" w:tgtFrame="_blank" w:history="1">
              <w:r w:rsidR="00725522" w:rsidRPr="00131224">
                <w:rPr>
                  <w:i/>
                  <w:iCs/>
                </w:rPr>
                <w:t>Heavy Vehicle National Law (ACT) Act 2013</w:t>
              </w:r>
            </w:hyperlink>
          </w:p>
        </w:tc>
        <w:tc>
          <w:tcPr>
            <w:tcW w:w="1961" w:type="pct"/>
            <w:tcBorders>
              <w:top w:val="single" w:sz="4" w:space="0" w:color="FFFFFF" w:themeColor="background1"/>
              <w:left w:val="single" w:sz="4" w:space="0" w:color="FFFFFF" w:themeColor="background1"/>
              <w:bottom w:val="nil"/>
              <w:right w:val="nil"/>
            </w:tcBorders>
          </w:tcPr>
          <w:p w14:paraId="2EDFF35D" w14:textId="065B9362" w:rsidR="00F94D88" w:rsidRPr="00F462FC" w:rsidRDefault="00725522" w:rsidP="00574836">
            <w:pPr>
              <w:pStyle w:val="TableBodyText"/>
            </w:pPr>
            <w:r w:rsidRPr="00B57F1C">
              <w:t>N/A</w:t>
            </w:r>
          </w:p>
        </w:tc>
      </w:tr>
      <w:tr w:rsidR="00F94D88" w:rsidRPr="00DE33D3" w14:paraId="768C560B" w14:textId="55C6B962" w:rsidTr="00C671B6">
        <w:tc>
          <w:tcPr>
            <w:tcW w:w="1076" w:type="pct"/>
            <w:tcBorders>
              <w:top w:val="nil"/>
            </w:tcBorders>
          </w:tcPr>
          <w:p w14:paraId="692DE123" w14:textId="77777777" w:rsidR="00F94D88" w:rsidRPr="00DE33D3" w:rsidRDefault="00F94D88" w:rsidP="00574836">
            <w:pPr>
              <w:pStyle w:val="TableBodyText"/>
            </w:pPr>
            <w:r>
              <w:t>Victoria</w:t>
            </w:r>
          </w:p>
        </w:tc>
        <w:tc>
          <w:tcPr>
            <w:tcW w:w="1963" w:type="pct"/>
            <w:tcBorders>
              <w:top w:val="nil"/>
            </w:tcBorders>
          </w:tcPr>
          <w:p w14:paraId="2022EA89" w14:textId="0D2C5890" w:rsidR="00F94D88" w:rsidRPr="00AC4737" w:rsidRDefault="00A56260" w:rsidP="00574836">
            <w:pPr>
              <w:pStyle w:val="TableBodyText"/>
              <w:rPr>
                <w:i/>
                <w:iCs/>
              </w:rPr>
            </w:pPr>
            <w:hyperlink r:id="rId17" w:tgtFrame="_blank" w:history="1">
              <w:r w:rsidR="00725522" w:rsidRPr="00AC4737">
                <w:rPr>
                  <w:i/>
                  <w:iCs/>
                </w:rPr>
                <w:t>Heavy Vehicle National Law Application Act 2013</w:t>
              </w:r>
            </w:hyperlink>
          </w:p>
        </w:tc>
        <w:tc>
          <w:tcPr>
            <w:tcW w:w="1961" w:type="pct"/>
            <w:tcBorders>
              <w:top w:val="nil"/>
            </w:tcBorders>
          </w:tcPr>
          <w:p w14:paraId="43C2B7FF" w14:textId="4ABB3100" w:rsidR="00F94D88" w:rsidRPr="00F462FC" w:rsidRDefault="00A56260" w:rsidP="00574836">
            <w:pPr>
              <w:pStyle w:val="TableBodyText"/>
            </w:pPr>
            <w:hyperlink r:id="rId18" w:tgtFrame="_blank" w:history="1">
              <w:r w:rsidR="00725522" w:rsidRPr="00B57F1C">
                <w:t>Heavy Vehicle National Law Application (Infringements) Regulations 2013</w:t>
              </w:r>
            </w:hyperlink>
          </w:p>
        </w:tc>
      </w:tr>
      <w:tr w:rsidR="00F94D88" w:rsidRPr="00DE33D3" w14:paraId="695F38D1" w14:textId="75434A5E" w:rsidTr="00F95E22">
        <w:tc>
          <w:tcPr>
            <w:tcW w:w="1076" w:type="pct"/>
          </w:tcPr>
          <w:p w14:paraId="00CDE0C2" w14:textId="77777777" w:rsidR="00F94D88" w:rsidRPr="00DE33D3" w:rsidRDefault="00F94D88" w:rsidP="00574836">
            <w:pPr>
              <w:pStyle w:val="TableBodyText"/>
            </w:pPr>
            <w:r>
              <w:t>Tasmania</w:t>
            </w:r>
          </w:p>
        </w:tc>
        <w:tc>
          <w:tcPr>
            <w:tcW w:w="1963" w:type="pct"/>
          </w:tcPr>
          <w:p w14:paraId="75341038" w14:textId="48E638BD" w:rsidR="00F94D88" w:rsidRPr="00AC4737" w:rsidRDefault="00A56260" w:rsidP="00574836">
            <w:pPr>
              <w:pStyle w:val="TableBodyText"/>
              <w:rPr>
                <w:i/>
                <w:iCs/>
              </w:rPr>
            </w:pPr>
            <w:hyperlink r:id="rId19" w:tgtFrame="_blank" w:history="1">
              <w:r w:rsidR="00725522" w:rsidRPr="00AC4737">
                <w:rPr>
                  <w:i/>
                  <w:iCs/>
                </w:rPr>
                <w:t>Heavy Vehicle National Law (Tasmania) Act 2013</w:t>
              </w:r>
            </w:hyperlink>
          </w:p>
        </w:tc>
        <w:tc>
          <w:tcPr>
            <w:tcW w:w="1961" w:type="pct"/>
          </w:tcPr>
          <w:p w14:paraId="3188E638" w14:textId="12E7A677" w:rsidR="00F94D88" w:rsidRPr="00F462FC" w:rsidRDefault="00A56260" w:rsidP="00574836">
            <w:pPr>
              <w:pStyle w:val="TableBodyText"/>
            </w:pPr>
            <w:hyperlink r:id="rId20" w:tgtFrame="_blank" w:history="1">
              <w:r w:rsidR="00725522" w:rsidRPr="00B57F1C">
                <w:t>Heavy Vehicle National Law (Tasmania) Regulations 2014</w:t>
              </w:r>
            </w:hyperlink>
          </w:p>
        </w:tc>
      </w:tr>
      <w:tr w:rsidR="00725522" w:rsidRPr="00DE33D3" w14:paraId="37D4310E" w14:textId="0A30FE2F" w:rsidTr="00F95E22">
        <w:tc>
          <w:tcPr>
            <w:tcW w:w="1076" w:type="pct"/>
          </w:tcPr>
          <w:p w14:paraId="051394B4" w14:textId="77777777" w:rsidR="00725522" w:rsidRPr="00DE33D3" w:rsidRDefault="00725522" w:rsidP="00574836">
            <w:pPr>
              <w:pStyle w:val="TableBodyText"/>
            </w:pPr>
            <w:r>
              <w:t>South Australia</w:t>
            </w:r>
          </w:p>
        </w:tc>
        <w:tc>
          <w:tcPr>
            <w:tcW w:w="1963" w:type="pct"/>
          </w:tcPr>
          <w:p w14:paraId="5B3C6AA5" w14:textId="38540798" w:rsidR="00725522" w:rsidRPr="00AC4737" w:rsidRDefault="00A56260" w:rsidP="00574836">
            <w:pPr>
              <w:pStyle w:val="TableBodyText"/>
              <w:rPr>
                <w:i/>
                <w:iCs/>
              </w:rPr>
            </w:pPr>
            <w:hyperlink r:id="rId21" w:tgtFrame="_blank" w:history="1">
              <w:r w:rsidR="00725522" w:rsidRPr="00AC4737">
                <w:rPr>
                  <w:i/>
                  <w:iCs/>
                </w:rPr>
                <w:t>Heavy Vehicle National Law (South Australia) Act 2013</w:t>
              </w:r>
            </w:hyperlink>
          </w:p>
        </w:tc>
        <w:tc>
          <w:tcPr>
            <w:tcW w:w="1961" w:type="pct"/>
          </w:tcPr>
          <w:p w14:paraId="1493FF15" w14:textId="2D9325C2" w:rsidR="00725522" w:rsidRPr="00F462FC" w:rsidRDefault="00A56260" w:rsidP="00574836">
            <w:pPr>
              <w:pStyle w:val="TableBodyText"/>
            </w:pPr>
            <w:hyperlink r:id="rId22" w:tgtFrame="_blank" w:history="1">
              <w:r w:rsidR="00725522" w:rsidRPr="00B57F1C">
                <w:t>Heavy Vehicle National Law (South Australia) (Expiation Fees) Regulations 2013</w:t>
              </w:r>
            </w:hyperlink>
            <w:r w:rsidR="00725522" w:rsidRPr="00B57F1C">
              <w:br/>
            </w:r>
            <w:hyperlink r:id="rId23" w:tgtFrame="_blank" w:history="1">
              <w:r w:rsidR="00725522" w:rsidRPr="00B57F1C">
                <w:t>Heavy Vehicle National Law (South Australia) (Fees) Regulation 2013</w:t>
              </w:r>
            </w:hyperlink>
          </w:p>
        </w:tc>
      </w:tr>
    </w:tbl>
    <w:p w14:paraId="65468E0D" w14:textId="53E86671" w:rsidR="004A320C" w:rsidRDefault="004A320C">
      <w:pPr>
        <w:rPr>
          <w:rFonts w:ascii="Arial" w:eastAsia="SimSun" w:hAnsi="Arial" w:cs="Arial"/>
          <w:b/>
          <w:bCs/>
          <w:caps/>
          <w:color w:val="004259"/>
          <w:sz w:val="28"/>
          <w:szCs w:val="32"/>
        </w:rPr>
      </w:pPr>
      <w:r>
        <w:br w:type="page"/>
      </w:r>
    </w:p>
    <w:p w14:paraId="669F0CBD" w14:textId="59D1E2A5" w:rsidR="00AF1D72" w:rsidRPr="00DE33D3" w:rsidRDefault="0030571A" w:rsidP="00AB56D2">
      <w:pPr>
        <w:pStyle w:val="Heading1nonumber"/>
      </w:pPr>
      <w:bookmarkStart w:id="129" w:name="_Toc134517082"/>
      <w:r w:rsidRPr="00DE33D3">
        <w:rPr>
          <w:caps w:val="0"/>
        </w:rPr>
        <w:lastRenderedPageBreak/>
        <w:t>Amendment Record</w:t>
      </w:r>
      <w:bookmarkEnd w:id="129"/>
    </w:p>
    <w:tbl>
      <w:tblPr>
        <w:tblStyle w:val="TMTable"/>
        <w:tblW w:w="5005" w:type="pct"/>
        <w:tblInd w:w="-5" w:type="dxa"/>
        <w:tblLayout w:type="fixed"/>
        <w:tblLook w:val="01E0" w:firstRow="1" w:lastRow="1" w:firstColumn="1" w:lastColumn="1" w:noHBand="0" w:noVBand="0"/>
      </w:tblPr>
      <w:tblGrid>
        <w:gridCol w:w="1552"/>
        <w:gridCol w:w="4875"/>
        <w:gridCol w:w="1368"/>
        <w:gridCol w:w="1704"/>
      </w:tblGrid>
      <w:tr w:rsidR="00AF1D72" w:rsidRPr="00DE33D3" w14:paraId="31CB915B" w14:textId="77777777" w:rsidTr="00292C4F">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DE33D3" w:rsidRDefault="00AF1D72" w:rsidP="001B7F72">
            <w:pPr>
              <w:pStyle w:val="TableBodyText"/>
            </w:pPr>
            <w:r w:rsidRPr="00DE33D3">
              <w:t>Amendment no.</w:t>
            </w:r>
          </w:p>
        </w:tc>
        <w:tc>
          <w:tcPr>
            <w:tcW w:w="2566" w:type="pct"/>
          </w:tcPr>
          <w:p w14:paraId="09845ABA" w14:textId="77777777" w:rsidR="00AF1D72" w:rsidRPr="00DE33D3" w:rsidRDefault="00AF1D72" w:rsidP="001B7F72">
            <w:pPr>
              <w:pStyle w:val="TableBodyText"/>
            </w:pPr>
            <w:r w:rsidRPr="00DE33D3">
              <w:t>Clauses amended</w:t>
            </w:r>
          </w:p>
        </w:tc>
        <w:tc>
          <w:tcPr>
            <w:tcW w:w="720" w:type="pct"/>
          </w:tcPr>
          <w:p w14:paraId="35993E27" w14:textId="77777777" w:rsidR="00AF1D72" w:rsidRPr="00DE33D3" w:rsidRDefault="00AF1D72" w:rsidP="001B7F72">
            <w:pPr>
              <w:pStyle w:val="TableBodyText"/>
            </w:pPr>
            <w:r w:rsidRPr="00DE33D3">
              <w:t>Action</w:t>
            </w:r>
          </w:p>
        </w:tc>
        <w:tc>
          <w:tcPr>
            <w:tcW w:w="897" w:type="pct"/>
          </w:tcPr>
          <w:p w14:paraId="52F23AEE" w14:textId="77777777" w:rsidR="00AF1D72" w:rsidRPr="00DE33D3" w:rsidRDefault="00AF1D72" w:rsidP="001B7F72">
            <w:pPr>
              <w:pStyle w:val="TableBodyText"/>
            </w:pPr>
            <w:r w:rsidRPr="00DE33D3">
              <w:t>Date</w:t>
            </w:r>
          </w:p>
        </w:tc>
      </w:tr>
      <w:tr w:rsidR="00AF1D72" w:rsidRPr="00DE33D3" w14:paraId="04352636" w14:textId="77777777" w:rsidTr="00292C4F">
        <w:trPr>
          <w:trHeight w:val="349"/>
        </w:trPr>
        <w:tc>
          <w:tcPr>
            <w:tcW w:w="817" w:type="pct"/>
            <w:vAlign w:val="center"/>
          </w:tcPr>
          <w:p w14:paraId="6994222E" w14:textId="483314A6" w:rsidR="00AF1D72" w:rsidRPr="00DE33D3" w:rsidRDefault="00C668F6" w:rsidP="00FB1221">
            <w:pPr>
              <w:pStyle w:val="TableBodyText"/>
              <w:jc w:val="center"/>
              <w:rPr>
                <w:rFonts w:cs="Arial"/>
                <w:sz w:val="18"/>
                <w:szCs w:val="18"/>
              </w:rPr>
            </w:pPr>
            <w:r w:rsidRPr="00DE33D3">
              <w:rPr>
                <w:rFonts w:cs="Arial"/>
                <w:sz w:val="18"/>
                <w:szCs w:val="18"/>
              </w:rPr>
              <w:t>-</w:t>
            </w:r>
          </w:p>
        </w:tc>
        <w:tc>
          <w:tcPr>
            <w:tcW w:w="2566" w:type="pct"/>
            <w:vAlign w:val="center"/>
          </w:tcPr>
          <w:p w14:paraId="72F01B8B" w14:textId="26E15D64" w:rsidR="00AF1D72" w:rsidRPr="00DE33D3" w:rsidRDefault="00B23DC4" w:rsidP="00FB1221">
            <w:pPr>
              <w:pStyle w:val="TableBodyText"/>
              <w:rPr>
                <w:rFonts w:cs="Arial"/>
                <w:sz w:val="18"/>
                <w:szCs w:val="18"/>
              </w:rPr>
            </w:pPr>
            <w:r w:rsidRPr="00DE33D3">
              <w:rPr>
                <w:rFonts w:cs="Arial"/>
                <w:sz w:val="18"/>
                <w:szCs w:val="18"/>
              </w:rPr>
              <w:t>New specification</w:t>
            </w:r>
          </w:p>
        </w:tc>
        <w:tc>
          <w:tcPr>
            <w:tcW w:w="720" w:type="pct"/>
            <w:vAlign w:val="center"/>
          </w:tcPr>
          <w:p w14:paraId="005DA5BA" w14:textId="084C8B46" w:rsidR="00AF1D72" w:rsidRPr="00DE33D3" w:rsidRDefault="00464E88" w:rsidP="00FB1221">
            <w:pPr>
              <w:pStyle w:val="TableBodyText"/>
              <w:rPr>
                <w:rFonts w:cs="Arial"/>
                <w:sz w:val="18"/>
                <w:szCs w:val="18"/>
              </w:rPr>
            </w:pPr>
            <w:r>
              <w:rPr>
                <w:rFonts w:cs="Arial"/>
                <w:sz w:val="18"/>
                <w:szCs w:val="18"/>
              </w:rPr>
              <w:t>New</w:t>
            </w:r>
          </w:p>
        </w:tc>
        <w:tc>
          <w:tcPr>
            <w:tcW w:w="897" w:type="pct"/>
            <w:vAlign w:val="center"/>
          </w:tcPr>
          <w:p w14:paraId="23AB785C" w14:textId="62602C3E" w:rsidR="00AF1D72" w:rsidRPr="00DE33D3" w:rsidRDefault="00A46112" w:rsidP="00FB1221">
            <w:pPr>
              <w:pStyle w:val="TableBodyText"/>
              <w:rPr>
                <w:rFonts w:cs="Arial"/>
                <w:sz w:val="18"/>
                <w:szCs w:val="18"/>
              </w:rPr>
            </w:pPr>
            <w:r>
              <w:rPr>
                <w:rFonts w:cs="Arial"/>
                <w:sz w:val="18"/>
                <w:szCs w:val="18"/>
              </w:rPr>
              <w:t>October 2023</w:t>
            </w:r>
          </w:p>
        </w:tc>
      </w:tr>
      <w:tr w:rsidR="005571D0" w:rsidRPr="00DE33D3" w14:paraId="29D3E9CA" w14:textId="77777777" w:rsidTr="00292C4F">
        <w:trPr>
          <w:trHeight w:val="349"/>
        </w:trPr>
        <w:tc>
          <w:tcPr>
            <w:tcW w:w="817" w:type="pct"/>
            <w:vAlign w:val="center"/>
          </w:tcPr>
          <w:p w14:paraId="7243511F" w14:textId="77777777" w:rsidR="005571D0" w:rsidRPr="00DE33D3" w:rsidRDefault="005571D0" w:rsidP="00FB1221">
            <w:pPr>
              <w:pStyle w:val="TableBodyText"/>
              <w:jc w:val="center"/>
              <w:rPr>
                <w:rFonts w:cs="Arial"/>
                <w:sz w:val="18"/>
                <w:szCs w:val="18"/>
              </w:rPr>
            </w:pPr>
          </w:p>
        </w:tc>
        <w:tc>
          <w:tcPr>
            <w:tcW w:w="2566" w:type="pct"/>
            <w:vAlign w:val="center"/>
          </w:tcPr>
          <w:p w14:paraId="1B8BFE76" w14:textId="77777777" w:rsidR="005571D0" w:rsidRPr="00DE33D3" w:rsidRDefault="005571D0" w:rsidP="00FB1221">
            <w:pPr>
              <w:pStyle w:val="TableBodyText"/>
              <w:rPr>
                <w:rFonts w:cs="Arial"/>
                <w:sz w:val="18"/>
                <w:szCs w:val="18"/>
              </w:rPr>
            </w:pPr>
          </w:p>
        </w:tc>
        <w:tc>
          <w:tcPr>
            <w:tcW w:w="720" w:type="pct"/>
            <w:vAlign w:val="center"/>
          </w:tcPr>
          <w:p w14:paraId="64ADB36E" w14:textId="77777777" w:rsidR="005571D0" w:rsidRPr="00DE33D3" w:rsidRDefault="005571D0" w:rsidP="00FB1221">
            <w:pPr>
              <w:pStyle w:val="TableBodyText"/>
              <w:rPr>
                <w:rFonts w:cs="Arial"/>
                <w:sz w:val="18"/>
                <w:szCs w:val="18"/>
              </w:rPr>
            </w:pPr>
          </w:p>
        </w:tc>
        <w:tc>
          <w:tcPr>
            <w:tcW w:w="897" w:type="pct"/>
            <w:vAlign w:val="center"/>
          </w:tcPr>
          <w:p w14:paraId="76C9767F" w14:textId="77777777" w:rsidR="005571D0" w:rsidRPr="00DE33D3" w:rsidRDefault="005571D0" w:rsidP="00FB1221">
            <w:pPr>
              <w:pStyle w:val="TableBodyText"/>
              <w:rPr>
                <w:rFonts w:cs="Arial"/>
                <w:sz w:val="18"/>
                <w:szCs w:val="18"/>
              </w:rPr>
            </w:pPr>
          </w:p>
        </w:tc>
      </w:tr>
    </w:tbl>
    <w:p w14:paraId="5AA22917" w14:textId="77777777" w:rsidR="00AF1D72" w:rsidRPr="00DE33D3" w:rsidRDefault="00AF1D72" w:rsidP="003650AC">
      <w:pPr>
        <w:pStyle w:val="Paragraph"/>
        <w:numPr>
          <w:ilvl w:val="0"/>
          <w:numId w:val="10"/>
        </w:numPr>
        <w:ind w:left="0"/>
        <w:jc w:val="left"/>
      </w:pPr>
    </w:p>
    <w:tbl>
      <w:tblPr>
        <w:tblW w:w="0" w:type="auto"/>
        <w:tblLook w:val="01E0" w:firstRow="1" w:lastRow="1" w:firstColumn="1" w:lastColumn="1" w:noHBand="0" w:noVBand="0"/>
      </w:tblPr>
      <w:tblGrid>
        <w:gridCol w:w="1290"/>
        <w:gridCol w:w="8220"/>
      </w:tblGrid>
      <w:tr w:rsidR="00AF1D72" w:rsidRPr="00DE33D3" w14:paraId="34B36AD5" w14:textId="77777777" w:rsidTr="00AF1D72">
        <w:trPr>
          <w:trHeight w:val="427"/>
        </w:trPr>
        <w:tc>
          <w:tcPr>
            <w:tcW w:w="1101" w:type="dxa"/>
            <w:shd w:val="clear" w:color="auto" w:fill="auto"/>
          </w:tcPr>
          <w:p w14:paraId="1A0F4A13" w14:textId="77777777" w:rsidR="00AF1D72" w:rsidRPr="00DE33D3" w:rsidRDefault="00AF1D72" w:rsidP="003650AC">
            <w:pPr>
              <w:pStyle w:val="TableBodyText"/>
              <w:spacing w:before="40" w:after="40"/>
              <w:rPr>
                <w:b/>
                <w:bCs w:val="0"/>
                <w:sz w:val="16"/>
              </w:rPr>
            </w:pPr>
            <w:r w:rsidRPr="00DE33D3">
              <w:rPr>
                <w:b/>
                <w:bCs w:val="0"/>
              </w:rPr>
              <w:t>Key</w:t>
            </w:r>
          </w:p>
        </w:tc>
        <w:tc>
          <w:tcPr>
            <w:tcW w:w="8680" w:type="dxa"/>
            <w:shd w:val="clear" w:color="auto" w:fill="auto"/>
          </w:tcPr>
          <w:p w14:paraId="579971E6" w14:textId="77777777" w:rsidR="00AF1D72" w:rsidRPr="00DE33D3" w:rsidRDefault="00AF1D72" w:rsidP="003650AC">
            <w:pPr>
              <w:pStyle w:val="TableBodyText"/>
              <w:spacing w:before="40" w:after="40"/>
            </w:pPr>
          </w:p>
        </w:tc>
      </w:tr>
      <w:tr w:rsidR="00AF1D72" w:rsidRPr="00DE33D3" w14:paraId="2C27FD3C" w14:textId="77777777" w:rsidTr="00AF1D72">
        <w:tc>
          <w:tcPr>
            <w:tcW w:w="1101" w:type="dxa"/>
            <w:shd w:val="clear" w:color="auto" w:fill="auto"/>
          </w:tcPr>
          <w:p w14:paraId="621644E5" w14:textId="77777777" w:rsidR="00AF1D72" w:rsidRPr="00DE33D3" w:rsidRDefault="00AF1D72" w:rsidP="003650AC">
            <w:pPr>
              <w:pStyle w:val="TableBodyText"/>
              <w:spacing w:before="40" w:after="40"/>
            </w:pPr>
            <w:r w:rsidRPr="00DE33D3">
              <w:t>Format</w:t>
            </w:r>
          </w:p>
        </w:tc>
        <w:tc>
          <w:tcPr>
            <w:tcW w:w="8680" w:type="dxa"/>
            <w:shd w:val="clear" w:color="auto" w:fill="auto"/>
          </w:tcPr>
          <w:p w14:paraId="0B5DE507" w14:textId="77777777" w:rsidR="00AF1D72" w:rsidRPr="00DE33D3" w:rsidRDefault="00AF1D72" w:rsidP="003650AC">
            <w:pPr>
              <w:pStyle w:val="TableBodyText"/>
              <w:spacing w:before="40" w:after="40"/>
            </w:pPr>
            <w:r w:rsidRPr="00DE33D3">
              <w:t>Change in format</w:t>
            </w:r>
          </w:p>
        </w:tc>
      </w:tr>
      <w:tr w:rsidR="00AF1D72" w:rsidRPr="00DE33D3" w14:paraId="63F6E9BF" w14:textId="77777777" w:rsidTr="00AF1D72">
        <w:tc>
          <w:tcPr>
            <w:tcW w:w="1101" w:type="dxa"/>
            <w:shd w:val="clear" w:color="auto" w:fill="auto"/>
          </w:tcPr>
          <w:p w14:paraId="152AA969" w14:textId="77777777" w:rsidR="00AF1D72" w:rsidRPr="00DE33D3" w:rsidRDefault="00AF1D72" w:rsidP="003650AC">
            <w:pPr>
              <w:pStyle w:val="TableBodyText"/>
              <w:spacing w:before="40" w:after="40"/>
            </w:pPr>
            <w:r w:rsidRPr="00DE33D3">
              <w:t>Substitution</w:t>
            </w:r>
          </w:p>
        </w:tc>
        <w:tc>
          <w:tcPr>
            <w:tcW w:w="8680" w:type="dxa"/>
            <w:shd w:val="clear" w:color="auto" w:fill="auto"/>
          </w:tcPr>
          <w:p w14:paraId="20B1E6FB" w14:textId="77777777" w:rsidR="00AF1D72" w:rsidRPr="00DE33D3" w:rsidRDefault="00AF1D72" w:rsidP="003650AC">
            <w:pPr>
              <w:pStyle w:val="TableBodyText"/>
              <w:spacing w:before="40" w:after="40"/>
            </w:pPr>
            <w:r w:rsidRPr="00DE33D3">
              <w:t>Old clause removed and replaced with new clause</w:t>
            </w:r>
          </w:p>
        </w:tc>
      </w:tr>
      <w:tr w:rsidR="00AF1D72" w:rsidRPr="00DE33D3" w14:paraId="015CFAEA" w14:textId="77777777" w:rsidTr="00AF1D72">
        <w:tc>
          <w:tcPr>
            <w:tcW w:w="1101" w:type="dxa"/>
            <w:shd w:val="clear" w:color="auto" w:fill="auto"/>
          </w:tcPr>
          <w:p w14:paraId="127237EE" w14:textId="77777777" w:rsidR="00AF1D72" w:rsidRPr="00DE33D3" w:rsidRDefault="00AF1D72" w:rsidP="003650AC">
            <w:pPr>
              <w:pStyle w:val="TableBodyText"/>
              <w:spacing w:before="40" w:after="40"/>
            </w:pPr>
            <w:r w:rsidRPr="00DE33D3">
              <w:t>New</w:t>
            </w:r>
          </w:p>
        </w:tc>
        <w:tc>
          <w:tcPr>
            <w:tcW w:w="8680" w:type="dxa"/>
            <w:shd w:val="clear" w:color="auto" w:fill="auto"/>
          </w:tcPr>
          <w:p w14:paraId="42D85C62" w14:textId="77777777" w:rsidR="00AF1D72" w:rsidRPr="00DE33D3" w:rsidRDefault="00AF1D72" w:rsidP="003650AC">
            <w:pPr>
              <w:pStyle w:val="TableBodyText"/>
              <w:spacing w:before="40" w:after="40"/>
            </w:pPr>
            <w:r w:rsidRPr="00DE33D3">
              <w:t>Insertion of new clause</w:t>
            </w:r>
          </w:p>
        </w:tc>
      </w:tr>
      <w:tr w:rsidR="00AF1D72" w14:paraId="05A43914" w14:textId="77777777" w:rsidTr="00AF1D72">
        <w:tc>
          <w:tcPr>
            <w:tcW w:w="1101" w:type="dxa"/>
            <w:shd w:val="clear" w:color="auto" w:fill="auto"/>
          </w:tcPr>
          <w:p w14:paraId="67129848" w14:textId="77777777" w:rsidR="00AF1D72" w:rsidRPr="00DE33D3" w:rsidRDefault="00AF1D72" w:rsidP="003650AC">
            <w:pPr>
              <w:pStyle w:val="TableBodyText"/>
              <w:spacing w:before="40" w:after="40"/>
            </w:pPr>
            <w:r w:rsidRPr="00DE33D3">
              <w:t>Removed</w:t>
            </w:r>
          </w:p>
        </w:tc>
        <w:tc>
          <w:tcPr>
            <w:tcW w:w="8680" w:type="dxa"/>
            <w:shd w:val="clear" w:color="auto" w:fill="auto"/>
          </w:tcPr>
          <w:p w14:paraId="4F68E19E" w14:textId="77777777" w:rsidR="00AF1D72" w:rsidRPr="00E6543E" w:rsidRDefault="00AF1D72" w:rsidP="003650AC">
            <w:pPr>
              <w:pStyle w:val="TableBodyText"/>
              <w:spacing w:before="40" w:after="40"/>
            </w:pPr>
            <w:r w:rsidRPr="00DE33D3">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CB00D0">
      <w:headerReference w:type="default" r:id="rId24"/>
      <w:footerReference w:type="even" r:id="rId25"/>
      <w:footerReference w:type="default" r:id="rId26"/>
      <w:headerReference w:type="first" r:id="rId27"/>
      <w:footerReference w:type="first" r:id="rId28"/>
      <w:type w:val="continuous"/>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2899B" w14:textId="77777777" w:rsidR="0071476F" w:rsidRDefault="0071476F">
      <w:r>
        <w:separator/>
      </w:r>
    </w:p>
  </w:endnote>
  <w:endnote w:type="continuationSeparator" w:id="0">
    <w:p w14:paraId="47F77046" w14:textId="77777777" w:rsidR="0071476F" w:rsidRDefault="0071476F">
      <w:r>
        <w:continuationSeparator/>
      </w:r>
    </w:p>
  </w:endnote>
  <w:endnote w:type="continuationNotice" w:id="1">
    <w:p w14:paraId="27088409" w14:textId="77777777" w:rsidR="0071476F" w:rsidRDefault="00714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21C90895">
            <v:line id="Line 3"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48pt" from="55.2pt,786.35pt" to="511.7pt,786.35pt" w14:anchorId="6F93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C6DED9D">
            <v:shapetype id="_x0000_t202" coordsize="21600,21600" o:spt="202" path="m,l,21600r21600,l21600,xe" w14:anchorId="7FA9F31A">
              <v:stroke joinstyle="miter"/>
              <v:path gradientshapeok="t" o:connecttype="rect"/>
            </v:shapetype>
            <v:shape id="Text Box 4"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v:textbox inset="0,0,0,0">
                <w:txbxContent>
                  <w:p w:rsidR="00064F5A" w:rsidRDefault="00064F5A" w14:paraId="174B1212" w14:textId="77777777">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2C06F4AB">
            <v:shape id="Text Box 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w14:anchorId="7FA9F31B">
              <v:textbox inset="0,0,0,0">
                <w:txbxContent>
                  <w:p w:rsidR="00064F5A" w:rsidRDefault="00064F5A" w14:paraId="27C0CC27" w14:textId="77777777">
                    <w:pPr>
                      <w:spacing w:before="10"/>
                      <w:ind w:left="20"/>
                      <w:rPr>
                        <w:sz w:val="20"/>
                      </w:rPr>
                    </w:pPr>
                    <w:r>
                      <w:rPr>
                        <w:sz w:val="20"/>
                      </w:rPr>
                      <w:t>Ed 1 / Rev 0</w:t>
                    </w:r>
                  </w:p>
                </w:txbxContent>
              </v:textbox>
              <w10:wrap anchorx="page" anchory="page"/>
            </v:shape>
          </w:pict>
        </mc:Fallback>
      </mc:AlternateContent>
    </w:r>
  </w:p>
  <w:p w14:paraId="6DDBAB95" w14:textId="77777777" w:rsidR="00F77CB0" w:rsidRDefault="00F77C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9409" w14:textId="77777777" w:rsidR="007F6400" w:rsidRDefault="007F6400" w:rsidP="007F6400">
    <w:pPr>
      <w:pStyle w:val="Footer"/>
    </w:pPr>
  </w:p>
  <w:p w14:paraId="10EB8BA4" w14:textId="6B340C20" w:rsidR="00F77CB0" w:rsidRPr="007F6400" w:rsidRDefault="007F6400" w:rsidP="007F6400">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1.0 </w:t>
    </w:r>
    <w:r w:rsidR="00ED530E">
      <w:rPr>
        <w:rFonts w:ascii="Arial" w:eastAsia="SimSun" w:hAnsi="Arial" w:cs="Arial"/>
        <w:bCs/>
        <w:sz w:val="16"/>
        <w:szCs w:val="16"/>
        <w:lang w:eastAsia="ja-JP"/>
      </w:rPr>
      <w:t>October</w:t>
    </w:r>
    <w:r>
      <w:rPr>
        <w:rFonts w:ascii="Arial" w:eastAsia="SimSun" w:hAnsi="Arial" w:cs="Arial"/>
        <w:bCs/>
        <w:sz w:val="16"/>
        <w:szCs w:val="16"/>
        <w:lang w:eastAsia="ja-JP"/>
      </w:rPr>
      <w:t xml:space="preserve"> 2023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Pr>
        <w:rFonts w:ascii="Arial" w:eastAsia="SimSun" w:hAnsi="Arial" w:cs="Arial"/>
        <w:bCs/>
        <w:sz w:val="16"/>
        <w:szCs w:val="16"/>
        <w:lang w:eastAsia="ja-JP"/>
      </w:rPr>
      <w:t>2</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2513FF08" w14:textId="35F9B16E" w:rsidR="00F77CB0" w:rsidRDefault="00064F5A" w:rsidP="004A62A7">
    <w:pPr>
      <w:widowControl/>
      <w:pBdr>
        <w:top w:val="dotted" w:sz="4" w:space="1" w:color="auto"/>
      </w:pBdr>
      <w:tabs>
        <w:tab w:val="center" w:pos="4513"/>
        <w:tab w:val="right" w:pos="9026"/>
      </w:tabs>
      <w:autoSpaceDE/>
      <w:autoSpaceDN/>
      <w:jc w:val="right"/>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CB00D0">
      <w:rPr>
        <w:rFonts w:ascii="Arial" w:eastAsia="SimSun" w:hAnsi="Arial" w:cs="Arial"/>
        <w:sz w:val="16"/>
        <w:szCs w:val="16"/>
        <w:lang w:eastAsia="ja-JP"/>
      </w:rPr>
      <w:t xml:space="preserve">Edition </w:t>
    </w:r>
    <w:r w:rsidR="006A2C7F">
      <w:rPr>
        <w:rFonts w:ascii="Arial" w:eastAsia="SimSun" w:hAnsi="Arial" w:cs="Arial"/>
        <w:sz w:val="16"/>
        <w:szCs w:val="16"/>
        <w:lang w:eastAsia="ja-JP"/>
      </w:rPr>
      <w:t>1.0</w:t>
    </w:r>
    <w:r w:rsidR="00CB00D0">
      <w:rPr>
        <w:rFonts w:ascii="Arial" w:eastAsia="SimSun" w:hAnsi="Arial" w:cs="Arial"/>
        <w:sz w:val="16"/>
        <w:szCs w:val="16"/>
        <w:lang w:eastAsia="ja-JP"/>
      </w:rPr>
      <w:t xml:space="preserve"> </w:t>
    </w:r>
    <w:r w:rsidR="00DC1198">
      <w:rPr>
        <w:rFonts w:ascii="Arial" w:eastAsia="SimSun" w:hAnsi="Arial" w:cs="Arial"/>
        <w:sz w:val="16"/>
        <w:szCs w:val="16"/>
        <w:lang w:eastAsia="ja-JP"/>
      </w:rPr>
      <w:t xml:space="preserve">October </w:t>
    </w:r>
    <w:r w:rsidR="00960371">
      <w:rPr>
        <w:rFonts w:ascii="Arial" w:eastAsia="SimSun" w:hAnsi="Arial" w:cs="Arial"/>
        <w:sz w:val="16"/>
        <w:szCs w:val="16"/>
        <w:lang w:eastAsia="ja-JP"/>
      </w:rPr>
      <w:t>202</w:t>
    </w:r>
    <w:r w:rsidR="004A62A7">
      <w:rPr>
        <w:rFonts w:ascii="Arial" w:eastAsia="SimSun" w:hAnsi="Arial" w:cs="Arial"/>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56CD" w14:textId="77777777" w:rsidR="0071476F" w:rsidRDefault="0071476F">
      <w:r>
        <w:separator/>
      </w:r>
    </w:p>
  </w:footnote>
  <w:footnote w:type="continuationSeparator" w:id="0">
    <w:p w14:paraId="4BF53010" w14:textId="77777777" w:rsidR="0071476F" w:rsidRDefault="0071476F">
      <w:r>
        <w:continuationSeparator/>
      </w:r>
    </w:p>
  </w:footnote>
  <w:footnote w:type="continuationNotice" w:id="1">
    <w:p w14:paraId="2D2FD1FE" w14:textId="77777777" w:rsidR="0071476F" w:rsidRDefault="00714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0E6" w14:textId="21522C86" w:rsidR="0023620B" w:rsidRPr="003F7623" w:rsidRDefault="0023620B" w:rsidP="0023620B">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B25FCE">
      <w:rPr>
        <w:rFonts w:ascii="Arial" w:eastAsia="SimSun" w:hAnsi="Arial" w:cs="Arial"/>
        <w:b/>
        <w:sz w:val="16"/>
        <w:szCs w:val="16"/>
        <w:lang w:eastAsia="ja-JP"/>
      </w:rPr>
      <w:t>1160</w:t>
    </w:r>
    <w:r w:rsidRPr="003F7623">
      <w:rPr>
        <w:rFonts w:ascii="Arial" w:eastAsia="SimSun" w:hAnsi="Arial" w:cs="Arial"/>
        <w:b/>
        <w:sz w:val="16"/>
        <w:szCs w:val="16"/>
        <w:lang w:eastAsia="ja-JP"/>
      </w:rPr>
      <w:t xml:space="preserve"> </w:t>
    </w:r>
    <w:r w:rsidR="00400818">
      <w:rPr>
        <w:rFonts w:ascii="Arial" w:eastAsia="SimSun" w:hAnsi="Arial" w:cs="Arial"/>
        <w:b/>
        <w:sz w:val="16"/>
        <w:szCs w:val="16"/>
        <w:lang w:eastAsia="ja-JP"/>
      </w:rPr>
      <w:t>Safety Management Systems</w:t>
    </w:r>
  </w:p>
  <w:p w14:paraId="4D64B96B" w14:textId="77777777" w:rsidR="00126621" w:rsidRPr="006951CF" w:rsidRDefault="00126621" w:rsidP="0023620B">
    <w:pPr>
      <w:pStyle w:val="Header"/>
      <w:jc w:val="right"/>
      <w:rPr>
        <w:rFonts w:ascii="Arial" w:hAnsi="Arial" w:cs="Arial"/>
        <w:sz w:val="18"/>
        <w:szCs w:val="18"/>
      </w:rPr>
    </w:pPr>
  </w:p>
  <w:p w14:paraId="343079AF" w14:textId="77777777" w:rsidR="00BF0251" w:rsidRPr="0023620B" w:rsidRDefault="00BF0251" w:rsidP="0040081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7629" w14:textId="77777777" w:rsidR="009B1B3E" w:rsidRDefault="009B1B3E">
    <w:pPr>
      <w:pStyle w:val="Header"/>
    </w:pPr>
  </w:p>
  <w:p w14:paraId="6EA97DDD" w14:textId="77777777" w:rsidR="009B1B3E" w:rsidRDefault="009B1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9163A2"/>
    <w:multiLevelType w:val="hybridMultilevel"/>
    <w:tmpl w:val="73CAA808"/>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9"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E455653"/>
    <w:multiLevelType w:val="multilevel"/>
    <w:tmpl w:val="2B4EBF8E"/>
    <w:lvl w:ilvl="0">
      <w:start w:val="1"/>
      <w:numFmt w:val="decimal"/>
      <w:pStyle w:val="Heading1"/>
      <w:lvlText w:val="%1."/>
      <w:lvlJc w:val="left"/>
      <w:pPr>
        <w:ind w:left="1849"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27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4"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6"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19" w15:restartNumberingAfterBreak="0">
    <w:nsid w:val="7AD101E3"/>
    <w:multiLevelType w:val="hybridMultilevel"/>
    <w:tmpl w:val="A214542C"/>
    <w:lvl w:ilvl="0" w:tplc="9B861500">
      <w:start w:val="1"/>
      <w:numFmt w:val="lowerLetter"/>
      <w:pStyle w:val="Bodynumbered2"/>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581840244">
    <w:abstractNumId w:val="18"/>
  </w:num>
  <w:num w:numId="2" w16cid:durableId="1198809157">
    <w:abstractNumId w:val="10"/>
  </w:num>
  <w:num w:numId="3" w16cid:durableId="891775398">
    <w:abstractNumId w:val="15"/>
  </w:num>
  <w:num w:numId="4" w16cid:durableId="406727875">
    <w:abstractNumId w:val="7"/>
  </w:num>
  <w:num w:numId="5" w16cid:durableId="1777871181">
    <w:abstractNumId w:val="1"/>
  </w:num>
  <w:num w:numId="6" w16cid:durableId="646515945">
    <w:abstractNumId w:val="14"/>
  </w:num>
  <w:num w:numId="7" w16cid:durableId="1616908995">
    <w:abstractNumId w:val="8"/>
  </w:num>
  <w:num w:numId="8" w16cid:durableId="1562135305">
    <w:abstractNumId w:val="13"/>
  </w:num>
  <w:num w:numId="9" w16cid:durableId="2095929228">
    <w:abstractNumId w:val="5"/>
  </w:num>
  <w:num w:numId="10" w16cid:durableId="718822790">
    <w:abstractNumId w:val="2"/>
  </w:num>
  <w:num w:numId="11" w16cid:durableId="1806969853">
    <w:abstractNumId w:val="12"/>
  </w:num>
  <w:num w:numId="12" w16cid:durableId="1881161723">
    <w:abstractNumId w:val="17"/>
  </w:num>
  <w:num w:numId="13" w16cid:durableId="1223953968">
    <w:abstractNumId w:val="16"/>
  </w:num>
  <w:num w:numId="14" w16cid:durableId="468665757">
    <w:abstractNumId w:val="0"/>
  </w:num>
  <w:num w:numId="15" w16cid:durableId="2041081141">
    <w:abstractNumId w:val="3"/>
  </w:num>
  <w:num w:numId="16" w16cid:durableId="1394740048">
    <w:abstractNumId w:val="6"/>
  </w:num>
  <w:num w:numId="17" w16cid:durableId="1948847310">
    <w:abstractNumId w:val="9"/>
  </w:num>
  <w:num w:numId="18" w16cid:durableId="1283851083">
    <w:abstractNumId w:val="11"/>
  </w:num>
  <w:num w:numId="19" w16cid:durableId="2117358180">
    <w:abstractNumId w:val="4"/>
  </w:num>
  <w:num w:numId="20" w16cid:durableId="1293554039">
    <w:abstractNumId w:val="19"/>
    <w:lvlOverride w:ilvl="0">
      <w:startOverride w:val="1"/>
    </w:lvlOverride>
  </w:num>
  <w:num w:numId="21" w16cid:durableId="582959702">
    <w:abstractNumId w:val="19"/>
    <w:lvlOverride w:ilvl="0">
      <w:startOverride w:val="1"/>
    </w:lvlOverride>
  </w:num>
  <w:num w:numId="22" w16cid:durableId="825436219">
    <w:abstractNumId w:val="19"/>
    <w:lvlOverride w:ilvl="0">
      <w:startOverride w:val="1"/>
    </w:lvlOverride>
  </w:num>
  <w:num w:numId="23" w16cid:durableId="1265845012">
    <w:abstractNumId w:val="19"/>
  </w:num>
  <w:num w:numId="24" w16cid:durableId="2023969925">
    <w:abstractNumId w:val="19"/>
    <w:lvlOverride w:ilvl="0">
      <w:startOverride w:val="1"/>
    </w:lvlOverride>
  </w:num>
  <w:num w:numId="25" w16cid:durableId="1417904073">
    <w:abstractNumId w:val="16"/>
    <w:lvlOverride w:ilvl="0">
      <w:startOverride w:val="1"/>
    </w:lvlOverride>
  </w:num>
  <w:num w:numId="26" w16cid:durableId="913509259">
    <w:abstractNumId w:val="19"/>
    <w:lvlOverride w:ilvl="0">
      <w:startOverride w:val="1"/>
    </w:lvlOverride>
  </w:num>
  <w:num w:numId="27" w16cid:durableId="58091406">
    <w:abstractNumId w:val="19"/>
    <w:lvlOverride w:ilvl="0">
      <w:startOverride w:val="1"/>
    </w:lvlOverride>
  </w:num>
  <w:num w:numId="28" w16cid:durableId="1569806812">
    <w:abstractNumId w:val="19"/>
    <w:lvlOverride w:ilvl="0">
      <w:startOverride w:val="1"/>
    </w:lvlOverride>
  </w:num>
  <w:num w:numId="29" w16cid:durableId="1769229665">
    <w:abstractNumId w:val="19"/>
    <w:lvlOverride w:ilvl="0">
      <w:startOverride w:val="1"/>
    </w:lvlOverride>
  </w:num>
  <w:num w:numId="30" w16cid:durableId="1755467270">
    <w:abstractNumId w:val="19"/>
    <w:lvlOverride w:ilvl="0">
      <w:startOverride w:val="1"/>
    </w:lvlOverride>
  </w:num>
  <w:num w:numId="31" w16cid:durableId="583953503">
    <w:abstractNumId w:val="19"/>
    <w:lvlOverride w:ilvl="0">
      <w:startOverride w:val="1"/>
    </w:lvlOverride>
  </w:num>
  <w:num w:numId="32" w16cid:durableId="556555561">
    <w:abstractNumId w:val="19"/>
    <w:lvlOverride w:ilvl="0">
      <w:startOverride w:val="1"/>
    </w:lvlOverride>
  </w:num>
  <w:num w:numId="33" w16cid:durableId="1556821135">
    <w:abstractNumId w:val="19"/>
    <w:lvlOverride w:ilvl="0">
      <w:startOverride w:val="1"/>
    </w:lvlOverride>
  </w:num>
  <w:num w:numId="34" w16cid:durableId="1701776720">
    <w:abstractNumId w:val="19"/>
    <w:lvlOverride w:ilvl="0">
      <w:startOverride w:val="1"/>
    </w:lvlOverride>
  </w:num>
  <w:num w:numId="35" w16cid:durableId="1541742399">
    <w:abstractNumId w:val="19"/>
    <w:lvlOverride w:ilvl="0">
      <w:startOverride w:val="1"/>
    </w:lvlOverride>
  </w:num>
  <w:num w:numId="36" w16cid:durableId="432240363">
    <w:abstractNumId w:val="12"/>
  </w:num>
  <w:num w:numId="37" w16cid:durableId="1043360658">
    <w:abstractNumId w:val="12"/>
  </w:num>
  <w:num w:numId="38" w16cid:durableId="1946038531">
    <w:abstractNumId w:val="12"/>
  </w:num>
  <w:num w:numId="39" w16cid:durableId="1905948459">
    <w:abstractNumId w:val="12"/>
  </w:num>
  <w:num w:numId="40" w16cid:durableId="1838764433">
    <w:abstractNumId w:val="12"/>
  </w:num>
  <w:num w:numId="41" w16cid:durableId="2103715863">
    <w:abstractNumId w:val="12"/>
  </w:num>
  <w:num w:numId="42" w16cid:durableId="369034185">
    <w:abstractNumId w:val="12"/>
  </w:num>
  <w:num w:numId="43" w16cid:durableId="1379472210">
    <w:abstractNumId w:val="12"/>
  </w:num>
  <w:num w:numId="44" w16cid:durableId="1305160012">
    <w:abstractNumId w:val="12"/>
  </w:num>
  <w:num w:numId="45" w16cid:durableId="1846284297">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0B6"/>
    <w:rsid w:val="00000595"/>
    <w:rsid w:val="000015D3"/>
    <w:rsid w:val="00002CBE"/>
    <w:rsid w:val="00003330"/>
    <w:rsid w:val="000041F8"/>
    <w:rsid w:val="00005296"/>
    <w:rsid w:val="00006D2F"/>
    <w:rsid w:val="00007295"/>
    <w:rsid w:val="000074BA"/>
    <w:rsid w:val="00010315"/>
    <w:rsid w:val="00011356"/>
    <w:rsid w:val="000115DE"/>
    <w:rsid w:val="000116A4"/>
    <w:rsid w:val="0001187B"/>
    <w:rsid w:val="00012880"/>
    <w:rsid w:val="0001371F"/>
    <w:rsid w:val="0001456B"/>
    <w:rsid w:val="00016336"/>
    <w:rsid w:val="00017D92"/>
    <w:rsid w:val="00020925"/>
    <w:rsid w:val="00020BB3"/>
    <w:rsid w:val="00022DA0"/>
    <w:rsid w:val="00024413"/>
    <w:rsid w:val="00025CB4"/>
    <w:rsid w:val="00025D9A"/>
    <w:rsid w:val="00026481"/>
    <w:rsid w:val="00026EE7"/>
    <w:rsid w:val="00027510"/>
    <w:rsid w:val="0003240C"/>
    <w:rsid w:val="00034C62"/>
    <w:rsid w:val="00037DFF"/>
    <w:rsid w:val="00037E2A"/>
    <w:rsid w:val="00040508"/>
    <w:rsid w:val="0004117D"/>
    <w:rsid w:val="00042467"/>
    <w:rsid w:val="00043AFE"/>
    <w:rsid w:val="000458F4"/>
    <w:rsid w:val="00045C7A"/>
    <w:rsid w:val="00045CDF"/>
    <w:rsid w:val="00050259"/>
    <w:rsid w:val="00050542"/>
    <w:rsid w:val="0005150D"/>
    <w:rsid w:val="000534BC"/>
    <w:rsid w:val="000537F9"/>
    <w:rsid w:val="00053943"/>
    <w:rsid w:val="00055190"/>
    <w:rsid w:val="00055D7F"/>
    <w:rsid w:val="000561B6"/>
    <w:rsid w:val="00056B7F"/>
    <w:rsid w:val="00057CE9"/>
    <w:rsid w:val="00057EE4"/>
    <w:rsid w:val="0006187D"/>
    <w:rsid w:val="00062399"/>
    <w:rsid w:val="00063CBB"/>
    <w:rsid w:val="00063F76"/>
    <w:rsid w:val="00064F5A"/>
    <w:rsid w:val="00066FF7"/>
    <w:rsid w:val="0006703F"/>
    <w:rsid w:val="00067EE1"/>
    <w:rsid w:val="00073A3D"/>
    <w:rsid w:val="0007401B"/>
    <w:rsid w:val="00075012"/>
    <w:rsid w:val="000750A5"/>
    <w:rsid w:val="000771E2"/>
    <w:rsid w:val="00077815"/>
    <w:rsid w:val="0007791E"/>
    <w:rsid w:val="00080AB7"/>
    <w:rsid w:val="00080E31"/>
    <w:rsid w:val="000820AD"/>
    <w:rsid w:val="00082667"/>
    <w:rsid w:val="000826B6"/>
    <w:rsid w:val="00082B1B"/>
    <w:rsid w:val="00083C75"/>
    <w:rsid w:val="00083DD0"/>
    <w:rsid w:val="00085392"/>
    <w:rsid w:val="000854B3"/>
    <w:rsid w:val="00086AC5"/>
    <w:rsid w:val="000900DB"/>
    <w:rsid w:val="00090BB5"/>
    <w:rsid w:val="000910E5"/>
    <w:rsid w:val="000934BE"/>
    <w:rsid w:val="00093C5D"/>
    <w:rsid w:val="000940DD"/>
    <w:rsid w:val="00095A38"/>
    <w:rsid w:val="00095B52"/>
    <w:rsid w:val="00095B6D"/>
    <w:rsid w:val="00096547"/>
    <w:rsid w:val="000A00C9"/>
    <w:rsid w:val="000A1D8E"/>
    <w:rsid w:val="000A1F48"/>
    <w:rsid w:val="000A4160"/>
    <w:rsid w:val="000A4BE4"/>
    <w:rsid w:val="000A51A0"/>
    <w:rsid w:val="000A5626"/>
    <w:rsid w:val="000A61CB"/>
    <w:rsid w:val="000A6357"/>
    <w:rsid w:val="000A65F3"/>
    <w:rsid w:val="000A6A87"/>
    <w:rsid w:val="000A6AF5"/>
    <w:rsid w:val="000A7594"/>
    <w:rsid w:val="000A7CAC"/>
    <w:rsid w:val="000B01C7"/>
    <w:rsid w:val="000B1E68"/>
    <w:rsid w:val="000B2379"/>
    <w:rsid w:val="000B262B"/>
    <w:rsid w:val="000B2831"/>
    <w:rsid w:val="000B3CF1"/>
    <w:rsid w:val="000B3D81"/>
    <w:rsid w:val="000B40ED"/>
    <w:rsid w:val="000B5520"/>
    <w:rsid w:val="000B7092"/>
    <w:rsid w:val="000B717E"/>
    <w:rsid w:val="000B75B3"/>
    <w:rsid w:val="000B77A1"/>
    <w:rsid w:val="000C089A"/>
    <w:rsid w:val="000C0D5F"/>
    <w:rsid w:val="000C1C06"/>
    <w:rsid w:val="000C3245"/>
    <w:rsid w:val="000C3388"/>
    <w:rsid w:val="000C3F38"/>
    <w:rsid w:val="000C4621"/>
    <w:rsid w:val="000C7349"/>
    <w:rsid w:val="000D1810"/>
    <w:rsid w:val="000D538A"/>
    <w:rsid w:val="000D556D"/>
    <w:rsid w:val="000D6A83"/>
    <w:rsid w:val="000D6DEC"/>
    <w:rsid w:val="000D6ED8"/>
    <w:rsid w:val="000D76D6"/>
    <w:rsid w:val="000D79CC"/>
    <w:rsid w:val="000D7E05"/>
    <w:rsid w:val="000E1727"/>
    <w:rsid w:val="000E1FE2"/>
    <w:rsid w:val="000E231D"/>
    <w:rsid w:val="000E2581"/>
    <w:rsid w:val="000E3FD7"/>
    <w:rsid w:val="000E508E"/>
    <w:rsid w:val="000E5A77"/>
    <w:rsid w:val="000E5E53"/>
    <w:rsid w:val="000E66B7"/>
    <w:rsid w:val="000E6970"/>
    <w:rsid w:val="000E6E2F"/>
    <w:rsid w:val="000E7506"/>
    <w:rsid w:val="000F0081"/>
    <w:rsid w:val="000F07BA"/>
    <w:rsid w:val="000F09D1"/>
    <w:rsid w:val="000F1AB8"/>
    <w:rsid w:val="000F1B38"/>
    <w:rsid w:val="000F2527"/>
    <w:rsid w:val="000F3E9B"/>
    <w:rsid w:val="000F4159"/>
    <w:rsid w:val="000F600D"/>
    <w:rsid w:val="000F633D"/>
    <w:rsid w:val="000F76C4"/>
    <w:rsid w:val="00101B83"/>
    <w:rsid w:val="00101EDA"/>
    <w:rsid w:val="001042DD"/>
    <w:rsid w:val="0010568B"/>
    <w:rsid w:val="001058EC"/>
    <w:rsid w:val="00105DD3"/>
    <w:rsid w:val="00106602"/>
    <w:rsid w:val="00106951"/>
    <w:rsid w:val="00106B5A"/>
    <w:rsid w:val="0010774F"/>
    <w:rsid w:val="00107CDA"/>
    <w:rsid w:val="00107ED6"/>
    <w:rsid w:val="00110804"/>
    <w:rsid w:val="0011112D"/>
    <w:rsid w:val="00111697"/>
    <w:rsid w:val="00111766"/>
    <w:rsid w:val="001119AB"/>
    <w:rsid w:val="001121C5"/>
    <w:rsid w:val="00113E0A"/>
    <w:rsid w:val="00114294"/>
    <w:rsid w:val="0011467B"/>
    <w:rsid w:val="0011479C"/>
    <w:rsid w:val="001149FE"/>
    <w:rsid w:val="00114D5F"/>
    <w:rsid w:val="00114D7E"/>
    <w:rsid w:val="00114FAA"/>
    <w:rsid w:val="00115E7D"/>
    <w:rsid w:val="0011644C"/>
    <w:rsid w:val="00116F61"/>
    <w:rsid w:val="0011774C"/>
    <w:rsid w:val="001204D9"/>
    <w:rsid w:val="001216A8"/>
    <w:rsid w:val="00121877"/>
    <w:rsid w:val="00121FED"/>
    <w:rsid w:val="0012515A"/>
    <w:rsid w:val="0012527E"/>
    <w:rsid w:val="00125972"/>
    <w:rsid w:val="0012613A"/>
    <w:rsid w:val="00126621"/>
    <w:rsid w:val="00126E9F"/>
    <w:rsid w:val="001273CC"/>
    <w:rsid w:val="00130403"/>
    <w:rsid w:val="00130E46"/>
    <w:rsid w:val="00131224"/>
    <w:rsid w:val="00133108"/>
    <w:rsid w:val="001344BA"/>
    <w:rsid w:val="001344CC"/>
    <w:rsid w:val="00134B70"/>
    <w:rsid w:val="0013597A"/>
    <w:rsid w:val="00136BB5"/>
    <w:rsid w:val="00140C1C"/>
    <w:rsid w:val="00140C72"/>
    <w:rsid w:val="0014109A"/>
    <w:rsid w:val="0014232E"/>
    <w:rsid w:val="00144616"/>
    <w:rsid w:val="00145118"/>
    <w:rsid w:val="0014592C"/>
    <w:rsid w:val="001474AB"/>
    <w:rsid w:val="00147797"/>
    <w:rsid w:val="00151296"/>
    <w:rsid w:val="00151CD8"/>
    <w:rsid w:val="00151D07"/>
    <w:rsid w:val="00152987"/>
    <w:rsid w:val="00153840"/>
    <w:rsid w:val="00155452"/>
    <w:rsid w:val="00155617"/>
    <w:rsid w:val="00155A1F"/>
    <w:rsid w:val="00156281"/>
    <w:rsid w:val="00156A73"/>
    <w:rsid w:val="001619DF"/>
    <w:rsid w:val="001622F7"/>
    <w:rsid w:val="00162672"/>
    <w:rsid w:val="001639DF"/>
    <w:rsid w:val="00163BA1"/>
    <w:rsid w:val="0016403A"/>
    <w:rsid w:val="001662E8"/>
    <w:rsid w:val="00167824"/>
    <w:rsid w:val="00170376"/>
    <w:rsid w:val="00170759"/>
    <w:rsid w:val="0017080E"/>
    <w:rsid w:val="00173B38"/>
    <w:rsid w:val="001748B7"/>
    <w:rsid w:val="00174BC5"/>
    <w:rsid w:val="00175C48"/>
    <w:rsid w:val="00175F06"/>
    <w:rsid w:val="00176137"/>
    <w:rsid w:val="00176931"/>
    <w:rsid w:val="00176EFB"/>
    <w:rsid w:val="0017727E"/>
    <w:rsid w:val="001778BB"/>
    <w:rsid w:val="00177BB1"/>
    <w:rsid w:val="0018067B"/>
    <w:rsid w:val="00182172"/>
    <w:rsid w:val="001828D2"/>
    <w:rsid w:val="00182DB7"/>
    <w:rsid w:val="0018303B"/>
    <w:rsid w:val="001852C3"/>
    <w:rsid w:val="00186954"/>
    <w:rsid w:val="001872B3"/>
    <w:rsid w:val="00191F45"/>
    <w:rsid w:val="00193DE3"/>
    <w:rsid w:val="00193ECF"/>
    <w:rsid w:val="0019487D"/>
    <w:rsid w:val="001970AC"/>
    <w:rsid w:val="00197511"/>
    <w:rsid w:val="001A0DBE"/>
    <w:rsid w:val="001A19B8"/>
    <w:rsid w:val="001A2538"/>
    <w:rsid w:val="001A2692"/>
    <w:rsid w:val="001A2BE5"/>
    <w:rsid w:val="001A3BE4"/>
    <w:rsid w:val="001A3C09"/>
    <w:rsid w:val="001A409F"/>
    <w:rsid w:val="001A5DF5"/>
    <w:rsid w:val="001A6F64"/>
    <w:rsid w:val="001B0059"/>
    <w:rsid w:val="001B0E77"/>
    <w:rsid w:val="001B1016"/>
    <w:rsid w:val="001B17E5"/>
    <w:rsid w:val="001B1CD3"/>
    <w:rsid w:val="001B2868"/>
    <w:rsid w:val="001B2DAE"/>
    <w:rsid w:val="001B45FD"/>
    <w:rsid w:val="001B549F"/>
    <w:rsid w:val="001B67B2"/>
    <w:rsid w:val="001B7F72"/>
    <w:rsid w:val="001C0116"/>
    <w:rsid w:val="001C1113"/>
    <w:rsid w:val="001C1C2B"/>
    <w:rsid w:val="001C2754"/>
    <w:rsid w:val="001C323D"/>
    <w:rsid w:val="001C36A0"/>
    <w:rsid w:val="001C36E1"/>
    <w:rsid w:val="001C3AF9"/>
    <w:rsid w:val="001C5350"/>
    <w:rsid w:val="001C6053"/>
    <w:rsid w:val="001C7621"/>
    <w:rsid w:val="001C78C5"/>
    <w:rsid w:val="001D036A"/>
    <w:rsid w:val="001D0747"/>
    <w:rsid w:val="001D0B84"/>
    <w:rsid w:val="001D148F"/>
    <w:rsid w:val="001D29B8"/>
    <w:rsid w:val="001D5977"/>
    <w:rsid w:val="001D6604"/>
    <w:rsid w:val="001E08A9"/>
    <w:rsid w:val="001E2DAD"/>
    <w:rsid w:val="001E389B"/>
    <w:rsid w:val="001E71E2"/>
    <w:rsid w:val="001E7290"/>
    <w:rsid w:val="001F0A40"/>
    <w:rsid w:val="001F1124"/>
    <w:rsid w:val="001F16D6"/>
    <w:rsid w:val="001F2022"/>
    <w:rsid w:val="001F256F"/>
    <w:rsid w:val="001F44D9"/>
    <w:rsid w:val="001F57C9"/>
    <w:rsid w:val="001F6C17"/>
    <w:rsid w:val="00201067"/>
    <w:rsid w:val="00202253"/>
    <w:rsid w:val="00202E48"/>
    <w:rsid w:val="002034F5"/>
    <w:rsid w:val="0020372B"/>
    <w:rsid w:val="00205719"/>
    <w:rsid w:val="00205A11"/>
    <w:rsid w:val="00206105"/>
    <w:rsid w:val="0020725E"/>
    <w:rsid w:val="00211052"/>
    <w:rsid w:val="00211622"/>
    <w:rsid w:val="002118F2"/>
    <w:rsid w:val="0021479C"/>
    <w:rsid w:val="00214CDE"/>
    <w:rsid w:val="00215498"/>
    <w:rsid w:val="00216708"/>
    <w:rsid w:val="00217166"/>
    <w:rsid w:val="00217462"/>
    <w:rsid w:val="0022105A"/>
    <w:rsid w:val="00221B24"/>
    <w:rsid w:val="00221CB8"/>
    <w:rsid w:val="00221E30"/>
    <w:rsid w:val="0022279F"/>
    <w:rsid w:val="00223E22"/>
    <w:rsid w:val="002305B5"/>
    <w:rsid w:val="00233CA8"/>
    <w:rsid w:val="00233CC0"/>
    <w:rsid w:val="00233D6B"/>
    <w:rsid w:val="0023408C"/>
    <w:rsid w:val="0023507D"/>
    <w:rsid w:val="0023620B"/>
    <w:rsid w:val="002364A3"/>
    <w:rsid w:val="00236C42"/>
    <w:rsid w:val="00237068"/>
    <w:rsid w:val="002372EC"/>
    <w:rsid w:val="0023744C"/>
    <w:rsid w:val="002377D1"/>
    <w:rsid w:val="002423B2"/>
    <w:rsid w:val="00244044"/>
    <w:rsid w:val="0024596C"/>
    <w:rsid w:val="00245CF3"/>
    <w:rsid w:val="00245D3C"/>
    <w:rsid w:val="00245EDC"/>
    <w:rsid w:val="002467FA"/>
    <w:rsid w:val="00246D4E"/>
    <w:rsid w:val="00247C52"/>
    <w:rsid w:val="00254C73"/>
    <w:rsid w:val="00256434"/>
    <w:rsid w:val="00256881"/>
    <w:rsid w:val="0025772F"/>
    <w:rsid w:val="0025780A"/>
    <w:rsid w:val="00257AF4"/>
    <w:rsid w:val="00260580"/>
    <w:rsid w:val="0026154F"/>
    <w:rsid w:val="002616C5"/>
    <w:rsid w:val="002627CF"/>
    <w:rsid w:val="002632CF"/>
    <w:rsid w:val="00263B13"/>
    <w:rsid w:val="00263E71"/>
    <w:rsid w:val="00264617"/>
    <w:rsid w:val="00264B4E"/>
    <w:rsid w:val="002652B9"/>
    <w:rsid w:val="002654CE"/>
    <w:rsid w:val="00265C46"/>
    <w:rsid w:val="00265E28"/>
    <w:rsid w:val="00267C98"/>
    <w:rsid w:val="00271ECA"/>
    <w:rsid w:val="00272EF7"/>
    <w:rsid w:val="0027304F"/>
    <w:rsid w:val="0027453C"/>
    <w:rsid w:val="00276915"/>
    <w:rsid w:val="002820CB"/>
    <w:rsid w:val="00282248"/>
    <w:rsid w:val="0028284E"/>
    <w:rsid w:val="00282B2D"/>
    <w:rsid w:val="0028330F"/>
    <w:rsid w:val="0028384F"/>
    <w:rsid w:val="00283DFE"/>
    <w:rsid w:val="002852C2"/>
    <w:rsid w:val="0028637B"/>
    <w:rsid w:val="00287280"/>
    <w:rsid w:val="0029259E"/>
    <w:rsid w:val="00292C4F"/>
    <w:rsid w:val="00292D3B"/>
    <w:rsid w:val="002934CC"/>
    <w:rsid w:val="00294CA9"/>
    <w:rsid w:val="00295A1F"/>
    <w:rsid w:val="002965D8"/>
    <w:rsid w:val="002969A4"/>
    <w:rsid w:val="00297DCE"/>
    <w:rsid w:val="002A01BE"/>
    <w:rsid w:val="002A03F6"/>
    <w:rsid w:val="002A0939"/>
    <w:rsid w:val="002A13EF"/>
    <w:rsid w:val="002A1D62"/>
    <w:rsid w:val="002A1D93"/>
    <w:rsid w:val="002A29B0"/>
    <w:rsid w:val="002A5934"/>
    <w:rsid w:val="002A5FE2"/>
    <w:rsid w:val="002A7E18"/>
    <w:rsid w:val="002B045B"/>
    <w:rsid w:val="002B1188"/>
    <w:rsid w:val="002B17AD"/>
    <w:rsid w:val="002B1BEB"/>
    <w:rsid w:val="002B3553"/>
    <w:rsid w:val="002B3934"/>
    <w:rsid w:val="002B444A"/>
    <w:rsid w:val="002B46FC"/>
    <w:rsid w:val="002B4A84"/>
    <w:rsid w:val="002B508B"/>
    <w:rsid w:val="002B5F5F"/>
    <w:rsid w:val="002B7A67"/>
    <w:rsid w:val="002C08A0"/>
    <w:rsid w:val="002C13AF"/>
    <w:rsid w:val="002C37B9"/>
    <w:rsid w:val="002C385A"/>
    <w:rsid w:val="002C3A6D"/>
    <w:rsid w:val="002C46FD"/>
    <w:rsid w:val="002C5250"/>
    <w:rsid w:val="002C74E9"/>
    <w:rsid w:val="002C7EA2"/>
    <w:rsid w:val="002D09CA"/>
    <w:rsid w:val="002D17E9"/>
    <w:rsid w:val="002D1BA4"/>
    <w:rsid w:val="002D38B5"/>
    <w:rsid w:val="002D38E3"/>
    <w:rsid w:val="002D4FF3"/>
    <w:rsid w:val="002D6C9F"/>
    <w:rsid w:val="002D702B"/>
    <w:rsid w:val="002E02B1"/>
    <w:rsid w:val="002E24BE"/>
    <w:rsid w:val="002E4E55"/>
    <w:rsid w:val="002E5187"/>
    <w:rsid w:val="002E5D4C"/>
    <w:rsid w:val="002E5ECB"/>
    <w:rsid w:val="002E643F"/>
    <w:rsid w:val="002E6B9E"/>
    <w:rsid w:val="002E7870"/>
    <w:rsid w:val="002E7CDE"/>
    <w:rsid w:val="002E7D62"/>
    <w:rsid w:val="002F0386"/>
    <w:rsid w:val="002F1A88"/>
    <w:rsid w:val="002F2BBF"/>
    <w:rsid w:val="002F2D3C"/>
    <w:rsid w:val="002F38BD"/>
    <w:rsid w:val="002F3A9C"/>
    <w:rsid w:val="002F42BB"/>
    <w:rsid w:val="002F4AA6"/>
    <w:rsid w:val="002F552C"/>
    <w:rsid w:val="002F5B0C"/>
    <w:rsid w:val="002F6570"/>
    <w:rsid w:val="002F769C"/>
    <w:rsid w:val="002F7CF2"/>
    <w:rsid w:val="00300679"/>
    <w:rsid w:val="00300E9A"/>
    <w:rsid w:val="00301089"/>
    <w:rsid w:val="00302829"/>
    <w:rsid w:val="00303261"/>
    <w:rsid w:val="00303332"/>
    <w:rsid w:val="00303A16"/>
    <w:rsid w:val="0030571A"/>
    <w:rsid w:val="00305AB7"/>
    <w:rsid w:val="003072DE"/>
    <w:rsid w:val="00307EBD"/>
    <w:rsid w:val="00310369"/>
    <w:rsid w:val="003105ED"/>
    <w:rsid w:val="00310E54"/>
    <w:rsid w:val="0031154B"/>
    <w:rsid w:val="00312EEC"/>
    <w:rsid w:val="00314D0A"/>
    <w:rsid w:val="003173C9"/>
    <w:rsid w:val="003176CF"/>
    <w:rsid w:val="00317E9A"/>
    <w:rsid w:val="003208BE"/>
    <w:rsid w:val="00321170"/>
    <w:rsid w:val="003215D5"/>
    <w:rsid w:val="00323181"/>
    <w:rsid w:val="003244CB"/>
    <w:rsid w:val="00325124"/>
    <w:rsid w:val="00327467"/>
    <w:rsid w:val="00332B2C"/>
    <w:rsid w:val="00333742"/>
    <w:rsid w:val="00333FDE"/>
    <w:rsid w:val="00335811"/>
    <w:rsid w:val="00335C6F"/>
    <w:rsid w:val="00335C8D"/>
    <w:rsid w:val="00335CFE"/>
    <w:rsid w:val="0033620F"/>
    <w:rsid w:val="00342444"/>
    <w:rsid w:val="0034310D"/>
    <w:rsid w:val="0034353E"/>
    <w:rsid w:val="003447F6"/>
    <w:rsid w:val="00345EDC"/>
    <w:rsid w:val="0034603E"/>
    <w:rsid w:val="00347735"/>
    <w:rsid w:val="00350FE9"/>
    <w:rsid w:val="00352164"/>
    <w:rsid w:val="0035382F"/>
    <w:rsid w:val="003549EE"/>
    <w:rsid w:val="00355AE3"/>
    <w:rsid w:val="00356525"/>
    <w:rsid w:val="0036108A"/>
    <w:rsid w:val="003617E0"/>
    <w:rsid w:val="00361FF9"/>
    <w:rsid w:val="00363042"/>
    <w:rsid w:val="0036495E"/>
    <w:rsid w:val="0036499C"/>
    <w:rsid w:val="00364DE9"/>
    <w:rsid w:val="003650AC"/>
    <w:rsid w:val="00365230"/>
    <w:rsid w:val="0037122F"/>
    <w:rsid w:val="00372B43"/>
    <w:rsid w:val="00372E0E"/>
    <w:rsid w:val="00372FE5"/>
    <w:rsid w:val="00374FB4"/>
    <w:rsid w:val="003753A4"/>
    <w:rsid w:val="00375DC0"/>
    <w:rsid w:val="00376104"/>
    <w:rsid w:val="003772BF"/>
    <w:rsid w:val="003779E6"/>
    <w:rsid w:val="0038098C"/>
    <w:rsid w:val="00380C09"/>
    <w:rsid w:val="00381D4B"/>
    <w:rsid w:val="003825DE"/>
    <w:rsid w:val="003828D4"/>
    <w:rsid w:val="00382B8B"/>
    <w:rsid w:val="00382D26"/>
    <w:rsid w:val="00383EA0"/>
    <w:rsid w:val="003851D2"/>
    <w:rsid w:val="003859D0"/>
    <w:rsid w:val="00386132"/>
    <w:rsid w:val="00386BB8"/>
    <w:rsid w:val="00387A4A"/>
    <w:rsid w:val="00390488"/>
    <w:rsid w:val="003906CF"/>
    <w:rsid w:val="00390F06"/>
    <w:rsid w:val="003913EE"/>
    <w:rsid w:val="00392697"/>
    <w:rsid w:val="00393EDA"/>
    <w:rsid w:val="00396510"/>
    <w:rsid w:val="0039673C"/>
    <w:rsid w:val="003A0971"/>
    <w:rsid w:val="003A13F8"/>
    <w:rsid w:val="003A15FF"/>
    <w:rsid w:val="003A173F"/>
    <w:rsid w:val="003A1F38"/>
    <w:rsid w:val="003A36BB"/>
    <w:rsid w:val="003A6B67"/>
    <w:rsid w:val="003B030C"/>
    <w:rsid w:val="003B0482"/>
    <w:rsid w:val="003B0FCD"/>
    <w:rsid w:val="003B1860"/>
    <w:rsid w:val="003B1E8B"/>
    <w:rsid w:val="003B1FF7"/>
    <w:rsid w:val="003B2B10"/>
    <w:rsid w:val="003B3CE2"/>
    <w:rsid w:val="003B4784"/>
    <w:rsid w:val="003B4C29"/>
    <w:rsid w:val="003B51CD"/>
    <w:rsid w:val="003B76B8"/>
    <w:rsid w:val="003B7DAA"/>
    <w:rsid w:val="003B7DCB"/>
    <w:rsid w:val="003B7F05"/>
    <w:rsid w:val="003C0A24"/>
    <w:rsid w:val="003C45D8"/>
    <w:rsid w:val="003C6EE2"/>
    <w:rsid w:val="003C6F13"/>
    <w:rsid w:val="003C7665"/>
    <w:rsid w:val="003D0DFC"/>
    <w:rsid w:val="003D17C7"/>
    <w:rsid w:val="003D2A92"/>
    <w:rsid w:val="003D2D81"/>
    <w:rsid w:val="003D30B9"/>
    <w:rsid w:val="003D482A"/>
    <w:rsid w:val="003D548C"/>
    <w:rsid w:val="003D6FA9"/>
    <w:rsid w:val="003D723D"/>
    <w:rsid w:val="003D7B9E"/>
    <w:rsid w:val="003E0011"/>
    <w:rsid w:val="003E0DCC"/>
    <w:rsid w:val="003E1278"/>
    <w:rsid w:val="003E1EC5"/>
    <w:rsid w:val="003E292B"/>
    <w:rsid w:val="003E31BA"/>
    <w:rsid w:val="003E5C5C"/>
    <w:rsid w:val="003E5D28"/>
    <w:rsid w:val="003E7B6B"/>
    <w:rsid w:val="003F20D7"/>
    <w:rsid w:val="003F25A7"/>
    <w:rsid w:val="003F2CC2"/>
    <w:rsid w:val="003F3878"/>
    <w:rsid w:val="003F3BBE"/>
    <w:rsid w:val="003F4149"/>
    <w:rsid w:val="003F4501"/>
    <w:rsid w:val="003F52DF"/>
    <w:rsid w:val="003F7623"/>
    <w:rsid w:val="003F7CD0"/>
    <w:rsid w:val="00400818"/>
    <w:rsid w:val="00400F6C"/>
    <w:rsid w:val="004012E7"/>
    <w:rsid w:val="004014BB"/>
    <w:rsid w:val="00401930"/>
    <w:rsid w:val="00401B70"/>
    <w:rsid w:val="00401E9A"/>
    <w:rsid w:val="00402097"/>
    <w:rsid w:val="00402964"/>
    <w:rsid w:val="00402E39"/>
    <w:rsid w:val="004039E5"/>
    <w:rsid w:val="004065AA"/>
    <w:rsid w:val="004079E4"/>
    <w:rsid w:val="00407BC8"/>
    <w:rsid w:val="0041075A"/>
    <w:rsid w:val="004110B8"/>
    <w:rsid w:val="00411593"/>
    <w:rsid w:val="00411FBE"/>
    <w:rsid w:val="004130AA"/>
    <w:rsid w:val="00413A71"/>
    <w:rsid w:val="0041743B"/>
    <w:rsid w:val="004179EC"/>
    <w:rsid w:val="00421553"/>
    <w:rsid w:val="00421731"/>
    <w:rsid w:val="004237A6"/>
    <w:rsid w:val="00426C2C"/>
    <w:rsid w:val="00430034"/>
    <w:rsid w:val="00430630"/>
    <w:rsid w:val="004313D8"/>
    <w:rsid w:val="004330D7"/>
    <w:rsid w:val="00435EDE"/>
    <w:rsid w:val="0043634B"/>
    <w:rsid w:val="0043661F"/>
    <w:rsid w:val="0043699C"/>
    <w:rsid w:val="004369F1"/>
    <w:rsid w:val="00437C48"/>
    <w:rsid w:val="00442A35"/>
    <w:rsid w:val="00443A25"/>
    <w:rsid w:val="0044402B"/>
    <w:rsid w:val="00447DEA"/>
    <w:rsid w:val="00447EB5"/>
    <w:rsid w:val="00450C88"/>
    <w:rsid w:val="00450D3D"/>
    <w:rsid w:val="00450F14"/>
    <w:rsid w:val="00451B13"/>
    <w:rsid w:val="00453734"/>
    <w:rsid w:val="00454782"/>
    <w:rsid w:val="004553C7"/>
    <w:rsid w:val="004555A0"/>
    <w:rsid w:val="00455CB6"/>
    <w:rsid w:val="004561B8"/>
    <w:rsid w:val="00456BAA"/>
    <w:rsid w:val="00461A2B"/>
    <w:rsid w:val="00462021"/>
    <w:rsid w:val="00462624"/>
    <w:rsid w:val="0046275D"/>
    <w:rsid w:val="00463535"/>
    <w:rsid w:val="00463D42"/>
    <w:rsid w:val="00464690"/>
    <w:rsid w:val="0046481F"/>
    <w:rsid w:val="00464E88"/>
    <w:rsid w:val="00471AF6"/>
    <w:rsid w:val="0047210C"/>
    <w:rsid w:val="00473661"/>
    <w:rsid w:val="0047386C"/>
    <w:rsid w:val="00474E0B"/>
    <w:rsid w:val="00475A87"/>
    <w:rsid w:val="0048264D"/>
    <w:rsid w:val="00483881"/>
    <w:rsid w:val="004845D9"/>
    <w:rsid w:val="00485544"/>
    <w:rsid w:val="00485E41"/>
    <w:rsid w:val="004860D5"/>
    <w:rsid w:val="004868FA"/>
    <w:rsid w:val="00486E0C"/>
    <w:rsid w:val="00487738"/>
    <w:rsid w:val="004878A5"/>
    <w:rsid w:val="00487CE9"/>
    <w:rsid w:val="00487E95"/>
    <w:rsid w:val="004905F8"/>
    <w:rsid w:val="00492622"/>
    <w:rsid w:val="00492F96"/>
    <w:rsid w:val="00493166"/>
    <w:rsid w:val="004944C6"/>
    <w:rsid w:val="00495330"/>
    <w:rsid w:val="00495509"/>
    <w:rsid w:val="00496983"/>
    <w:rsid w:val="00496A7E"/>
    <w:rsid w:val="00496EE6"/>
    <w:rsid w:val="004973A9"/>
    <w:rsid w:val="004974BA"/>
    <w:rsid w:val="004A1A9B"/>
    <w:rsid w:val="004A2083"/>
    <w:rsid w:val="004A2379"/>
    <w:rsid w:val="004A23E8"/>
    <w:rsid w:val="004A2BA4"/>
    <w:rsid w:val="004A320C"/>
    <w:rsid w:val="004A3470"/>
    <w:rsid w:val="004A480C"/>
    <w:rsid w:val="004A532C"/>
    <w:rsid w:val="004A5C92"/>
    <w:rsid w:val="004A62A7"/>
    <w:rsid w:val="004A7182"/>
    <w:rsid w:val="004A7CAA"/>
    <w:rsid w:val="004B10CB"/>
    <w:rsid w:val="004B178A"/>
    <w:rsid w:val="004B213E"/>
    <w:rsid w:val="004B2367"/>
    <w:rsid w:val="004B3AA9"/>
    <w:rsid w:val="004B3ACF"/>
    <w:rsid w:val="004B5A68"/>
    <w:rsid w:val="004B629B"/>
    <w:rsid w:val="004B662C"/>
    <w:rsid w:val="004C0996"/>
    <w:rsid w:val="004C0A60"/>
    <w:rsid w:val="004C0DEA"/>
    <w:rsid w:val="004C1CC1"/>
    <w:rsid w:val="004C3B9E"/>
    <w:rsid w:val="004C4539"/>
    <w:rsid w:val="004C4845"/>
    <w:rsid w:val="004C50CF"/>
    <w:rsid w:val="004C6376"/>
    <w:rsid w:val="004D0E28"/>
    <w:rsid w:val="004D0F77"/>
    <w:rsid w:val="004D38E1"/>
    <w:rsid w:val="004D4341"/>
    <w:rsid w:val="004D4E51"/>
    <w:rsid w:val="004D7C45"/>
    <w:rsid w:val="004D7DF2"/>
    <w:rsid w:val="004E0C55"/>
    <w:rsid w:val="004E2059"/>
    <w:rsid w:val="004E287C"/>
    <w:rsid w:val="004E293C"/>
    <w:rsid w:val="004E4E46"/>
    <w:rsid w:val="004E535F"/>
    <w:rsid w:val="004E7550"/>
    <w:rsid w:val="004F02E8"/>
    <w:rsid w:val="004F200B"/>
    <w:rsid w:val="004F2C7D"/>
    <w:rsid w:val="004F2DAD"/>
    <w:rsid w:val="004F39EE"/>
    <w:rsid w:val="004F3C82"/>
    <w:rsid w:val="004F48F2"/>
    <w:rsid w:val="004F5498"/>
    <w:rsid w:val="004F6F7A"/>
    <w:rsid w:val="004F75EB"/>
    <w:rsid w:val="005006BD"/>
    <w:rsid w:val="00500D65"/>
    <w:rsid w:val="005017A1"/>
    <w:rsid w:val="005017EA"/>
    <w:rsid w:val="00501BD1"/>
    <w:rsid w:val="00502381"/>
    <w:rsid w:val="00502536"/>
    <w:rsid w:val="0050269E"/>
    <w:rsid w:val="00503647"/>
    <w:rsid w:val="00503DD4"/>
    <w:rsid w:val="00505306"/>
    <w:rsid w:val="005060D1"/>
    <w:rsid w:val="00506C94"/>
    <w:rsid w:val="00510256"/>
    <w:rsid w:val="00510921"/>
    <w:rsid w:val="005113F9"/>
    <w:rsid w:val="0051169E"/>
    <w:rsid w:val="00511F06"/>
    <w:rsid w:val="00512E3A"/>
    <w:rsid w:val="00513CA7"/>
    <w:rsid w:val="00514B5F"/>
    <w:rsid w:val="00514D64"/>
    <w:rsid w:val="0051540A"/>
    <w:rsid w:val="005154B9"/>
    <w:rsid w:val="005167C5"/>
    <w:rsid w:val="00517C2B"/>
    <w:rsid w:val="005206A6"/>
    <w:rsid w:val="0052098C"/>
    <w:rsid w:val="00521760"/>
    <w:rsid w:val="00521FB9"/>
    <w:rsid w:val="005229F7"/>
    <w:rsid w:val="00522C55"/>
    <w:rsid w:val="005230B1"/>
    <w:rsid w:val="005235A3"/>
    <w:rsid w:val="005235EE"/>
    <w:rsid w:val="005235FB"/>
    <w:rsid w:val="00523C3A"/>
    <w:rsid w:val="00524169"/>
    <w:rsid w:val="00524828"/>
    <w:rsid w:val="005251BB"/>
    <w:rsid w:val="005252CA"/>
    <w:rsid w:val="005259A2"/>
    <w:rsid w:val="005264C6"/>
    <w:rsid w:val="005265B3"/>
    <w:rsid w:val="00526E2C"/>
    <w:rsid w:val="00526F85"/>
    <w:rsid w:val="00530A4C"/>
    <w:rsid w:val="00532459"/>
    <w:rsid w:val="005330F8"/>
    <w:rsid w:val="00533639"/>
    <w:rsid w:val="00534EB5"/>
    <w:rsid w:val="005366E4"/>
    <w:rsid w:val="00536809"/>
    <w:rsid w:val="005370C8"/>
    <w:rsid w:val="00537A89"/>
    <w:rsid w:val="00537C3D"/>
    <w:rsid w:val="00540242"/>
    <w:rsid w:val="00540A85"/>
    <w:rsid w:val="00541015"/>
    <w:rsid w:val="005417E9"/>
    <w:rsid w:val="00541C82"/>
    <w:rsid w:val="005423EC"/>
    <w:rsid w:val="00542611"/>
    <w:rsid w:val="00543EF6"/>
    <w:rsid w:val="00544488"/>
    <w:rsid w:val="005453CF"/>
    <w:rsid w:val="00545DF6"/>
    <w:rsid w:val="005468C4"/>
    <w:rsid w:val="00546A4D"/>
    <w:rsid w:val="00546A7E"/>
    <w:rsid w:val="00547389"/>
    <w:rsid w:val="005475DE"/>
    <w:rsid w:val="00552662"/>
    <w:rsid w:val="00553348"/>
    <w:rsid w:val="00553BF0"/>
    <w:rsid w:val="00554E70"/>
    <w:rsid w:val="00555B34"/>
    <w:rsid w:val="00555E5C"/>
    <w:rsid w:val="00556793"/>
    <w:rsid w:val="005571D0"/>
    <w:rsid w:val="00557601"/>
    <w:rsid w:val="00557B56"/>
    <w:rsid w:val="00560D94"/>
    <w:rsid w:val="0056195E"/>
    <w:rsid w:val="005621BB"/>
    <w:rsid w:val="00562A20"/>
    <w:rsid w:val="00563238"/>
    <w:rsid w:val="005636FD"/>
    <w:rsid w:val="00563984"/>
    <w:rsid w:val="005646BC"/>
    <w:rsid w:val="00564791"/>
    <w:rsid w:val="00564CBD"/>
    <w:rsid w:val="0056595C"/>
    <w:rsid w:val="00565DFA"/>
    <w:rsid w:val="005671A7"/>
    <w:rsid w:val="005675C1"/>
    <w:rsid w:val="0056764D"/>
    <w:rsid w:val="00567831"/>
    <w:rsid w:val="00570021"/>
    <w:rsid w:val="00571213"/>
    <w:rsid w:val="005720F7"/>
    <w:rsid w:val="005738AD"/>
    <w:rsid w:val="005739C7"/>
    <w:rsid w:val="00574836"/>
    <w:rsid w:val="00575444"/>
    <w:rsid w:val="005754D7"/>
    <w:rsid w:val="0057593D"/>
    <w:rsid w:val="00576442"/>
    <w:rsid w:val="005764D1"/>
    <w:rsid w:val="00580061"/>
    <w:rsid w:val="00580551"/>
    <w:rsid w:val="00581893"/>
    <w:rsid w:val="00582820"/>
    <w:rsid w:val="005833B7"/>
    <w:rsid w:val="00584443"/>
    <w:rsid w:val="0058543E"/>
    <w:rsid w:val="005857E2"/>
    <w:rsid w:val="00585F01"/>
    <w:rsid w:val="00586499"/>
    <w:rsid w:val="00586B30"/>
    <w:rsid w:val="00586E7A"/>
    <w:rsid w:val="0059043A"/>
    <w:rsid w:val="0059073A"/>
    <w:rsid w:val="00590F54"/>
    <w:rsid w:val="0059274D"/>
    <w:rsid w:val="00592A38"/>
    <w:rsid w:val="00592DC3"/>
    <w:rsid w:val="005935AE"/>
    <w:rsid w:val="00594208"/>
    <w:rsid w:val="005955B2"/>
    <w:rsid w:val="00596DFE"/>
    <w:rsid w:val="00597374"/>
    <w:rsid w:val="005A0670"/>
    <w:rsid w:val="005A1104"/>
    <w:rsid w:val="005A21C2"/>
    <w:rsid w:val="005A374E"/>
    <w:rsid w:val="005A379A"/>
    <w:rsid w:val="005A3D67"/>
    <w:rsid w:val="005A3DFC"/>
    <w:rsid w:val="005A3EEA"/>
    <w:rsid w:val="005A5C26"/>
    <w:rsid w:val="005A681F"/>
    <w:rsid w:val="005A70E2"/>
    <w:rsid w:val="005A72AE"/>
    <w:rsid w:val="005B0B4F"/>
    <w:rsid w:val="005B20A5"/>
    <w:rsid w:val="005B23C2"/>
    <w:rsid w:val="005B2D55"/>
    <w:rsid w:val="005B2F7D"/>
    <w:rsid w:val="005B3CEF"/>
    <w:rsid w:val="005B4D72"/>
    <w:rsid w:val="005B4D84"/>
    <w:rsid w:val="005B4DF1"/>
    <w:rsid w:val="005B59EE"/>
    <w:rsid w:val="005B67EA"/>
    <w:rsid w:val="005C0086"/>
    <w:rsid w:val="005C0795"/>
    <w:rsid w:val="005C0923"/>
    <w:rsid w:val="005C12A8"/>
    <w:rsid w:val="005C1D9E"/>
    <w:rsid w:val="005C24F8"/>
    <w:rsid w:val="005C6E74"/>
    <w:rsid w:val="005C732A"/>
    <w:rsid w:val="005C76C1"/>
    <w:rsid w:val="005D05A0"/>
    <w:rsid w:val="005D1CE0"/>
    <w:rsid w:val="005D2099"/>
    <w:rsid w:val="005D26A2"/>
    <w:rsid w:val="005D2DF5"/>
    <w:rsid w:val="005D46DC"/>
    <w:rsid w:val="005D5625"/>
    <w:rsid w:val="005D61F1"/>
    <w:rsid w:val="005D6707"/>
    <w:rsid w:val="005D7851"/>
    <w:rsid w:val="005E00FF"/>
    <w:rsid w:val="005E056F"/>
    <w:rsid w:val="005E0E5B"/>
    <w:rsid w:val="005E235C"/>
    <w:rsid w:val="005E2BDA"/>
    <w:rsid w:val="005E5C3E"/>
    <w:rsid w:val="005E6091"/>
    <w:rsid w:val="005F034C"/>
    <w:rsid w:val="005F2F98"/>
    <w:rsid w:val="005F6D4B"/>
    <w:rsid w:val="00600E68"/>
    <w:rsid w:val="00601022"/>
    <w:rsid w:val="00601E10"/>
    <w:rsid w:val="006022F9"/>
    <w:rsid w:val="00602587"/>
    <w:rsid w:val="00603B64"/>
    <w:rsid w:val="00603DD0"/>
    <w:rsid w:val="00604DF7"/>
    <w:rsid w:val="0060703A"/>
    <w:rsid w:val="006072FF"/>
    <w:rsid w:val="00610067"/>
    <w:rsid w:val="00610DB5"/>
    <w:rsid w:val="0061151F"/>
    <w:rsid w:val="00612232"/>
    <w:rsid w:val="0061248D"/>
    <w:rsid w:val="00612591"/>
    <w:rsid w:val="0061511A"/>
    <w:rsid w:val="006169C8"/>
    <w:rsid w:val="0061717F"/>
    <w:rsid w:val="00617CD5"/>
    <w:rsid w:val="006202D3"/>
    <w:rsid w:val="00620A30"/>
    <w:rsid w:val="00621E36"/>
    <w:rsid w:val="006223F0"/>
    <w:rsid w:val="006226ED"/>
    <w:rsid w:val="00622B75"/>
    <w:rsid w:val="00624966"/>
    <w:rsid w:val="00624BC1"/>
    <w:rsid w:val="006258D4"/>
    <w:rsid w:val="00626D81"/>
    <w:rsid w:val="00626D9B"/>
    <w:rsid w:val="00627CFE"/>
    <w:rsid w:val="00627FA4"/>
    <w:rsid w:val="006317D2"/>
    <w:rsid w:val="00632C58"/>
    <w:rsid w:val="00633930"/>
    <w:rsid w:val="00633DAA"/>
    <w:rsid w:val="006340D1"/>
    <w:rsid w:val="0063677B"/>
    <w:rsid w:val="00636FB2"/>
    <w:rsid w:val="006370F6"/>
    <w:rsid w:val="00637261"/>
    <w:rsid w:val="006377B2"/>
    <w:rsid w:val="00637A34"/>
    <w:rsid w:val="00637AD1"/>
    <w:rsid w:val="00643BE9"/>
    <w:rsid w:val="0064611F"/>
    <w:rsid w:val="0064667E"/>
    <w:rsid w:val="0064731F"/>
    <w:rsid w:val="006513B8"/>
    <w:rsid w:val="0065153A"/>
    <w:rsid w:val="0065247A"/>
    <w:rsid w:val="00652BDE"/>
    <w:rsid w:val="0065366D"/>
    <w:rsid w:val="00653F48"/>
    <w:rsid w:val="00654A7B"/>
    <w:rsid w:val="00655362"/>
    <w:rsid w:val="00655F2D"/>
    <w:rsid w:val="00656DEF"/>
    <w:rsid w:val="006603B4"/>
    <w:rsid w:val="00660695"/>
    <w:rsid w:val="0066210F"/>
    <w:rsid w:val="006627ED"/>
    <w:rsid w:val="00662EAC"/>
    <w:rsid w:val="00663116"/>
    <w:rsid w:val="00664898"/>
    <w:rsid w:val="006653CE"/>
    <w:rsid w:val="006706B6"/>
    <w:rsid w:val="006708E9"/>
    <w:rsid w:val="006733A2"/>
    <w:rsid w:val="0067345E"/>
    <w:rsid w:val="006755AB"/>
    <w:rsid w:val="0067620B"/>
    <w:rsid w:val="00676D46"/>
    <w:rsid w:val="0067705E"/>
    <w:rsid w:val="0067737B"/>
    <w:rsid w:val="006776C5"/>
    <w:rsid w:val="00680436"/>
    <w:rsid w:val="00682A17"/>
    <w:rsid w:val="006830DD"/>
    <w:rsid w:val="00683DC3"/>
    <w:rsid w:val="0068433E"/>
    <w:rsid w:val="00685005"/>
    <w:rsid w:val="00685DD2"/>
    <w:rsid w:val="00687EC9"/>
    <w:rsid w:val="0069228F"/>
    <w:rsid w:val="00692658"/>
    <w:rsid w:val="006942E8"/>
    <w:rsid w:val="006943D8"/>
    <w:rsid w:val="006951CF"/>
    <w:rsid w:val="006952BE"/>
    <w:rsid w:val="006971A4"/>
    <w:rsid w:val="006A0981"/>
    <w:rsid w:val="006A2AEA"/>
    <w:rsid w:val="006A2C7F"/>
    <w:rsid w:val="006A3505"/>
    <w:rsid w:val="006A4A97"/>
    <w:rsid w:val="006A4BB2"/>
    <w:rsid w:val="006A4C68"/>
    <w:rsid w:val="006A50A4"/>
    <w:rsid w:val="006A6DF3"/>
    <w:rsid w:val="006A7285"/>
    <w:rsid w:val="006A7BE0"/>
    <w:rsid w:val="006B19DE"/>
    <w:rsid w:val="006B2E18"/>
    <w:rsid w:val="006B335D"/>
    <w:rsid w:val="006B49B7"/>
    <w:rsid w:val="006B6F9C"/>
    <w:rsid w:val="006B74F5"/>
    <w:rsid w:val="006C183A"/>
    <w:rsid w:val="006C2587"/>
    <w:rsid w:val="006C299F"/>
    <w:rsid w:val="006C3B3F"/>
    <w:rsid w:val="006C46AC"/>
    <w:rsid w:val="006C497B"/>
    <w:rsid w:val="006C4C2A"/>
    <w:rsid w:val="006C55D5"/>
    <w:rsid w:val="006C5BE9"/>
    <w:rsid w:val="006C5D79"/>
    <w:rsid w:val="006C66E9"/>
    <w:rsid w:val="006C6794"/>
    <w:rsid w:val="006C77EE"/>
    <w:rsid w:val="006D0CD8"/>
    <w:rsid w:val="006D162E"/>
    <w:rsid w:val="006D2E86"/>
    <w:rsid w:val="006D487B"/>
    <w:rsid w:val="006D4A3B"/>
    <w:rsid w:val="006D6F11"/>
    <w:rsid w:val="006E17EB"/>
    <w:rsid w:val="006E1B38"/>
    <w:rsid w:val="006E1EC7"/>
    <w:rsid w:val="006E2495"/>
    <w:rsid w:val="006E2B0F"/>
    <w:rsid w:val="006E4368"/>
    <w:rsid w:val="006E5888"/>
    <w:rsid w:val="006E6067"/>
    <w:rsid w:val="006E65B8"/>
    <w:rsid w:val="006E6FC9"/>
    <w:rsid w:val="006E71F2"/>
    <w:rsid w:val="006F1931"/>
    <w:rsid w:val="006F1C63"/>
    <w:rsid w:val="006F21BC"/>
    <w:rsid w:val="006F2291"/>
    <w:rsid w:val="006F325E"/>
    <w:rsid w:val="006F3CC1"/>
    <w:rsid w:val="006F6A9F"/>
    <w:rsid w:val="006F744C"/>
    <w:rsid w:val="006F78DA"/>
    <w:rsid w:val="00700A13"/>
    <w:rsid w:val="00701C84"/>
    <w:rsid w:val="00703242"/>
    <w:rsid w:val="00703501"/>
    <w:rsid w:val="00704FB2"/>
    <w:rsid w:val="0070543A"/>
    <w:rsid w:val="00706D3A"/>
    <w:rsid w:val="00706D9C"/>
    <w:rsid w:val="007103E8"/>
    <w:rsid w:val="007106A8"/>
    <w:rsid w:val="007113E7"/>
    <w:rsid w:val="007130DF"/>
    <w:rsid w:val="00714595"/>
    <w:rsid w:val="00714732"/>
    <w:rsid w:val="0071476F"/>
    <w:rsid w:val="007157D1"/>
    <w:rsid w:val="00715F90"/>
    <w:rsid w:val="00716130"/>
    <w:rsid w:val="0071767C"/>
    <w:rsid w:val="0071787B"/>
    <w:rsid w:val="007206F5"/>
    <w:rsid w:val="007216E7"/>
    <w:rsid w:val="00721FF1"/>
    <w:rsid w:val="00722D93"/>
    <w:rsid w:val="00723E5C"/>
    <w:rsid w:val="00725197"/>
    <w:rsid w:val="00725522"/>
    <w:rsid w:val="00725AD7"/>
    <w:rsid w:val="007261D3"/>
    <w:rsid w:val="00726297"/>
    <w:rsid w:val="00733163"/>
    <w:rsid w:val="0073430E"/>
    <w:rsid w:val="0073440A"/>
    <w:rsid w:val="007344C2"/>
    <w:rsid w:val="00736509"/>
    <w:rsid w:val="00740269"/>
    <w:rsid w:val="00740742"/>
    <w:rsid w:val="00741372"/>
    <w:rsid w:val="00741C11"/>
    <w:rsid w:val="00742371"/>
    <w:rsid w:val="00742BEA"/>
    <w:rsid w:val="007431AB"/>
    <w:rsid w:val="007439DB"/>
    <w:rsid w:val="00744611"/>
    <w:rsid w:val="0074545A"/>
    <w:rsid w:val="0074656D"/>
    <w:rsid w:val="00746FC1"/>
    <w:rsid w:val="007501E1"/>
    <w:rsid w:val="007518D0"/>
    <w:rsid w:val="00751F63"/>
    <w:rsid w:val="00752524"/>
    <w:rsid w:val="007532B2"/>
    <w:rsid w:val="00754581"/>
    <w:rsid w:val="007576FC"/>
    <w:rsid w:val="00757A7F"/>
    <w:rsid w:val="00760A37"/>
    <w:rsid w:val="00760D5D"/>
    <w:rsid w:val="00761330"/>
    <w:rsid w:val="00762CC7"/>
    <w:rsid w:val="00762E6E"/>
    <w:rsid w:val="00764DD8"/>
    <w:rsid w:val="00765197"/>
    <w:rsid w:val="0076643A"/>
    <w:rsid w:val="0076714A"/>
    <w:rsid w:val="0077072F"/>
    <w:rsid w:val="00770ACC"/>
    <w:rsid w:val="00771612"/>
    <w:rsid w:val="00773BD5"/>
    <w:rsid w:val="00773C40"/>
    <w:rsid w:val="007750D1"/>
    <w:rsid w:val="00775207"/>
    <w:rsid w:val="007753C2"/>
    <w:rsid w:val="00775433"/>
    <w:rsid w:val="0077571C"/>
    <w:rsid w:val="00775FDD"/>
    <w:rsid w:val="00776284"/>
    <w:rsid w:val="0077639B"/>
    <w:rsid w:val="00776925"/>
    <w:rsid w:val="00776E79"/>
    <w:rsid w:val="00776F6E"/>
    <w:rsid w:val="0077742A"/>
    <w:rsid w:val="00780C9A"/>
    <w:rsid w:val="00781035"/>
    <w:rsid w:val="0078168F"/>
    <w:rsid w:val="00781CDE"/>
    <w:rsid w:val="00781E25"/>
    <w:rsid w:val="0078242C"/>
    <w:rsid w:val="007828D9"/>
    <w:rsid w:val="0078335E"/>
    <w:rsid w:val="00783F83"/>
    <w:rsid w:val="007846E7"/>
    <w:rsid w:val="00784EDE"/>
    <w:rsid w:val="00787920"/>
    <w:rsid w:val="00787F76"/>
    <w:rsid w:val="007904F3"/>
    <w:rsid w:val="0079053C"/>
    <w:rsid w:val="00790A36"/>
    <w:rsid w:val="0079219D"/>
    <w:rsid w:val="0079280F"/>
    <w:rsid w:val="00792D9C"/>
    <w:rsid w:val="0079336A"/>
    <w:rsid w:val="0079356B"/>
    <w:rsid w:val="00793A1F"/>
    <w:rsid w:val="0079511E"/>
    <w:rsid w:val="007952A6"/>
    <w:rsid w:val="00795981"/>
    <w:rsid w:val="00795BF2"/>
    <w:rsid w:val="00796C54"/>
    <w:rsid w:val="00797064"/>
    <w:rsid w:val="007A1E2F"/>
    <w:rsid w:val="007A2877"/>
    <w:rsid w:val="007A37FA"/>
    <w:rsid w:val="007A58C3"/>
    <w:rsid w:val="007A65C9"/>
    <w:rsid w:val="007A6F84"/>
    <w:rsid w:val="007A7918"/>
    <w:rsid w:val="007B158D"/>
    <w:rsid w:val="007B1771"/>
    <w:rsid w:val="007B18F2"/>
    <w:rsid w:val="007B4B5C"/>
    <w:rsid w:val="007C016B"/>
    <w:rsid w:val="007C0316"/>
    <w:rsid w:val="007C0C3B"/>
    <w:rsid w:val="007C140A"/>
    <w:rsid w:val="007C16E9"/>
    <w:rsid w:val="007C183A"/>
    <w:rsid w:val="007C2310"/>
    <w:rsid w:val="007C27B8"/>
    <w:rsid w:val="007C2BEB"/>
    <w:rsid w:val="007C2D09"/>
    <w:rsid w:val="007C362B"/>
    <w:rsid w:val="007C37D6"/>
    <w:rsid w:val="007C4230"/>
    <w:rsid w:val="007C4AA2"/>
    <w:rsid w:val="007C5DC9"/>
    <w:rsid w:val="007C6341"/>
    <w:rsid w:val="007C7C30"/>
    <w:rsid w:val="007D0383"/>
    <w:rsid w:val="007D0410"/>
    <w:rsid w:val="007D122A"/>
    <w:rsid w:val="007D26DE"/>
    <w:rsid w:val="007D3448"/>
    <w:rsid w:val="007D5E65"/>
    <w:rsid w:val="007D675F"/>
    <w:rsid w:val="007E0384"/>
    <w:rsid w:val="007E06F3"/>
    <w:rsid w:val="007E071D"/>
    <w:rsid w:val="007E0A0A"/>
    <w:rsid w:val="007E1B97"/>
    <w:rsid w:val="007E3DA0"/>
    <w:rsid w:val="007E50B4"/>
    <w:rsid w:val="007E6FE5"/>
    <w:rsid w:val="007E74F7"/>
    <w:rsid w:val="007F082D"/>
    <w:rsid w:val="007F1B48"/>
    <w:rsid w:val="007F25E1"/>
    <w:rsid w:val="007F2784"/>
    <w:rsid w:val="007F2CC5"/>
    <w:rsid w:val="007F5AC3"/>
    <w:rsid w:val="007F60E3"/>
    <w:rsid w:val="007F6400"/>
    <w:rsid w:val="007F6C82"/>
    <w:rsid w:val="007F6DDA"/>
    <w:rsid w:val="00802250"/>
    <w:rsid w:val="00802B94"/>
    <w:rsid w:val="008031FE"/>
    <w:rsid w:val="0080329B"/>
    <w:rsid w:val="00804249"/>
    <w:rsid w:val="00804B79"/>
    <w:rsid w:val="00805E9C"/>
    <w:rsid w:val="00810D85"/>
    <w:rsid w:val="00811495"/>
    <w:rsid w:val="00811650"/>
    <w:rsid w:val="0081201B"/>
    <w:rsid w:val="00813E39"/>
    <w:rsid w:val="00815087"/>
    <w:rsid w:val="008160CA"/>
    <w:rsid w:val="00816443"/>
    <w:rsid w:val="00817003"/>
    <w:rsid w:val="00817A75"/>
    <w:rsid w:val="00817CE2"/>
    <w:rsid w:val="008206F1"/>
    <w:rsid w:val="00821105"/>
    <w:rsid w:val="0082187E"/>
    <w:rsid w:val="00821A90"/>
    <w:rsid w:val="00821F86"/>
    <w:rsid w:val="0082348E"/>
    <w:rsid w:val="00823F3A"/>
    <w:rsid w:val="00824C0E"/>
    <w:rsid w:val="00825B94"/>
    <w:rsid w:val="00825D8A"/>
    <w:rsid w:val="008273D5"/>
    <w:rsid w:val="00827FCF"/>
    <w:rsid w:val="008305F4"/>
    <w:rsid w:val="008341F7"/>
    <w:rsid w:val="008348D7"/>
    <w:rsid w:val="008349A7"/>
    <w:rsid w:val="0083703A"/>
    <w:rsid w:val="00837097"/>
    <w:rsid w:val="008370E7"/>
    <w:rsid w:val="008405F7"/>
    <w:rsid w:val="0084082E"/>
    <w:rsid w:val="008409A1"/>
    <w:rsid w:val="00840A04"/>
    <w:rsid w:val="00841D5F"/>
    <w:rsid w:val="0084279B"/>
    <w:rsid w:val="008430C5"/>
    <w:rsid w:val="00843508"/>
    <w:rsid w:val="008435DA"/>
    <w:rsid w:val="00844A6E"/>
    <w:rsid w:val="00845113"/>
    <w:rsid w:val="00845940"/>
    <w:rsid w:val="00846925"/>
    <w:rsid w:val="008469D5"/>
    <w:rsid w:val="00847C5E"/>
    <w:rsid w:val="00847E7D"/>
    <w:rsid w:val="00850C28"/>
    <w:rsid w:val="00852E39"/>
    <w:rsid w:val="00853444"/>
    <w:rsid w:val="008535AA"/>
    <w:rsid w:val="008545AF"/>
    <w:rsid w:val="00854A26"/>
    <w:rsid w:val="00856913"/>
    <w:rsid w:val="0085786D"/>
    <w:rsid w:val="00861045"/>
    <w:rsid w:val="00862130"/>
    <w:rsid w:val="008634B6"/>
    <w:rsid w:val="00863B0B"/>
    <w:rsid w:val="0086443D"/>
    <w:rsid w:val="008658A8"/>
    <w:rsid w:val="0086612A"/>
    <w:rsid w:val="008708E0"/>
    <w:rsid w:val="0087175A"/>
    <w:rsid w:val="00872A67"/>
    <w:rsid w:val="00873EBE"/>
    <w:rsid w:val="008746BE"/>
    <w:rsid w:val="0087479A"/>
    <w:rsid w:val="00875DAE"/>
    <w:rsid w:val="0087697A"/>
    <w:rsid w:val="00877BB2"/>
    <w:rsid w:val="00880F26"/>
    <w:rsid w:val="00882342"/>
    <w:rsid w:val="0088330C"/>
    <w:rsid w:val="00883A5F"/>
    <w:rsid w:val="00883BAC"/>
    <w:rsid w:val="00885442"/>
    <w:rsid w:val="008866B3"/>
    <w:rsid w:val="00886B51"/>
    <w:rsid w:val="008879D2"/>
    <w:rsid w:val="00887E19"/>
    <w:rsid w:val="00887EC6"/>
    <w:rsid w:val="00890348"/>
    <w:rsid w:val="00890C98"/>
    <w:rsid w:val="00890D14"/>
    <w:rsid w:val="00891181"/>
    <w:rsid w:val="00891909"/>
    <w:rsid w:val="0089237D"/>
    <w:rsid w:val="008931D4"/>
    <w:rsid w:val="00893332"/>
    <w:rsid w:val="00894A14"/>
    <w:rsid w:val="00896082"/>
    <w:rsid w:val="00896742"/>
    <w:rsid w:val="008979C3"/>
    <w:rsid w:val="00897B04"/>
    <w:rsid w:val="00897DC5"/>
    <w:rsid w:val="008A1D7C"/>
    <w:rsid w:val="008A6335"/>
    <w:rsid w:val="008A6E49"/>
    <w:rsid w:val="008A754C"/>
    <w:rsid w:val="008B024A"/>
    <w:rsid w:val="008B04C7"/>
    <w:rsid w:val="008B121C"/>
    <w:rsid w:val="008B18D6"/>
    <w:rsid w:val="008B1952"/>
    <w:rsid w:val="008B2FCF"/>
    <w:rsid w:val="008B40CA"/>
    <w:rsid w:val="008B424E"/>
    <w:rsid w:val="008B4AC5"/>
    <w:rsid w:val="008B5A03"/>
    <w:rsid w:val="008B5EA0"/>
    <w:rsid w:val="008B6C99"/>
    <w:rsid w:val="008B726F"/>
    <w:rsid w:val="008B72A4"/>
    <w:rsid w:val="008C209E"/>
    <w:rsid w:val="008C22D7"/>
    <w:rsid w:val="008C3F1C"/>
    <w:rsid w:val="008C41A3"/>
    <w:rsid w:val="008C4E0C"/>
    <w:rsid w:val="008C5383"/>
    <w:rsid w:val="008C555A"/>
    <w:rsid w:val="008C55B4"/>
    <w:rsid w:val="008C6217"/>
    <w:rsid w:val="008C6DD7"/>
    <w:rsid w:val="008D01EF"/>
    <w:rsid w:val="008D0251"/>
    <w:rsid w:val="008D1E0A"/>
    <w:rsid w:val="008D2926"/>
    <w:rsid w:val="008D2E90"/>
    <w:rsid w:val="008D31ED"/>
    <w:rsid w:val="008D403E"/>
    <w:rsid w:val="008D4ACD"/>
    <w:rsid w:val="008D6352"/>
    <w:rsid w:val="008D6532"/>
    <w:rsid w:val="008D694B"/>
    <w:rsid w:val="008D7E39"/>
    <w:rsid w:val="008E0B29"/>
    <w:rsid w:val="008E0E70"/>
    <w:rsid w:val="008E262A"/>
    <w:rsid w:val="008E3DBF"/>
    <w:rsid w:val="008E4DB4"/>
    <w:rsid w:val="008E7268"/>
    <w:rsid w:val="008E735A"/>
    <w:rsid w:val="008E75C9"/>
    <w:rsid w:val="008F0B20"/>
    <w:rsid w:val="008F0E2D"/>
    <w:rsid w:val="008F2BA6"/>
    <w:rsid w:val="008F2C7B"/>
    <w:rsid w:val="008F3D79"/>
    <w:rsid w:val="008F445D"/>
    <w:rsid w:val="008F472B"/>
    <w:rsid w:val="008F52A5"/>
    <w:rsid w:val="008F56ED"/>
    <w:rsid w:val="008F5F66"/>
    <w:rsid w:val="008F672B"/>
    <w:rsid w:val="008F770A"/>
    <w:rsid w:val="009010A0"/>
    <w:rsid w:val="009011BB"/>
    <w:rsid w:val="00901FEE"/>
    <w:rsid w:val="0090207A"/>
    <w:rsid w:val="00902473"/>
    <w:rsid w:val="00903100"/>
    <w:rsid w:val="009031ED"/>
    <w:rsid w:val="0090352E"/>
    <w:rsid w:val="00906646"/>
    <w:rsid w:val="00907447"/>
    <w:rsid w:val="0091154B"/>
    <w:rsid w:val="0091359F"/>
    <w:rsid w:val="00913868"/>
    <w:rsid w:val="00914651"/>
    <w:rsid w:val="00914921"/>
    <w:rsid w:val="00914DA9"/>
    <w:rsid w:val="00914EAD"/>
    <w:rsid w:val="00915046"/>
    <w:rsid w:val="009157E0"/>
    <w:rsid w:val="009206B9"/>
    <w:rsid w:val="00920B43"/>
    <w:rsid w:val="009215DB"/>
    <w:rsid w:val="009235DC"/>
    <w:rsid w:val="00923B03"/>
    <w:rsid w:val="009261AA"/>
    <w:rsid w:val="009262A5"/>
    <w:rsid w:val="009332B5"/>
    <w:rsid w:val="00933C96"/>
    <w:rsid w:val="00934467"/>
    <w:rsid w:val="009348CE"/>
    <w:rsid w:val="00935E20"/>
    <w:rsid w:val="00936168"/>
    <w:rsid w:val="00937B27"/>
    <w:rsid w:val="00940431"/>
    <w:rsid w:val="00940D87"/>
    <w:rsid w:val="009420CF"/>
    <w:rsid w:val="0094489A"/>
    <w:rsid w:val="00945044"/>
    <w:rsid w:val="00946F53"/>
    <w:rsid w:val="00947689"/>
    <w:rsid w:val="009503FB"/>
    <w:rsid w:val="00950912"/>
    <w:rsid w:val="00951620"/>
    <w:rsid w:val="009532B9"/>
    <w:rsid w:val="0095366B"/>
    <w:rsid w:val="00954719"/>
    <w:rsid w:val="00954D5E"/>
    <w:rsid w:val="00960371"/>
    <w:rsid w:val="009623A7"/>
    <w:rsid w:val="00962F05"/>
    <w:rsid w:val="00964972"/>
    <w:rsid w:val="00965CCE"/>
    <w:rsid w:val="009665B4"/>
    <w:rsid w:val="00966D0C"/>
    <w:rsid w:val="00971602"/>
    <w:rsid w:val="00972027"/>
    <w:rsid w:val="009720F2"/>
    <w:rsid w:val="00973093"/>
    <w:rsid w:val="0097596D"/>
    <w:rsid w:val="00975DFD"/>
    <w:rsid w:val="0097603B"/>
    <w:rsid w:val="0097661D"/>
    <w:rsid w:val="00977B13"/>
    <w:rsid w:val="00980FAA"/>
    <w:rsid w:val="0098118F"/>
    <w:rsid w:val="009815B3"/>
    <w:rsid w:val="00982032"/>
    <w:rsid w:val="0098227F"/>
    <w:rsid w:val="00982CDE"/>
    <w:rsid w:val="00983E61"/>
    <w:rsid w:val="00983F55"/>
    <w:rsid w:val="009840D4"/>
    <w:rsid w:val="009913F1"/>
    <w:rsid w:val="0099149D"/>
    <w:rsid w:val="00991F4D"/>
    <w:rsid w:val="00993E6D"/>
    <w:rsid w:val="009944AF"/>
    <w:rsid w:val="00995435"/>
    <w:rsid w:val="00995623"/>
    <w:rsid w:val="00995D14"/>
    <w:rsid w:val="00997202"/>
    <w:rsid w:val="009978AD"/>
    <w:rsid w:val="009A1173"/>
    <w:rsid w:val="009A1CC3"/>
    <w:rsid w:val="009A4F89"/>
    <w:rsid w:val="009A5139"/>
    <w:rsid w:val="009A5C48"/>
    <w:rsid w:val="009A616C"/>
    <w:rsid w:val="009A64EC"/>
    <w:rsid w:val="009B005D"/>
    <w:rsid w:val="009B0148"/>
    <w:rsid w:val="009B0472"/>
    <w:rsid w:val="009B1195"/>
    <w:rsid w:val="009B1B3E"/>
    <w:rsid w:val="009B1D47"/>
    <w:rsid w:val="009B3076"/>
    <w:rsid w:val="009B4F0B"/>
    <w:rsid w:val="009B4FCE"/>
    <w:rsid w:val="009B5807"/>
    <w:rsid w:val="009B5834"/>
    <w:rsid w:val="009B7B40"/>
    <w:rsid w:val="009C18A8"/>
    <w:rsid w:val="009C1D78"/>
    <w:rsid w:val="009C2BE6"/>
    <w:rsid w:val="009C34F8"/>
    <w:rsid w:val="009C38B6"/>
    <w:rsid w:val="009C4B72"/>
    <w:rsid w:val="009C5AB2"/>
    <w:rsid w:val="009D019F"/>
    <w:rsid w:val="009D179E"/>
    <w:rsid w:val="009D1A48"/>
    <w:rsid w:val="009D1DA3"/>
    <w:rsid w:val="009D6280"/>
    <w:rsid w:val="009D6C2F"/>
    <w:rsid w:val="009D6F5B"/>
    <w:rsid w:val="009E0204"/>
    <w:rsid w:val="009E1699"/>
    <w:rsid w:val="009E1F92"/>
    <w:rsid w:val="009E4545"/>
    <w:rsid w:val="009E521D"/>
    <w:rsid w:val="009E62C2"/>
    <w:rsid w:val="009E64F5"/>
    <w:rsid w:val="009E6F16"/>
    <w:rsid w:val="009E7768"/>
    <w:rsid w:val="009F08ED"/>
    <w:rsid w:val="009F1982"/>
    <w:rsid w:val="009F28F9"/>
    <w:rsid w:val="009F41DB"/>
    <w:rsid w:val="009F4B86"/>
    <w:rsid w:val="009F7914"/>
    <w:rsid w:val="00A016F3"/>
    <w:rsid w:val="00A019CC"/>
    <w:rsid w:val="00A03791"/>
    <w:rsid w:val="00A03801"/>
    <w:rsid w:val="00A05F6E"/>
    <w:rsid w:val="00A068B6"/>
    <w:rsid w:val="00A069C9"/>
    <w:rsid w:val="00A070F3"/>
    <w:rsid w:val="00A07FEF"/>
    <w:rsid w:val="00A10BD3"/>
    <w:rsid w:val="00A11E91"/>
    <w:rsid w:val="00A12C82"/>
    <w:rsid w:val="00A13364"/>
    <w:rsid w:val="00A13A70"/>
    <w:rsid w:val="00A16DAB"/>
    <w:rsid w:val="00A17BC6"/>
    <w:rsid w:val="00A2008A"/>
    <w:rsid w:val="00A21C04"/>
    <w:rsid w:val="00A22BD3"/>
    <w:rsid w:val="00A23D9B"/>
    <w:rsid w:val="00A24134"/>
    <w:rsid w:val="00A24B01"/>
    <w:rsid w:val="00A251CE"/>
    <w:rsid w:val="00A26074"/>
    <w:rsid w:val="00A26E5B"/>
    <w:rsid w:val="00A27029"/>
    <w:rsid w:val="00A31CCA"/>
    <w:rsid w:val="00A31FE8"/>
    <w:rsid w:val="00A32A8B"/>
    <w:rsid w:val="00A32B9E"/>
    <w:rsid w:val="00A3392A"/>
    <w:rsid w:val="00A34119"/>
    <w:rsid w:val="00A3451D"/>
    <w:rsid w:val="00A34A45"/>
    <w:rsid w:val="00A37B7E"/>
    <w:rsid w:val="00A37EC3"/>
    <w:rsid w:val="00A400FD"/>
    <w:rsid w:val="00A40971"/>
    <w:rsid w:val="00A41551"/>
    <w:rsid w:val="00A41A8A"/>
    <w:rsid w:val="00A45188"/>
    <w:rsid w:val="00A460F1"/>
    <w:rsid w:val="00A46112"/>
    <w:rsid w:val="00A465AA"/>
    <w:rsid w:val="00A47EB4"/>
    <w:rsid w:val="00A50483"/>
    <w:rsid w:val="00A53022"/>
    <w:rsid w:val="00A537FC"/>
    <w:rsid w:val="00A539DA"/>
    <w:rsid w:val="00A54C0A"/>
    <w:rsid w:val="00A54D88"/>
    <w:rsid w:val="00A54DA7"/>
    <w:rsid w:val="00A55666"/>
    <w:rsid w:val="00A56260"/>
    <w:rsid w:val="00A57FB3"/>
    <w:rsid w:val="00A61AC9"/>
    <w:rsid w:val="00A61EA9"/>
    <w:rsid w:val="00A62D33"/>
    <w:rsid w:val="00A64438"/>
    <w:rsid w:val="00A64AA3"/>
    <w:rsid w:val="00A64CD8"/>
    <w:rsid w:val="00A65212"/>
    <w:rsid w:val="00A6534F"/>
    <w:rsid w:val="00A668D6"/>
    <w:rsid w:val="00A66ABE"/>
    <w:rsid w:val="00A70804"/>
    <w:rsid w:val="00A73EEE"/>
    <w:rsid w:val="00A73F34"/>
    <w:rsid w:val="00A74497"/>
    <w:rsid w:val="00A77DF0"/>
    <w:rsid w:val="00A851FE"/>
    <w:rsid w:val="00A86B82"/>
    <w:rsid w:val="00A87D7C"/>
    <w:rsid w:val="00A9007F"/>
    <w:rsid w:val="00A92BFA"/>
    <w:rsid w:val="00A931EA"/>
    <w:rsid w:val="00A942BC"/>
    <w:rsid w:val="00A9567C"/>
    <w:rsid w:val="00A96A6D"/>
    <w:rsid w:val="00A96B24"/>
    <w:rsid w:val="00A971CB"/>
    <w:rsid w:val="00A972AD"/>
    <w:rsid w:val="00A97CFA"/>
    <w:rsid w:val="00AA11F0"/>
    <w:rsid w:val="00AA1678"/>
    <w:rsid w:val="00AA215D"/>
    <w:rsid w:val="00AA2454"/>
    <w:rsid w:val="00AA3B1B"/>
    <w:rsid w:val="00AA402F"/>
    <w:rsid w:val="00AA5053"/>
    <w:rsid w:val="00AA5A91"/>
    <w:rsid w:val="00AA5B2A"/>
    <w:rsid w:val="00AA642B"/>
    <w:rsid w:val="00AA7263"/>
    <w:rsid w:val="00AA7568"/>
    <w:rsid w:val="00AA7B71"/>
    <w:rsid w:val="00AB0254"/>
    <w:rsid w:val="00AB05DA"/>
    <w:rsid w:val="00AB107D"/>
    <w:rsid w:val="00AB1471"/>
    <w:rsid w:val="00AB21BC"/>
    <w:rsid w:val="00AB348B"/>
    <w:rsid w:val="00AB56D2"/>
    <w:rsid w:val="00AB659F"/>
    <w:rsid w:val="00AB76B1"/>
    <w:rsid w:val="00AB7863"/>
    <w:rsid w:val="00AB789E"/>
    <w:rsid w:val="00AC14F8"/>
    <w:rsid w:val="00AC1C8B"/>
    <w:rsid w:val="00AC1D62"/>
    <w:rsid w:val="00AC2692"/>
    <w:rsid w:val="00AC2F3D"/>
    <w:rsid w:val="00AC3A4B"/>
    <w:rsid w:val="00AC3FEA"/>
    <w:rsid w:val="00AC4084"/>
    <w:rsid w:val="00AC444C"/>
    <w:rsid w:val="00AC4737"/>
    <w:rsid w:val="00AC54E0"/>
    <w:rsid w:val="00AC6FB5"/>
    <w:rsid w:val="00AC761A"/>
    <w:rsid w:val="00AC7D06"/>
    <w:rsid w:val="00AD1697"/>
    <w:rsid w:val="00AD1BAC"/>
    <w:rsid w:val="00AD2384"/>
    <w:rsid w:val="00AD2C4F"/>
    <w:rsid w:val="00AD2D6F"/>
    <w:rsid w:val="00AD41AD"/>
    <w:rsid w:val="00AD4D78"/>
    <w:rsid w:val="00AD613A"/>
    <w:rsid w:val="00AE17EB"/>
    <w:rsid w:val="00AE2539"/>
    <w:rsid w:val="00AE2E71"/>
    <w:rsid w:val="00AE427D"/>
    <w:rsid w:val="00AE43B9"/>
    <w:rsid w:val="00AE57ED"/>
    <w:rsid w:val="00AE6938"/>
    <w:rsid w:val="00AE6AE9"/>
    <w:rsid w:val="00AE6F16"/>
    <w:rsid w:val="00AE6F37"/>
    <w:rsid w:val="00AE7626"/>
    <w:rsid w:val="00AE79E5"/>
    <w:rsid w:val="00AE7EB7"/>
    <w:rsid w:val="00AF0658"/>
    <w:rsid w:val="00AF16AD"/>
    <w:rsid w:val="00AF1D72"/>
    <w:rsid w:val="00AF2CE3"/>
    <w:rsid w:val="00AF3CD1"/>
    <w:rsid w:val="00AF4051"/>
    <w:rsid w:val="00AF5456"/>
    <w:rsid w:val="00AF5CCE"/>
    <w:rsid w:val="00AF60AC"/>
    <w:rsid w:val="00AF7E9F"/>
    <w:rsid w:val="00B019EA"/>
    <w:rsid w:val="00B01DAC"/>
    <w:rsid w:val="00B0299D"/>
    <w:rsid w:val="00B051CF"/>
    <w:rsid w:val="00B05A11"/>
    <w:rsid w:val="00B05AA3"/>
    <w:rsid w:val="00B06562"/>
    <w:rsid w:val="00B069D0"/>
    <w:rsid w:val="00B06A79"/>
    <w:rsid w:val="00B13989"/>
    <w:rsid w:val="00B14381"/>
    <w:rsid w:val="00B14398"/>
    <w:rsid w:val="00B14648"/>
    <w:rsid w:val="00B155B5"/>
    <w:rsid w:val="00B15BDC"/>
    <w:rsid w:val="00B162A1"/>
    <w:rsid w:val="00B17A0C"/>
    <w:rsid w:val="00B20DC3"/>
    <w:rsid w:val="00B20F29"/>
    <w:rsid w:val="00B21A6A"/>
    <w:rsid w:val="00B21CC0"/>
    <w:rsid w:val="00B22728"/>
    <w:rsid w:val="00B22DD3"/>
    <w:rsid w:val="00B230D1"/>
    <w:rsid w:val="00B23614"/>
    <w:rsid w:val="00B23DC4"/>
    <w:rsid w:val="00B25FCE"/>
    <w:rsid w:val="00B3003B"/>
    <w:rsid w:val="00B3033D"/>
    <w:rsid w:val="00B303BC"/>
    <w:rsid w:val="00B309ED"/>
    <w:rsid w:val="00B3135A"/>
    <w:rsid w:val="00B315A4"/>
    <w:rsid w:val="00B31A7B"/>
    <w:rsid w:val="00B3673E"/>
    <w:rsid w:val="00B36C44"/>
    <w:rsid w:val="00B36C8E"/>
    <w:rsid w:val="00B37C42"/>
    <w:rsid w:val="00B403DB"/>
    <w:rsid w:val="00B4090E"/>
    <w:rsid w:val="00B40E46"/>
    <w:rsid w:val="00B43DE8"/>
    <w:rsid w:val="00B440B0"/>
    <w:rsid w:val="00B442F4"/>
    <w:rsid w:val="00B44670"/>
    <w:rsid w:val="00B467EE"/>
    <w:rsid w:val="00B50459"/>
    <w:rsid w:val="00B50A4D"/>
    <w:rsid w:val="00B5115A"/>
    <w:rsid w:val="00B519DD"/>
    <w:rsid w:val="00B53D32"/>
    <w:rsid w:val="00B5488B"/>
    <w:rsid w:val="00B5594D"/>
    <w:rsid w:val="00B5652C"/>
    <w:rsid w:val="00B57303"/>
    <w:rsid w:val="00B57F1C"/>
    <w:rsid w:val="00B600E8"/>
    <w:rsid w:val="00B62D07"/>
    <w:rsid w:val="00B63F29"/>
    <w:rsid w:val="00B669C8"/>
    <w:rsid w:val="00B66EC4"/>
    <w:rsid w:val="00B67247"/>
    <w:rsid w:val="00B67395"/>
    <w:rsid w:val="00B6794F"/>
    <w:rsid w:val="00B70A30"/>
    <w:rsid w:val="00B70C45"/>
    <w:rsid w:val="00B70DA1"/>
    <w:rsid w:val="00B71310"/>
    <w:rsid w:val="00B72D98"/>
    <w:rsid w:val="00B75258"/>
    <w:rsid w:val="00B75E06"/>
    <w:rsid w:val="00B766ED"/>
    <w:rsid w:val="00B772A4"/>
    <w:rsid w:val="00B801E5"/>
    <w:rsid w:val="00B804AE"/>
    <w:rsid w:val="00B804DF"/>
    <w:rsid w:val="00B83813"/>
    <w:rsid w:val="00B83B20"/>
    <w:rsid w:val="00B83B9C"/>
    <w:rsid w:val="00B84426"/>
    <w:rsid w:val="00B8482B"/>
    <w:rsid w:val="00B85C99"/>
    <w:rsid w:val="00B87214"/>
    <w:rsid w:val="00B8737C"/>
    <w:rsid w:val="00B876A3"/>
    <w:rsid w:val="00B9000E"/>
    <w:rsid w:val="00B908F4"/>
    <w:rsid w:val="00B90AC6"/>
    <w:rsid w:val="00B910BA"/>
    <w:rsid w:val="00B9193F"/>
    <w:rsid w:val="00B93B59"/>
    <w:rsid w:val="00B93D7C"/>
    <w:rsid w:val="00B93D9E"/>
    <w:rsid w:val="00B94DEE"/>
    <w:rsid w:val="00BA034C"/>
    <w:rsid w:val="00BA195A"/>
    <w:rsid w:val="00BA24F9"/>
    <w:rsid w:val="00BA2A2D"/>
    <w:rsid w:val="00BA2EE6"/>
    <w:rsid w:val="00BA41A0"/>
    <w:rsid w:val="00BA45C9"/>
    <w:rsid w:val="00BA5854"/>
    <w:rsid w:val="00BA623A"/>
    <w:rsid w:val="00BA6366"/>
    <w:rsid w:val="00BB1468"/>
    <w:rsid w:val="00BB1A69"/>
    <w:rsid w:val="00BB274C"/>
    <w:rsid w:val="00BB3B79"/>
    <w:rsid w:val="00BB5BD5"/>
    <w:rsid w:val="00BB71AB"/>
    <w:rsid w:val="00BC0E3A"/>
    <w:rsid w:val="00BC16CF"/>
    <w:rsid w:val="00BC27CE"/>
    <w:rsid w:val="00BC5DC9"/>
    <w:rsid w:val="00BC636D"/>
    <w:rsid w:val="00BC7521"/>
    <w:rsid w:val="00BC785F"/>
    <w:rsid w:val="00BC7D3F"/>
    <w:rsid w:val="00BD0D33"/>
    <w:rsid w:val="00BD26F4"/>
    <w:rsid w:val="00BD2BA6"/>
    <w:rsid w:val="00BD3A7F"/>
    <w:rsid w:val="00BD3CDC"/>
    <w:rsid w:val="00BD4838"/>
    <w:rsid w:val="00BE001B"/>
    <w:rsid w:val="00BE1B48"/>
    <w:rsid w:val="00BE293B"/>
    <w:rsid w:val="00BE3037"/>
    <w:rsid w:val="00BE3093"/>
    <w:rsid w:val="00BE3095"/>
    <w:rsid w:val="00BE3D99"/>
    <w:rsid w:val="00BE52DD"/>
    <w:rsid w:val="00BE55D2"/>
    <w:rsid w:val="00BF0251"/>
    <w:rsid w:val="00BF05A3"/>
    <w:rsid w:val="00BF05B1"/>
    <w:rsid w:val="00BF1080"/>
    <w:rsid w:val="00BF2861"/>
    <w:rsid w:val="00BF2A86"/>
    <w:rsid w:val="00BF6852"/>
    <w:rsid w:val="00BF7169"/>
    <w:rsid w:val="00BF774D"/>
    <w:rsid w:val="00C005ED"/>
    <w:rsid w:val="00C01A24"/>
    <w:rsid w:val="00C0206C"/>
    <w:rsid w:val="00C054EA"/>
    <w:rsid w:val="00C06282"/>
    <w:rsid w:val="00C07935"/>
    <w:rsid w:val="00C10707"/>
    <w:rsid w:val="00C10D9F"/>
    <w:rsid w:val="00C12700"/>
    <w:rsid w:val="00C12910"/>
    <w:rsid w:val="00C13436"/>
    <w:rsid w:val="00C13984"/>
    <w:rsid w:val="00C2036C"/>
    <w:rsid w:val="00C2045A"/>
    <w:rsid w:val="00C23008"/>
    <w:rsid w:val="00C23F2B"/>
    <w:rsid w:val="00C24FEA"/>
    <w:rsid w:val="00C2628C"/>
    <w:rsid w:val="00C26C29"/>
    <w:rsid w:val="00C26D5A"/>
    <w:rsid w:val="00C272BA"/>
    <w:rsid w:val="00C27E8C"/>
    <w:rsid w:val="00C30A9C"/>
    <w:rsid w:val="00C30CF6"/>
    <w:rsid w:val="00C319D7"/>
    <w:rsid w:val="00C31A0A"/>
    <w:rsid w:val="00C323F4"/>
    <w:rsid w:val="00C32C62"/>
    <w:rsid w:val="00C3335B"/>
    <w:rsid w:val="00C35C17"/>
    <w:rsid w:val="00C361BC"/>
    <w:rsid w:val="00C36D14"/>
    <w:rsid w:val="00C40007"/>
    <w:rsid w:val="00C400C9"/>
    <w:rsid w:val="00C40E23"/>
    <w:rsid w:val="00C411E5"/>
    <w:rsid w:val="00C417A9"/>
    <w:rsid w:val="00C427EC"/>
    <w:rsid w:val="00C42E8D"/>
    <w:rsid w:val="00C443A9"/>
    <w:rsid w:val="00C45558"/>
    <w:rsid w:val="00C46985"/>
    <w:rsid w:val="00C472D1"/>
    <w:rsid w:val="00C478B0"/>
    <w:rsid w:val="00C50DF9"/>
    <w:rsid w:val="00C51D7A"/>
    <w:rsid w:val="00C521CE"/>
    <w:rsid w:val="00C5268A"/>
    <w:rsid w:val="00C535A8"/>
    <w:rsid w:val="00C53633"/>
    <w:rsid w:val="00C540D7"/>
    <w:rsid w:val="00C54841"/>
    <w:rsid w:val="00C56298"/>
    <w:rsid w:val="00C57C13"/>
    <w:rsid w:val="00C60049"/>
    <w:rsid w:val="00C62590"/>
    <w:rsid w:val="00C64CE8"/>
    <w:rsid w:val="00C6531D"/>
    <w:rsid w:val="00C65440"/>
    <w:rsid w:val="00C66720"/>
    <w:rsid w:val="00C668F6"/>
    <w:rsid w:val="00C671B6"/>
    <w:rsid w:val="00C71C37"/>
    <w:rsid w:val="00C726EB"/>
    <w:rsid w:val="00C72B5B"/>
    <w:rsid w:val="00C73AEB"/>
    <w:rsid w:val="00C741C0"/>
    <w:rsid w:val="00C756EF"/>
    <w:rsid w:val="00C76C3A"/>
    <w:rsid w:val="00C77167"/>
    <w:rsid w:val="00C775CA"/>
    <w:rsid w:val="00C77E1C"/>
    <w:rsid w:val="00C80945"/>
    <w:rsid w:val="00C812FF"/>
    <w:rsid w:val="00C85B5C"/>
    <w:rsid w:val="00C86E96"/>
    <w:rsid w:val="00C87DC7"/>
    <w:rsid w:val="00C9346C"/>
    <w:rsid w:val="00C942A5"/>
    <w:rsid w:val="00C9664A"/>
    <w:rsid w:val="00C96A56"/>
    <w:rsid w:val="00C975E1"/>
    <w:rsid w:val="00C97633"/>
    <w:rsid w:val="00CA2125"/>
    <w:rsid w:val="00CA223C"/>
    <w:rsid w:val="00CA2ED2"/>
    <w:rsid w:val="00CA4584"/>
    <w:rsid w:val="00CA485B"/>
    <w:rsid w:val="00CA4A84"/>
    <w:rsid w:val="00CA57A3"/>
    <w:rsid w:val="00CA57B2"/>
    <w:rsid w:val="00CA62F4"/>
    <w:rsid w:val="00CA6B76"/>
    <w:rsid w:val="00CB00D0"/>
    <w:rsid w:val="00CB0FB5"/>
    <w:rsid w:val="00CB1275"/>
    <w:rsid w:val="00CB16F7"/>
    <w:rsid w:val="00CB1DB0"/>
    <w:rsid w:val="00CB2E3A"/>
    <w:rsid w:val="00CB5969"/>
    <w:rsid w:val="00CB5FAF"/>
    <w:rsid w:val="00CB65A2"/>
    <w:rsid w:val="00CB771B"/>
    <w:rsid w:val="00CB7BD9"/>
    <w:rsid w:val="00CC021C"/>
    <w:rsid w:val="00CC202C"/>
    <w:rsid w:val="00CC293B"/>
    <w:rsid w:val="00CC4735"/>
    <w:rsid w:val="00CC5696"/>
    <w:rsid w:val="00CC61EC"/>
    <w:rsid w:val="00CC62BF"/>
    <w:rsid w:val="00CD0638"/>
    <w:rsid w:val="00CD1C23"/>
    <w:rsid w:val="00CD29EB"/>
    <w:rsid w:val="00CD2CAC"/>
    <w:rsid w:val="00CD302D"/>
    <w:rsid w:val="00CD326B"/>
    <w:rsid w:val="00CD4C2E"/>
    <w:rsid w:val="00CD58C8"/>
    <w:rsid w:val="00CD58E1"/>
    <w:rsid w:val="00CD59BE"/>
    <w:rsid w:val="00CD5FE2"/>
    <w:rsid w:val="00CD6903"/>
    <w:rsid w:val="00CD6C24"/>
    <w:rsid w:val="00CD6D64"/>
    <w:rsid w:val="00CD6F15"/>
    <w:rsid w:val="00CD726C"/>
    <w:rsid w:val="00CD7CB0"/>
    <w:rsid w:val="00CE116A"/>
    <w:rsid w:val="00CE19AD"/>
    <w:rsid w:val="00CE19E2"/>
    <w:rsid w:val="00CE31AE"/>
    <w:rsid w:val="00CE31C5"/>
    <w:rsid w:val="00CE4256"/>
    <w:rsid w:val="00CE434C"/>
    <w:rsid w:val="00CE6502"/>
    <w:rsid w:val="00CE69A3"/>
    <w:rsid w:val="00CE71AD"/>
    <w:rsid w:val="00CF0D65"/>
    <w:rsid w:val="00CF1EC2"/>
    <w:rsid w:val="00CF24A6"/>
    <w:rsid w:val="00CF41FF"/>
    <w:rsid w:val="00CF57F9"/>
    <w:rsid w:val="00CF5ED4"/>
    <w:rsid w:val="00CF628D"/>
    <w:rsid w:val="00D007E0"/>
    <w:rsid w:val="00D00B38"/>
    <w:rsid w:val="00D01550"/>
    <w:rsid w:val="00D01A3C"/>
    <w:rsid w:val="00D025A7"/>
    <w:rsid w:val="00D042C0"/>
    <w:rsid w:val="00D05657"/>
    <w:rsid w:val="00D0567E"/>
    <w:rsid w:val="00D065D1"/>
    <w:rsid w:val="00D06C37"/>
    <w:rsid w:val="00D112E5"/>
    <w:rsid w:val="00D1146A"/>
    <w:rsid w:val="00D1342A"/>
    <w:rsid w:val="00D1443F"/>
    <w:rsid w:val="00D15A6E"/>
    <w:rsid w:val="00D16EF4"/>
    <w:rsid w:val="00D20104"/>
    <w:rsid w:val="00D20DFC"/>
    <w:rsid w:val="00D230EF"/>
    <w:rsid w:val="00D23B11"/>
    <w:rsid w:val="00D24E05"/>
    <w:rsid w:val="00D254EA"/>
    <w:rsid w:val="00D265DB"/>
    <w:rsid w:val="00D31754"/>
    <w:rsid w:val="00D31C96"/>
    <w:rsid w:val="00D3244D"/>
    <w:rsid w:val="00D32834"/>
    <w:rsid w:val="00D3371E"/>
    <w:rsid w:val="00D344F4"/>
    <w:rsid w:val="00D357E2"/>
    <w:rsid w:val="00D3619B"/>
    <w:rsid w:val="00D36A27"/>
    <w:rsid w:val="00D37191"/>
    <w:rsid w:val="00D3735D"/>
    <w:rsid w:val="00D402EC"/>
    <w:rsid w:val="00D41564"/>
    <w:rsid w:val="00D41738"/>
    <w:rsid w:val="00D43977"/>
    <w:rsid w:val="00D44CAC"/>
    <w:rsid w:val="00D453D5"/>
    <w:rsid w:val="00D50024"/>
    <w:rsid w:val="00D512D3"/>
    <w:rsid w:val="00D51473"/>
    <w:rsid w:val="00D51813"/>
    <w:rsid w:val="00D52527"/>
    <w:rsid w:val="00D535CC"/>
    <w:rsid w:val="00D53F84"/>
    <w:rsid w:val="00D55501"/>
    <w:rsid w:val="00D558A9"/>
    <w:rsid w:val="00D55931"/>
    <w:rsid w:val="00D55CD5"/>
    <w:rsid w:val="00D56E46"/>
    <w:rsid w:val="00D577B1"/>
    <w:rsid w:val="00D57DEF"/>
    <w:rsid w:val="00D60D6E"/>
    <w:rsid w:val="00D616B3"/>
    <w:rsid w:val="00D63A5E"/>
    <w:rsid w:val="00D64297"/>
    <w:rsid w:val="00D6747C"/>
    <w:rsid w:val="00D70840"/>
    <w:rsid w:val="00D70C11"/>
    <w:rsid w:val="00D70E9C"/>
    <w:rsid w:val="00D710CE"/>
    <w:rsid w:val="00D73EDC"/>
    <w:rsid w:val="00D73FD1"/>
    <w:rsid w:val="00D76C55"/>
    <w:rsid w:val="00D777EF"/>
    <w:rsid w:val="00D77B75"/>
    <w:rsid w:val="00D80282"/>
    <w:rsid w:val="00D8058C"/>
    <w:rsid w:val="00D81485"/>
    <w:rsid w:val="00D81A30"/>
    <w:rsid w:val="00D81AD2"/>
    <w:rsid w:val="00D81AF4"/>
    <w:rsid w:val="00D822CD"/>
    <w:rsid w:val="00D82A3C"/>
    <w:rsid w:val="00D82DD3"/>
    <w:rsid w:val="00D83F9A"/>
    <w:rsid w:val="00D840C9"/>
    <w:rsid w:val="00D84292"/>
    <w:rsid w:val="00D85ED1"/>
    <w:rsid w:val="00D85F71"/>
    <w:rsid w:val="00D87042"/>
    <w:rsid w:val="00D87147"/>
    <w:rsid w:val="00D8793B"/>
    <w:rsid w:val="00D90744"/>
    <w:rsid w:val="00D914FF"/>
    <w:rsid w:val="00D916F1"/>
    <w:rsid w:val="00D917AD"/>
    <w:rsid w:val="00D9206B"/>
    <w:rsid w:val="00D92271"/>
    <w:rsid w:val="00D93197"/>
    <w:rsid w:val="00D93ACA"/>
    <w:rsid w:val="00D93BD3"/>
    <w:rsid w:val="00D93E16"/>
    <w:rsid w:val="00D943AA"/>
    <w:rsid w:val="00D95027"/>
    <w:rsid w:val="00D96DB0"/>
    <w:rsid w:val="00D97E57"/>
    <w:rsid w:val="00DA238F"/>
    <w:rsid w:val="00DA4DEE"/>
    <w:rsid w:val="00DA5A3D"/>
    <w:rsid w:val="00DA5B5E"/>
    <w:rsid w:val="00DA6303"/>
    <w:rsid w:val="00DA68DA"/>
    <w:rsid w:val="00DA7D43"/>
    <w:rsid w:val="00DB030F"/>
    <w:rsid w:val="00DB1AB8"/>
    <w:rsid w:val="00DB1F15"/>
    <w:rsid w:val="00DB5B45"/>
    <w:rsid w:val="00DB7136"/>
    <w:rsid w:val="00DC00F9"/>
    <w:rsid w:val="00DC02AA"/>
    <w:rsid w:val="00DC0483"/>
    <w:rsid w:val="00DC0992"/>
    <w:rsid w:val="00DC0DC8"/>
    <w:rsid w:val="00DC1198"/>
    <w:rsid w:val="00DC1702"/>
    <w:rsid w:val="00DC1D75"/>
    <w:rsid w:val="00DC26A9"/>
    <w:rsid w:val="00DC3390"/>
    <w:rsid w:val="00DC3CA4"/>
    <w:rsid w:val="00DC3F73"/>
    <w:rsid w:val="00DC47E1"/>
    <w:rsid w:val="00DC4940"/>
    <w:rsid w:val="00DC50FD"/>
    <w:rsid w:val="00DC56B1"/>
    <w:rsid w:val="00DC653B"/>
    <w:rsid w:val="00DD15C5"/>
    <w:rsid w:val="00DD1865"/>
    <w:rsid w:val="00DD26AA"/>
    <w:rsid w:val="00DD2A12"/>
    <w:rsid w:val="00DD2F11"/>
    <w:rsid w:val="00DD35F9"/>
    <w:rsid w:val="00DD3D4D"/>
    <w:rsid w:val="00DD3D8A"/>
    <w:rsid w:val="00DD44BA"/>
    <w:rsid w:val="00DD5D48"/>
    <w:rsid w:val="00DD64DA"/>
    <w:rsid w:val="00DD662D"/>
    <w:rsid w:val="00DD668C"/>
    <w:rsid w:val="00DD6925"/>
    <w:rsid w:val="00DD699F"/>
    <w:rsid w:val="00DD6C04"/>
    <w:rsid w:val="00DD6DE1"/>
    <w:rsid w:val="00DE2530"/>
    <w:rsid w:val="00DE33D3"/>
    <w:rsid w:val="00DE61A9"/>
    <w:rsid w:val="00DE70E4"/>
    <w:rsid w:val="00DF0FE3"/>
    <w:rsid w:val="00DF1218"/>
    <w:rsid w:val="00DF132F"/>
    <w:rsid w:val="00DF13D1"/>
    <w:rsid w:val="00DF1C58"/>
    <w:rsid w:val="00DF1DE1"/>
    <w:rsid w:val="00DF23A6"/>
    <w:rsid w:val="00DF2AFA"/>
    <w:rsid w:val="00DF2D84"/>
    <w:rsid w:val="00DF3981"/>
    <w:rsid w:val="00DF4166"/>
    <w:rsid w:val="00DF468B"/>
    <w:rsid w:val="00DF4D57"/>
    <w:rsid w:val="00DF57B0"/>
    <w:rsid w:val="00DF72D5"/>
    <w:rsid w:val="00DF783F"/>
    <w:rsid w:val="00E00E5E"/>
    <w:rsid w:val="00E0130F"/>
    <w:rsid w:val="00E01A9D"/>
    <w:rsid w:val="00E023F8"/>
    <w:rsid w:val="00E02C36"/>
    <w:rsid w:val="00E03358"/>
    <w:rsid w:val="00E0353E"/>
    <w:rsid w:val="00E049FC"/>
    <w:rsid w:val="00E06C9E"/>
    <w:rsid w:val="00E07A83"/>
    <w:rsid w:val="00E07F3B"/>
    <w:rsid w:val="00E10502"/>
    <w:rsid w:val="00E10A3D"/>
    <w:rsid w:val="00E10FC4"/>
    <w:rsid w:val="00E11854"/>
    <w:rsid w:val="00E12001"/>
    <w:rsid w:val="00E121BD"/>
    <w:rsid w:val="00E13CBF"/>
    <w:rsid w:val="00E17115"/>
    <w:rsid w:val="00E178F1"/>
    <w:rsid w:val="00E208CD"/>
    <w:rsid w:val="00E20D50"/>
    <w:rsid w:val="00E2158E"/>
    <w:rsid w:val="00E21701"/>
    <w:rsid w:val="00E22B9D"/>
    <w:rsid w:val="00E2445E"/>
    <w:rsid w:val="00E24594"/>
    <w:rsid w:val="00E2465A"/>
    <w:rsid w:val="00E25184"/>
    <w:rsid w:val="00E25AA9"/>
    <w:rsid w:val="00E26E37"/>
    <w:rsid w:val="00E27461"/>
    <w:rsid w:val="00E27757"/>
    <w:rsid w:val="00E27840"/>
    <w:rsid w:val="00E31159"/>
    <w:rsid w:val="00E31531"/>
    <w:rsid w:val="00E31C5A"/>
    <w:rsid w:val="00E32D1F"/>
    <w:rsid w:val="00E33032"/>
    <w:rsid w:val="00E37401"/>
    <w:rsid w:val="00E37A0C"/>
    <w:rsid w:val="00E40242"/>
    <w:rsid w:val="00E42229"/>
    <w:rsid w:val="00E42826"/>
    <w:rsid w:val="00E432EF"/>
    <w:rsid w:val="00E4664F"/>
    <w:rsid w:val="00E46B84"/>
    <w:rsid w:val="00E470B3"/>
    <w:rsid w:val="00E50E67"/>
    <w:rsid w:val="00E52BD8"/>
    <w:rsid w:val="00E562B0"/>
    <w:rsid w:val="00E61B85"/>
    <w:rsid w:val="00E630C9"/>
    <w:rsid w:val="00E635CA"/>
    <w:rsid w:val="00E63D13"/>
    <w:rsid w:val="00E64D04"/>
    <w:rsid w:val="00E6501F"/>
    <w:rsid w:val="00E65434"/>
    <w:rsid w:val="00E65601"/>
    <w:rsid w:val="00E656C6"/>
    <w:rsid w:val="00E667BC"/>
    <w:rsid w:val="00E66A60"/>
    <w:rsid w:val="00E70A59"/>
    <w:rsid w:val="00E70AB2"/>
    <w:rsid w:val="00E70C3E"/>
    <w:rsid w:val="00E7195E"/>
    <w:rsid w:val="00E72154"/>
    <w:rsid w:val="00E7240A"/>
    <w:rsid w:val="00E724D8"/>
    <w:rsid w:val="00E72AE5"/>
    <w:rsid w:val="00E72AE9"/>
    <w:rsid w:val="00E75531"/>
    <w:rsid w:val="00E75A4B"/>
    <w:rsid w:val="00E76EB8"/>
    <w:rsid w:val="00E8080B"/>
    <w:rsid w:val="00E80CDA"/>
    <w:rsid w:val="00E82F96"/>
    <w:rsid w:val="00E8743A"/>
    <w:rsid w:val="00E87763"/>
    <w:rsid w:val="00E9022B"/>
    <w:rsid w:val="00E90470"/>
    <w:rsid w:val="00E925CA"/>
    <w:rsid w:val="00E92E25"/>
    <w:rsid w:val="00E937F1"/>
    <w:rsid w:val="00E939C0"/>
    <w:rsid w:val="00E93F23"/>
    <w:rsid w:val="00E9467E"/>
    <w:rsid w:val="00E94792"/>
    <w:rsid w:val="00E952A8"/>
    <w:rsid w:val="00E95B09"/>
    <w:rsid w:val="00E95E18"/>
    <w:rsid w:val="00E95F72"/>
    <w:rsid w:val="00E9646A"/>
    <w:rsid w:val="00E9654B"/>
    <w:rsid w:val="00E965E7"/>
    <w:rsid w:val="00E96927"/>
    <w:rsid w:val="00EA270C"/>
    <w:rsid w:val="00EA286E"/>
    <w:rsid w:val="00EA31A2"/>
    <w:rsid w:val="00EA3A0F"/>
    <w:rsid w:val="00EA4FF4"/>
    <w:rsid w:val="00EA5E6D"/>
    <w:rsid w:val="00EA62D5"/>
    <w:rsid w:val="00EA6890"/>
    <w:rsid w:val="00EA7390"/>
    <w:rsid w:val="00EB00E8"/>
    <w:rsid w:val="00EB017C"/>
    <w:rsid w:val="00EB1982"/>
    <w:rsid w:val="00EB1B9A"/>
    <w:rsid w:val="00EB2E75"/>
    <w:rsid w:val="00EB3494"/>
    <w:rsid w:val="00EB4405"/>
    <w:rsid w:val="00EB6E8A"/>
    <w:rsid w:val="00EC012E"/>
    <w:rsid w:val="00EC0AC8"/>
    <w:rsid w:val="00EC12EE"/>
    <w:rsid w:val="00EC488E"/>
    <w:rsid w:val="00EC522B"/>
    <w:rsid w:val="00EC650E"/>
    <w:rsid w:val="00EC74E8"/>
    <w:rsid w:val="00ED08EC"/>
    <w:rsid w:val="00ED08FB"/>
    <w:rsid w:val="00ED0DFB"/>
    <w:rsid w:val="00ED2FEF"/>
    <w:rsid w:val="00ED307E"/>
    <w:rsid w:val="00ED3212"/>
    <w:rsid w:val="00ED395E"/>
    <w:rsid w:val="00ED3A2A"/>
    <w:rsid w:val="00ED3DC7"/>
    <w:rsid w:val="00ED530E"/>
    <w:rsid w:val="00ED625D"/>
    <w:rsid w:val="00EE00E0"/>
    <w:rsid w:val="00EE0796"/>
    <w:rsid w:val="00EE094F"/>
    <w:rsid w:val="00EE0B53"/>
    <w:rsid w:val="00EE18D6"/>
    <w:rsid w:val="00EE3D39"/>
    <w:rsid w:val="00EE6D53"/>
    <w:rsid w:val="00EE7E4C"/>
    <w:rsid w:val="00EF1B29"/>
    <w:rsid w:val="00EF4662"/>
    <w:rsid w:val="00EF5C98"/>
    <w:rsid w:val="00EF5F8E"/>
    <w:rsid w:val="00EF71F8"/>
    <w:rsid w:val="00EF74BD"/>
    <w:rsid w:val="00F023D7"/>
    <w:rsid w:val="00F02507"/>
    <w:rsid w:val="00F03031"/>
    <w:rsid w:val="00F037A6"/>
    <w:rsid w:val="00F055A0"/>
    <w:rsid w:val="00F06D60"/>
    <w:rsid w:val="00F07550"/>
    <w:rsid w:val="00F07C9B"/>
    <w:rsid w:val="00F11589"/>
    <w:rsid w:val="00F13D97"/>
    <w:rsid w:val="00F14049"/>
    <w:rsid w:val="00F21C43"/>
    <w:rsid w:val="00F220B7"/>
    <w:rsid w:val="00F23A48"/>
    <w:rsid w:val="00F24339"/>
    <w:rsid w:val="00F27FC3"/>
    <w:rsid w:val="00F30C3E"/>
    <w:rsid w:val="00F30E45"/>
    <w:rsid w:val="00F3173A"/>
    <w:rsid w:val="00F31FE0"/>
    <w:rsid w:val="00F33FD4"/>
    <w:rsid w:val="00F34E58"/>
    <w:rsid w:val="00F36B08"/>
    <w:rsid w:val="00F40305"/>
    <w:rsid w:val="00F408B1"/>
    <w:rsid w:val="00F40ADF"/>
    <w:rsid w:val="00F42331"/>
    <w:rsid w:val="00F43154"/>
    <w:rsid w:val="00F4347E"/>
    <w:rsid w:val="00F436E2"/>
    <w:rsid w:val="00F43FE8"/>
    <w:rsid w:val="00F440CC"/>
    <w:rsid w:val="00F449DD"/>
    <w:rsid w:val="00F45888"/>
    <w:rsid w:val="00F462FC"/>
    <w:rsid w:val="00F468E4"/>
    <w:rsid w:val="00F46E34"/>
    <w:rsid w:val="00F5038F"/>
    <w:rsid w:val="00F505DA"/>
    <w:rsid w:val="00F50716"/>
    <w:rsid w:val="00F53537"/>
    <w:rsid w:val="00F53952"/>
    <w:rsid w:val="00F53955"/>
    <w:rsid w:val="00F5396B"/>
    <w:rsid w:val="00F544FC"/>
    <w:rsid w:val="00F5588D"/>
    <w:rsid w:val="00F55A90"/>
    <w:rsid w:val="00F57E52"/>
    <w:rsid w:val="00F602A3"/>
    <w:rsid w:val="00F60325"/>
    <w:rsid w:val="00F61AD6"/>
    <w:rsid w:val="00F645B0"/>
    <w:rsid w:val="00F645F5"/>
    <w:rsid w:val="00F64FBB"/>
    <w:rsid w:val="00F66BB1"/>
    <w:rsid w:val="00F70B05"/>
    <w:rsid w:val="00F71560"/>
    <w:rsid w:val="00F71B98"/>
    <w:rsid w:val="00F71D17"/>
    <w:rsid w:val="00F75B6E"/>
    <w:rsid w:val="00F77275"/>
    <w:rsid w:val="00F77CB0"/>
    <w:rsid w:val="00F80446"/>
    <w:rsid w:val="00F81216"/>
    <w:rsid w:val="00F819E1"/>
    <w:rsid w:val="00F81B6B"/>
    <w:rsid w:val="00F8235E"/>
    <w:rsid w:val="00F8263D"/>
    <w:rsid w:val="00F830E6"/>
    <w:rsid w:val="00F8435C"/>
    <w:rsid w:val="00F847E4"/>
    <w:rsid w:val="00F858DC"/>
    <w:rsid w:val="00F87847"/>
    <w:rsid w:val="00F9045E"/>
    <w:rsid w:val="00F90D3B"/>
    <w:rsid w:val="00F92067"/>
    <w:rsid w:val="00F92AE1"/>
    <w:rsid w:val="00F93515"/>
    <w:rsid w:val="00F93BB9"/>
    <w:rsid w:val="00F93FD8"/>
    <w:rsid w:val="00F94D88"/>
    <w:rsid w:val="00F9523F"/>
    <w:rsid w:val="00F95938"/>
    <w:rsid w:val="00F95A0D"/>
    <w:rsid w:val="00F95E22"/>
    <w:rsid w:val="00F96440"/>
    <w:rsid w:val="00F96469"/>
    <w:rsid w:val="00F96FCE"/>
    <w:rsid w:val="00F97541"/>
    <w:rsid w:val="00F9761C"/>
    <w:rsid w:val="00FA025B"/>
    <w:rsid w:val="00FA0CBF"/>
    <w:rsid w:val="00FA1BA5"/>
    <w:rsid w:val="00FA1F54"/>
    <w:rsid w:val="00FA26F1"/>
    <w:rsid w:val="00FA28CD"/>
    <w:rsid w:val="00FA2974"/>
    <w:rsid w:val="00FA2CCB"/>
    <w:rsid w:val="00FA360E"/>
    <w:rsid w:val="00FA4B65"/>
    <w:rsid w:val="00FA4DC6"/>
    <w:rsid w:val="00FA74C5"/>
    <w:rsid w:val="00FB025A"/>
    <w:rsid w:val="00FB0CBC"/>
    <w:rsid w:val="00FB1221"/>
    <w:rsid w:val="00FB2374"/>
    <w:rsid w:val="00FB25E2"/>
    <w:rsid w:val="00FB364F"/>
    <w:rsid w:val="00FB3D03"/>
    <w:rsid w:val="00FB3D8D"/>
    <w:rsid w:val="00FB5264"/>
    <w:rsid w:val="00FB60EC"/>
    <w:rsid w:val="00FB686D"/>
    <w:rsid w:val="00FC0193"/>
    <w:rsid w:val="00FC14EA"/>
    <w:rsid w:val="00FC2972"/>
    <w:rsid w:val="00FC2C15"/>
    <w:rsid w:val="00FC6427"/>
    <w:rsid w:val="00FD1703"/>
    <w:rsid w:val="00FD24FE"/>
    <w:rsid w:val="00FD294A"/>
    <w:rsid w:val="00FD2E43"/>
    <w:rsid w:val="00FD4E0F"/>
    <w:rsid w:val="00FD530F"/>
    <w:rsid w:val="00FD6706"/>
    <w:rsid w:val="00FD6FB3"/>
    <w:rsid w:val="00FD7F36"/>
    <w:rsid w:val="00FE06B7"/>
    <w:rsid w:val="00FE0BE5"/>
    <w:rsid w:val="00FE2278"/>
    <w:rsid w:val="00FE2297"/>
    <w:rsid w:val="00FE3474"/>
    <w:rsid w:val="00FE469B"/>
    <w:rsid w:val="00FE4F58"/>
    <w:rsid w:val="00FE5E22"/>
    <w:rsid w:val="00FE5FF9"/>
    <w:rsid w:val="00FE6B4C"/>
    <w:rsid w:val="00FE7C2B"/>
    <w:rsid w:val="00FF0769"/>
    <w:rsid w:val="00FF24E4"/>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1E2D66A9-D847-4349-A72A-3DB6F27A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AB56D2"/>
    <w:pPr>
      <w:keepNext/>
      <w:widowControl/>
      <w:numPr>
        <w:numId w:val="11"/>
      </w:numPr>
      <w:autoSpaceDE/>
      <w:autoSpaceDN/>
      <w:spacing w:before="600" w:after="120"/>
      <w:outlineLvl w:val="0"/>
    </w:pPr>
    <w:rPr>
      <w:rFonts w:ascii="Arial Bold" w:eastAsia="SimSun" w:hAnsi="Arial Bold" w:cs="Arial"/>
      <w:b/>
      <w:bCs/>
      <w:cap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23"/>
      </w:numPr>
      <w:spacing w:before="120"/>
    </w:pPr>
  </w:style>
  <w:style w:type="paragraph" w:customStyle="1" w:styleId="Bodynumbered3">
    <w:name w:val="Body numbered 3"/>
    <w:basedOn w:val="Bodynumbered2"/>
    <w:qFormat/>
    <w:rsid w:val="009F08ED"/>
    <w:pPr>
      <w:numPr>
        <w:numId w:val="13"/>
      </w:numPr>
      <w:tabs>
        <w:tab w:val="num" w:pos="360"/>
      </w:tabs>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2F7CF2"/>
    <w:pPr>
      <w:spacing w:before="60" w:after="60" w:line="240" w:lineRule="atLeast"/>
      <w:ind w:left="0"/>
    </w:pPr>
    <w:rPr>
      <w:bCs w:val="0"/>
      <w:szCs w:val="22"/>
      <w:lang w:eastAsia="en-AU"/>
    </w:rPr>
  </w:style>
  <w:style w:type="character" w:customStyle="1" w:styleId="TableHeadingChar">
    <w:name w:val="Table Heading Char"/>
    <w:link w:val="TableHeading"/>
    <w:rsid w:val="002F7CF2"/>
    <w:rPr>
      <w:rFonts w:ascii="Arial" w:eastAsiaTheme="minorEastAsia" w:hAnsi="Arial" w:cs="Times New Roman"/>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B56D2"/>
    <w:rPr>
      <w:rFonts w:ascii="Arial Bold" w:eastAsia="SimSu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A64CD8"/>
    <w:pPr>
      <w:keepLines/>
      <w:widowControl/>
      <w:tabs>
        <w:tab w:val="left" w:pos="851"/>
      </w:tabs>
      <w:autoSpaceDE/>
      <w:autoSpaceDN/>
      <w:spacing w:before="120" w:after="120"/>
      <w:ind w:left="0" w:firstLine="0"/>
    </w:pPr>
    <w:rPr>
      <w:rFonts w:ascii="Arial" w:eastAsia="Arial" w:hAnsi="Arial" w:cs="Arial"/>
      <w:i/>
      <w:iCs/>
      <w:sz w:val="18"/>
      <w:szCs w:val="18"/>
    </w:rPr>
  </w:style>
  <w:style w:type="paragraph" w:customStyle="1" w:styleId="PubTableBullet1">
    <w:name w:val="Pub Table Bullet 1"/>
    <w:basedOn w:val="Normal"/>
    <w:uiPriority w:val="3"/>
    <w:qFormat/>
    <w:rsid w:val="003F4501"/>
    <w:pPr>
      <w:widowControl/>
      <w:numPr>
        <w:numId w:val="14"/>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5"/>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6"/>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7"/>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8"/>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styleId="FootnoteText">
    <w:name w:val="footnote text"/>
    <w:basedOn w:val="Normal"/>
    <w:link w:val="FootnoteTextChar"/>
    <w:uiPriority w:val="99"/>
    <w:unhideWhenUsed/>
    <w:rsid w:val="00D73EDC"/>
    <w:rPr>
      <w:rFonts w:ascii="Arial" w:hAnsi="Arial"/>
      <w:sz w:val="16"/>
      <w:szCs w:val="20"/>
    </w:rPr>
  </w:style>
  <w:style w:type="character" w:customStyle="1" w:styleId="FootnoteTextChar">
    <w:name w:val="Footnote Text Char"/>
    <w:basedOn w:val="DefaultParagraphFont"/>
    <w:link w:val="FootnoteText"/>
    <w:uiPriority w:val="99"/>
    <w:rsid w:val="00D73EDC"/>
    <w:rPr>
      <w:rFonts w:ascii="Arial" w:eastAsia="Times New Roman" w:hAnsi="Arial" w:cs="Times New Roman"/>
      <w:sz w:val="16"/>
      <w:szCs w:val="20"/>
      <w:lang w:val="en-AU"/>
    </w:rPr>
  </w:style>
  <w:style w:type="character" w:styleId="FootnoteReference">
    <w:name w:val="footnote reference"/>
    <w:basedOn w:val="DefaultParagraphFont"/>
    <w:uiPriority w:val="99"/>
    <w:semiHidden/>
    <w:unhideWhenUsed/>
    <w:rsid w:val="00652BDE"/>
    <w:rPr>
      <w:vertAlign w:val="superscript"/>
    </w:rPr>
  </w:style>
  <w:style w:type="table" w:customStyle="1" w:styleId="SimpleTable11">
    <w:name w:val="Simple Table1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1111111">
    <w:name w:val="1 / 1.1 / 1.1.11"/>
    <w:basedOn w:val="NoList"/>
    <w:next w:val="111111"/>
    <w:semiHidden/>
    <w:rsid w:val="007C0316"/>
  </w:style>
  <w:style w:type="table" w:customStyle="1" w:styleId="SimpleTable41">
    <w:name w:val="Simple Table41"/>
    <w:basedOn w:val="TableNormal"/>
    <w:next w:val="TableGrid"/>
    <w:uiPriority w:val="39"/>
    <w:rsid w:val="007C0316"/>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styleId="TOAHeading">
    <w:name w:val="toa heading"/>
    <w:basedOn w:val="Normal"/>
    <w:next w:val="Normal"/>
    <w:uiPriority w:val="99"/>
    <w:unhideWhenUsed/>
    <w:rsid w:val="0083709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410081623">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39134072">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qld.gov.au/view/pdf/2015-02-11/sl-2014-0007" TargetMode="External"/><Relationship Id="rId18" Type="http://schemas.openxmlformats.org/officeDocument/2006/relationships/hyperlink" Target="http://classic.austlii.edu.au/au/legis/vic/consol_reg/hvnlar2013599/"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legislation.sa.gov.au/LZ/C/A/HEAVY%20VEHICLE%20NATIONAL%20LAW%20(SOUTH%20AUSTRALIA)%20ACT%202013/CURRENT/2013.36.AUTH.PDF" TargetMode="External"/><Relationship Id="rId7" Type="http://schemas.openxmlformats.org/officeDocument/2006/relationships/settings" Target="settings.xml"/><Relationship Id="rId12" Type="http://schemas.openxmlformats.org/officeDocument/2006/relationships/hyperlink" Target="https://www.legislation.qld.gov.au/view/html/inforce/2018-10-01/act-2012-021" TargetMode="External"/><Relationship Id="rId17" Type="http://schemas.openxmlformats.org/officeDocument/2006/relationships/hyperlink" Target="https://content.legislation.vic.gov.au/sites/default/files/2020-02/13-30aa020%20authorised.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act.gov.au/View/a/2013-51/current/html/2013-51.html" TargetMode="External"/><Relationship Id="rId20" Type="http://schemas.openxmlformats.org/officeDocument/2006/relationships/hyperlink" Target="https://www.legislation.tas.gov.au/view/whole/html/inforce/current/sr-2014-00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egislation.nsw.gov.au/view/whole/html/inforce/2020-07-01/sl-2014-0055" TargetMode="External"/><Relationship Id="rId23" Type="http://schemas.openxmlformats.org/officeDocument/2006/relationships/hyperlink" Target="https://www.legislation.sa.gov.au/LZ/C/R/HEAVY%20VEHICLE%20NATIONAL%20LAW%20(SOUTH%20AUSTRALIA)%20(FEES)%20REGULATIONS%202013/2014.06.30/2013.297.UN.PDF"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egislation.tas.gov.au/view/whole/html/inforce/current/act-2013-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nsw.gov.au/view/whole/html/inforce/2018-12-14/act-2013-042" TargetMode="External"/><Relationship Id="rId22" Type="http://schemas.openxmlformats.org/officeDocument/2006/relationships/hyperlink" Target="https://www.legislation.sa.gov.au/LZ/C/R/HEAVY%20VEHICLE%20NATIONAL%20LAW%20(SOUTH%20AUSTRALIA)%20(EXPIATION%20FEES)%20REGULATIONS%202013.aspx"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2.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BA2EB2C6-A5C2-4C37-BA7E-CB6AB28CD73A}">
  <ds:schemaRefs>
    <ds:schemaRef ds:uri="http://schemas.openxmlformats.org/package/2006/metadata/core-properties"/>
    <ds:schemaRef ds:uri="http://schemas.microsoft.com/office/2006/documentManagement/types"/>
    <ds:schemaRef ds:uri="e85daaf6-55f8-4e64-9dc5-0f62b5e2d7b1"/>
    <ds:schemaRef ds:uri="http://www.w3.org/XML/1998/namespace"/>
    <ds:schemaRef ds:uri="http://purl.org/dc/elements/1.1/"/>
    <ds:schemaRef ds:uri="http://schemas.microsoft.com/office/infopath/2007/PartnerControls"/>
    <ds:schemaRef ds:uri="http://schemas.microsoft.com/office/2006/metadata/properti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3996</Words>
  <Characters>21861</Characters>
  <Application>Microsoft Office Word</Application>
  <DocSecurity>0</DocSecurity>
  <Lines>560</Lines>
  <Paragraphs>438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25419</CharactersWithSpaces>
  <SharedDoc>false</SharedDoc>
  <HLinks>
    <vt:vector size="198" baseType="variant">
      <vt:variant>
        <vt:i4>589904</vt:i4>
      </vt:variant>
      <vt:variant>
        <vt:i4>234</vt:i4>
      </vt:variant>
      <vt:variant>
        <vt:i4>0</vt:i4>
      </vt:variant>
      <vt:variant>
        <vt:i4>5</vt:i4>
      </vt:variant>
      <vt:variant>
        <vt:lpwstr>https://www.legislation.sa.gov.au/LZ/C/R/HEAVY VEHICLE NATIONAL LAW (SOUTH AUSTRALIA) (FEES) REGULATIONS 2013/2014.06.30/2013.297.UN.PDF</vt:lpwstr>
      </vt:variant>
      <vt:variant>
        <vt:lpwstr/>
      </vt:variant>
      <vt:variant>
        <vt:i4>1572949</vt:i4>
      </vt:variant>
      <vt:variant>
        <vt:i4>231</vt:i4>
      </vt:variant>
      <vt:variant>
        <vt:i4>0</vt:i4>
      </vt:variant>
      <vt:variant>
        <vt:i4>5</vt:i4>
      </vt:variant>
      <vt:variant>
        <vt:lpwstr>https://www.legislation.sa.gov.au/LZ/C/R/HEAVY VEHICLE NATIONAL LAW (SOUTH AUSTRALIA) (EXPIATION FEES) REGULATIONS 2013.aspx</vt:lpwstr>
      </vt:variant>
      <vt:variant>
        <vt:lpwstr/>
      </vt:variant>
      <vt:variant>
        <vt:i4>6357033</vt:i4>
      </vt:variant>
      <vt:variant>
        <vt:i4>228</vt:i4>
      </vt:variant>
      <vt:variant>
        <vt:i4>0</vt:i4>
      </vt:variant>
      <vt:variant>
        <vt:i4>5</vt:i4>
      </vt:variant>
      <vt:variant>
        <vt:lpwstr>https://www.legislation.sa.gov.au/LZ/C/A/HEAVY VEHICLE NATIONAL LAW (SOUTH AUSTRALIA) ACT 2013/CURRENT/2013.36.AUTH.PDF</vt:lpwstr>
      </vt:variant>
      <vt:variant>
        <vt:lpwstr/>
      </vt:variant>
      <vt:variant>
        <vt:i4>2883624</vt:i4>
      </vt:variant>
      <vt:variant>
        <vt:i4>225</vt:i4>
      </vt:variant>
      <vt:variant>
        <vt:i4>0</vt:i4>
      </vt:variant>
      <vt:variant>
        <vt:i4>5</vt:i4>
      </vt:variant>
      <vt:variant>
        <vt:lpwstr>https://www.legislation.tas.gov.au/view/whole/html/inforce/current/sr-2014-007</vt:lpwstr>
      </vt:variant>
      <vt:variant>
        <vt:lpwstr/>
      </vt:variant>
      <vt:variant>
        <vt:i4>7929913</vt:i4>
      </vt:variant>
      <vt:variant>
        <vt:i4>222</vt:i4>
      </vt:variant>
      <vt:variant>
        <vt:i4>0</vt:i4>
      </vt:variant>
      <vt:variant>
        <vt:i4>5</vt:i4>
      </vt:variant>
      <vt:variant>
        <vt:lpwstr>https://www.legislation.tas.gov.au/view/whole/html/inforce/current/act-2013-030</vt:lpwstr>
      </vt:variant>
      <vt:variant>
        <vt:lpwstr/>
      </vt:variant>
      <vt:variant>
        <vt:i4>6422542</vt:i4>
      </vt:variant>
      <vt:variant>
        <vt:i4>219</vt:i4>
      </vt:variant>
      <vt:variant>
        <vt:i4>0</vt:i4>
      </vt:variant>
      <vt:variant>
        <vt:i4>5</vt:i4>
      </vt:variant>
      <vt:variant>
        <vt:lpwstr>http://classic.austlii.edu.au/au/legis/vic/consol_reg/hvnlar2013599/</vt:lpwstr>
      </vt:variant>
      <vt:variant>
        <vt:lpwstr/>
      </vt:variant>
      <vt:variant>
        <vt:i4>4980749</vt:i4>
      </vt:variant>
      <vt:variant>
        <vt:i4>216</vt:i4>
      </vt:variant>
      <vt:variant>
        <vt:i4>0</vt:i4>
      </vt:variant>
      <vt:variant>
        <vt:i4>5</vt:i4>
      </vt:variant>
      <vt:variant>
        <vt:lpwstr>https://content.legislation.vic.gov.au/sites/default/files/2020-02/13-30aa020 authorised.pdf</vt:lpwstr>
      </vt:variant>
      <vt:variant>
        <vt:lpwstr/>
      </vt:variant>
      <vt:variant>
        <vt:i4>2752562</vt:i4>
      </vt:variant>
      <vt:variant>
        <vt:i4>213</vt:i4>
      </vt:variant>
      <vt:variant>
        <vt:i4>0</vt:i4>
      </vt:variant>
      <vt:variant>
        <vt:i4>5</vt:i4>
      </vt:variant>
      <vt:variant>
        <vt:lpwstr>https://www.legislation.act.gov.au/View/a/2013-51/current/html/2013-51.html</vt:lpwstr>
      </vt:variant>
      <vt:variant>
        <vt:lpwstr/>
      </vt:variant>
      <vt:variant>
        <vt:i4>7864431</vt:i4>
      </vt:variant>
      <vt:variant>
        <vt:i4>210</vt:i4>
      </vt:variant>
      <vt:variant>
        <vt:i4>0</vt:i4>
      </vt:variant>
      <vt:variant>
        <vt:i4>5</vt:i4>
      </vt:variant>
      <vt:variant>
        <vt:lpwstr>https://legislation.nsw.gov.au/view/whole/html/inforce/2020-07-01/sl-2014-0055</vt:lpwstr>
      </vt:variant>
      <vt:variant>
        <vt:lpwstr/>
      </vt:variant>
      <vt:variant>
        <vt:i4>3014707</vt:i4>
      </vt:variant>
      <vt:variant>
        <vt:i4>207</vt:i4>
      </vt:variant>
      <vt:variant>
        <vt:i4>0</vt:i4>
      </vt:variant>
      <vt:variant>
        <vt:i4>5</vt:i4>
      </vt:variant>
      <vt:variant>
        <vt:lpwstr>https://www.legislation.nsw.gov.au/view/whole/html/inforce/2018-12-14/act-2013-042</vt:lpwstr>
      </vt:variant>
      <vt:variant>
        <vt:lpwstr/>
      </vt:variant>
      <vt:variant>
        <vt:i4>7274604</vt:i4>
      </vt:variant>
      <vt:variant>
        <vt:i4>204</vt:i4>
      </vt:variant>
      <vt:variant>
        <vt:i4>0</vt:i4>
      </vt:variant>
      <vt:variant>
        <vt:i4>5</vt:i4>
      </vt:variant>
      <vt:variant>
        <vt:lpwstr>https://www.legislation.qld.gov.au/view/pdf/2015-02-11/sl-2014-0007</vt:lpwstr>
      </vt:variant>
      <vt:variant>
        <vt:lpwstr/>
      </vt:variant>
      <vt:variant>
        <vt:i4>1769537</vt:i4>
      </vt:variant>
      <vt:variant>
        <vt:i4>201</vt:i4>
      </vt:variant>
      <vt:variant>
        <vt:i4>0</vt:i4>
      </vt:variant>
      <vt:variant>
        <vt:i4>5</vt:i4>
      </vt:variant>
      <vt:variant>
        <vt:lpwstr>https://www.legislation.qld.gov.au/view/html/inforce/2018-10-01/act-2012-021</vt:lpwstr>
      </vt:variant>
      <vt:variant>
        <vt:lpwstr/>
      </vt:variant>
      <vt:variant>
        <vt:i4>1835066</vt:i4>
      </vt:variant>
      <vt:variant>
        <vt:i4>122</vt:i4>
      </vt:variant>
      <vt:variant>
        <vt:i4>0</vt:i4>
      </vt:variant>
      <vt:variant>
        <vt:i4>5</vt:i4>
      </vt:variant>
      <vt:variant>
        <vt:lpwstr/>
      </vt:variant>
      <vt:variant>
        <vt:lpwstr>_Toc149208254</vt:lpwstr>
      </vt:variant>
      <vt:variant>
        <vt:i4>1835066</vt:i4>
      </vt:variant>
      <vt:variant>
        <vt:i4>116</vt:i4>
      </vt:variant>
      <vt:variant>
        <vt:i4>0</vt:i4>
      </vt:variant>
      <vt:variant>
        <vt:i4>5</vt:i4>
      </vt:variant>
      <vt:variant>
        <vt:lpwstr/>
      </vt:variant>
      <vt:variant>
        <vt:lpwstr>_Toc149208253</vt:lpwstr>
      </vt:variant>
      <vt:variant>
        <vt:i4>1835066</vt:i4>
      </vt:variant>
      <vt:variant>
        <vt:i4>110</vt:i4>
      </vt:variant>
      <vt:variant>
        <vt:i4>0</vt:i4>
      </vt:variant>
      <vt:variant>
        <vt:i4>5</vt:i4>
      </vt:variant>
      <vt:variant>
        <vt:lpwstr/>
      </vt:variant>
      <vt:variant>
        <vt:lpwstr>_Toc149208252</vt:lpwstr>
      </vt:variant>
      <vt:variant>
        <vt:i4>1835066</vt:i4>
      </vt:variant>
      <vt:variant>
        <vt:i4>104</vt:i4>
      </vt:variant>
      <vt:variant>
        <vt:i4>0</vt:i4>
      </vt:variant>
      <vt:variant>
        <vt:i4>5</vt:i4>
      </vt:variant>
      <vt:variant>
        <vt:lpwstr/>
      </vt:variant>
      <vt:variant>
        <vt:lpwstr>_Toc149208251</vt:lpwstr>
      </vt:variant>
      <vt:variant>
        <vt:i4>1835066</vt:i4>
      </vt:variant>
      <vt:variant>
        <vt:i4>98</vt:i4>
      </vt:variant>
      <vt:variant>
        <vt:i4>0</vt:i4>
      </vt:variant>
      <vt:variant>
        <vt:i4>5</vt:i4>
      </vt:variant>
      <vt:variant>
        <vt:lpwstr/>
      </vt:variant>
      <vt:variant>
        <vt:lpwstr>_Toc149208250</vt:lpwstr>
      </vt:variant>
      <vt:variant>
        <vt:i4>1900602</vt:i4>
      </vt:variant>
      <vt:variant>
        <vt:i4>92</vt:i4>
      </vt:variant>
      <vt:variant>
        <vt:i4>0</vt:i4>
      </vt:variant>
      <vt:variant>
        <vt:i4>5</vt:i4>
      </vt:variant>
      <vt:variant>
        <vt:lpwstr/>
      </vt:variant>
      <vt:variant>
        <vt:lpwstr>_Toc149208249</vt:lpwstr>
      </vt:variant>
      <vt:variant>
        <vt:i4>1900602</vt:i4>
      </vt:variant>
      <vt:variant>
        <vt:i4>86</vt:i4>
      </vt:variant>
      <vt:variant>
        <vt:i4>0</vt:i4>
      </vt:variant>
      <vt:variant>
        <vt:i4>5</vt:i4>
      </vt:variant>
      <vt:variant>
        <vt:lpwstr/>
      </vt:variant>
      <vt:variant>
        <vt:lpwstr>_Toc149208248</vt:lpwstr>
      </vt:variant>
      <vt:variant>
        <vt:i4>1900602</vt:i4>
      </vt:variant>
      <vt:variant>
        <vt:i4>80</vt:i4>
      </vt:variant>
      <vt:variant>
        <vt:i4>0</vt:i4>
      </vt:variant>
      <vt:variant>
        <vt:i4>5</vt:i4>
      </vt:variant>
      <vt:variant>
        <vt:lpwstr/>
      </vt:variant>
      <vt:variant>
        <vt:lpwstr>_Toc149208247</vt:lpwstr>
      </vt:variant>
      <vt:variant>
        <vt:i4>1900602</vt:i4>
      </vt:variant>
      <vt:variant>
        <vt:i4>74</vt:i4>
      </vt:variant>
      <vt:variant>
        <vt:i4>0</vt:i4>
      </vt:variant>
      <vt:variant>
        <vt:i4>5</vt:i4>
      </vt:variant>
      <vt:variant>
        <vt:lpwstr/>
      </vt:variant>
      <vt:variant>
        <vt:lpwstr>_Toc149208246</vt:lpwstr>
      </vt:variant>
      <vt:variant>
        <vt:i4>1900602</vt:i4>
      </vt:variant>
      <vt:variant>
        <vt:i4>68</vt:i4>
      </vt:variant>
      <vt:variant>
        <vt:i4>0</vt:i4>
      </vt:variant>
      <vt:variant>
        <vt:i4>5</vt:i4>
      </vt:variant>
      <vt:variant>
        <vt:lpwstr/>
      </vt:variant>
      <vt:variant>
        <vt:lpwstr>_Toc149208245</vt:lpwstr>
      </vt:variant>
      <vt:variant>
        <vt:i4>1900602</vt:i4>
      </vt:variant>
      <vt:variant>
        <vt:i4>62</vt:i4>
      </vt:variant>
      <vt:variant>
        <vt:i4>0</vt:i4>
      </vt:variant>
      <vt:variant>
        <vt:i4>5</vt:i4>
      </vt:variant>
      <vt:variant>
        <vt:lpwstr/>
      </vt:variant>
      <vt:variant>
        <vt:lpwstr>_Toc149208244</vt:lpwstr>
      </vt:variant>
      <vt:variant>
        <vt:i4>1900602</vt:i4>
      </vt:variant>
      <vt:variant>
        <vt:i4>56</vt:i4>
      </vt:variant>
      <vt:variant>
        <vt:i4>0</vt:i4>
      </vt:variant>
      <vt:variant>
        <vt:i4>5</vt:i4>
      </vt:variant>
      <vt:variant>
        <vt:lpwstr/>
      </vt:variant>
      <vt:variant>
        <vt:lpwstr>_Toc149208243</vt:lpwstr>
      </vt:variant>
      <vt:variant>
        <vt:i4>1900602</vt:i4>
      </vt:variant>
      <vt:variant>
        <vt:i4>50</vt:i4>
      </vt:variant>
      <vt:variant>
        <vt:i4>0</vt:i4>
      </vt:variant>
      <vt:variant>
        <vt:i4>5</vt:i4>
      </vt:variant>
      <vt:variant>
        <vt:lpwstr/>
      </vt:variant>
      <vt:variant>
        <vt:lpwstr>_Toc149208242</vt:lpwstr>
      </vt:variant>
      <vt:variant>
        <vt:i4>1900602</vt:i4>
      </vt:variant>
      <vt:variant>
        <vt:i4>44</vt:i4>
      </vt:variant>
      <vt:variant>
        <vt:i4>0</vt:i4>
      </vt:variant>
      <vt:variant>
        <vt:i4>5</vt:i4>
      </vt:variant>
      <vt:variant>
        <vt:lpwstr/>
      </vt:variant>
      <vt:variant>
        <vt:lpwstr>_Toc149208241</vt:lpwstr>
      </vt:variant>
      <vt:variant>
        <vt:i4>1900602</vt:i4>
      </vt:variant>
      <vt:variant>
        <vt:i4>38</vt:i4>
      </vt:variant>
      <vt:variant>
        <vt:i4>0</vt:i4>
      </vt:variant>
      <vt:variant>
        <vt:i4>5</vt:i4>
      </vt:variant>
      <vt:variant>
        <vt:lpwstr/>
      </vt:variant>
      <vt:variant>
        <vt:lpwstr>_Toc149208240</vt:lpwstr>
      </vt:variant>
      <vt:variant>
        <vt:i4>1703994</vt:i4>
      </vt:variant>
      <vt:variant>
        <vt:i4>32</vt:i4>
      </vt:variant>
      <vt:variant>
        <vt:i4>0</vt:i4>
      </vt:variant>
      <vt:variant>
        <vt:i4>5</vt:i4>
      </vt:variant>
      <vt:variant>
        <vt:lpwstr/>
      </vt:variant>
      <vt:variant>
        <vt:lpwstr>_Toc149208239</vt:lpwstr>
      </vt:variant>
      <vt:variant>
        <vt:i4>1703994</vt:i4>
      </vt:variant>
      <vt:variant>
        <vt:i4>26</vt:i4>
      </vt:variant>
      <vt:variant>
        <vt:i4>0</vt:i4>
      </vt:variant>
      <vt:variant>
        <vt:i4>5</vt:i4>
      </vt:variant>
      <vt:variant>
        <vt:lpwstr/>
      </vt:variant>
      <vt:variant>
        <vt:lpwstr>_Toc149208238</vt:lpwstr>
      </vt:variant>
      <vt:variant>
        <vt:i4>1703994</vt:i4>
      </vt:variant>
      <vt:variant>
        <vt:i4>20</vt:i4>
      </vt:variant>
      <vt:variant>
        <vt:i4>0</vt:i4>
      </vt:variant>
      <vt:variant>
        <vt:i4>5</vt:i4>
      </vt:variant>
      <vt:variant>
        <vt:lpwstr/>
      </vt:variant>
      <vt:variant>
        <vt:lpwstr>_Toc149208237</vt:lpwstr>
      </vt:variant>
      <vt:variant>
        <vt:i4>1703994</vt:i4>
      </vt:variant>
      <vt:variant>
        <vt:i4>14</vt:i4>
      </vt:variant>
      <vt:variant>
        <vt:i4>0</vt:i4>
      </vt:variant>
      <vt:variant>
        <vt:i4>5</vt:i4>
      </vt:variant>
      <vt:variant>
        <vt:lpwstr/>
      </vt:variant>
      <vt:variant>
        <vt:lpwstr>_Toc149208236</vt:lpwstr>
      </vt:variant>
      <vt:variant>
        <vt:i4>1703994</vt:i4>
      </vt:variant>
      <vt:variant>
        <vt:i4>8</vt:i4>
      </vt:variant>
      <vt:variant>
        <vt:i4>0</vt:i4>
      </vt:variant>
      <vt:variant>
        <vt:i4>5</vt:i4>
      </vt:variant>
      <vt:variant>
        <vt:lpwstr/>
      </vt:variant>
      <vt:variant>
        <vt:lpwstr>_Toc149208235</vt:lpwstr>
      </vt:variant>
      <vt:variant>
        <vt:i4>1703994</vt:i4>
      </vt:variant>
      <vt:variant>
        <vt:i4>2</vt:i4>
      </vt:variant>
      <vt:variant>
        <vt:i4>0</vt:i4>
      </vt:variant>
      <vt:variant>
        <vt:i4>5</vt:i4>
      </vt:variant>
      <vt:variant>
        <vt:lpwstr/>
      </vt:variant>
      <vt:variant>
        <vt:lpwstr>_Toc149208234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ATS-1160 Safety Management Systems</dc:title>
  <dc:subject>ATS-1160 Safety Management Systems</dc:subject>
  <dc:creator>Austroads</dc:creator>
  <cp:keywords>ATS-1160 Safety Management Systems</cp:keywords>
  <cp:lastModifiedBy>Ekaterina Kologrivova</cp:lastModifiedBy>
  <cp:revision>238</cp:revision>
  <cp:lastPrinted>2023-05-02T12:45:00Z</cp:lastPrinted>
  <dcterms:created xsi:type="dcterms:W3CDTF">2023-09-29T13:37:00Z</dcterms:created>
  <dcterms:modified xsi:type="dcterms:W3CDTF">2023-10-30T05:13:00Z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