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82B7" w14:textId="77777777" w:rsidR="00DC02AA" w:rsidRPr="003E1278" w:rsidRDefault="00DC02AA" w:rsidP="00FB1221">
      <w:pPr>
        <w:spacing w:before="120"/>
        <w:ind w:left="142"/>
        <w:jc w:val="both"/>
        <w:rPr>
          <w:rFonts w:ascii="Arial" w:hAnsi="Arial" w:cs="Arial"/>
        </w:rPr>
      </w:pPr>
    </w:p>
    <w:tbl>
      <w:tblPr>
        <w:tblStyle w:val="SimpleTable3"/>
        <w:tblW w:w="0" w:type="auto"/>
        <w:tblBorders>
          <w:top w:val="dotted" w:sz="4" w:space="0" w:color="auto"/>
          <w:bottom w:val="dott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40"/>
        <w:gridCol w:w="2060"/>
      </w:tblGrid>
      <w:tr w:rsidR="00AF1D72" w:rsidRPr="00B14381" w14:paraId="1D2648FA" w14:textId="77777777" w:rsidTr="00867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8192C0" w14:textId="66B50AC4" w:rsidR="00AF1D72" w:rsidRPr="00FB1221" w:rsidRDefault="00AF1D72" w:rsidP="00FB1221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color w:val="004259"/>
                <w:sz w:val="28"/>
                <w:szCs w:val="28"/>
              </w:rPr>
            </w:pPr>
            <w:bookmarkStart w:id="0" w:name="_Toc886731"/>
            <w:bookmarkStart w:id="1" w:name="1.1.1_General"/>
            <w:bookmarkEnd w:id="1"/>
            <w:r w:rsidRPr="006B49B7">
              <w:rPr>
                <w:rFonts w:ascii="Arial" w:eastAsia="SimSun" w:hAnsi="Arial" w:cs="Arial"/>
                <w:color w:val="004259"/>
                <w:sz w:val="28"/>
                <w:szCs w:val="28"/>
              </w:rPr>
              <w:t xml:space="preserve">AUSTROADS </w:t>
            </w:r>
            <w:r w:rsidRPr="003B7DCB">
              <w:rPr>
                <w:rFonts w:ascii="Arial" w:eastAsia="SimSun" w:hAnsi="Arial" w:cs="Arial"/>
                <w:color w:val="004259"/>
                <w:sz w:val="28"/>
                <w:szCs w:val="28"/>
              </w:rPr>
              <w:t>TECHNICA</w:t>
            </w:r>
            <w:r w:rsidRPr="006B49B7">
              <w:rPr>
                <w:rFonts w:ascii="Arial" w:eastAsia="SimSun" w:hAnsi="Arial" w:cs="Arial"/>
                <w:color w:val="004259"/>
                <w:sz w:val="28"/>
                <w:szCs w:val="28"/>
              </w:rPr>
              <w:t>L SPECIFICATION ATS</w:t>
            </w:r>
            <w:r w:rsidR="0044011A">
              <w:rPr>
                <w:rFonts w:ascii="Arial" w:eastAsia="SimSun" w:hAnsi="Arial" w:cs="Arial"/>
                <w:color w:val="004259"/>
                <w:sz w:val="28"/>
                <w:szCs w:val="28"/>
              </w:rPr>
              <w:t xml:space="preserve"> </w:t>
            </w:r>
            <w:r w:rsidR="001E0927" w:rsidRPr="001E0927">
              <w:rPr>
                <w:rFonts w:ascii="Arial" w:eastAsia="SimSun" w:hAnsi="Arial" w:cs="Arial"/>
                <w:color w:val="004259"/>
                <w:sz w:val="28"/>
                <w:szCs w:val="28"/>
              </w:rPr>
              <w:t>3535</w:t>
            </w:r>
          </w:p>
          <w:p w14:paraId="50E7BBB9" w14:textId="2F262DBA" w:rsidR="00AF1D72" w:rsidRPr="003B7DCB" w:rsidRDefault="0044011A" w:rsidP="00FB1221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b w:val="0"/>
                <w:bCs/>
                <w:color w:val="6F7C87"/>
                <w:sz w:val="32"/>
                <w:szCs w:val="32"/>
              </w:rPr>
            </w:pPr>
            <w:bookmarkStart w:id="2" w:name="_Hlk150962227"/>
            <w:r w:rsidRPr="0044011A">
              <w:rPr>
                <w:rFonts w:ascii="Arial" w:hAnsi="Arial" w:cs="Arial"/>
                <w:b w:val="0"/>
                <w:bCs/>
                <w:color w:val="004259"/>
                <w:sz w:val="32"/>
                <w:szCs w:val="32"/>
              </w:rPr>
              <w:t>Supply of Roller Compacted Concrete</w:t>
            </w:r>
            <w:bookmarkEnd w:id="2"/>
          </w:p>
        </w:tc>
        <w:tc>
          <w:tcPr>
            <w:tcW w:w="136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519783A" w14:textId="77777777" w:rsidR="00AF1D72" w:rsidRPr="00B14381" w:rsidRDefault="00AF1D72" w:rsidP="00AF1D72">
            <w:pPr>
              <w:tabs>
                <w:tab w:val="center" w:pos="4513"/>
                <w:tab w:val="right" w:pos="9026"/>
              </w:tabs>
              <w:jc w:val="right"/>
              <w:rPr>
                <w:rFonts w:ascii="Arial" w:eastAsia="SimSun" w:hAnsi="Arial" w:cs="Arial"/>
                <w:color w:val="B35E06"/>
                <w:sz w:val="16"/>
                <w:szCs w:val="16"/>
              </w:rPr>
            </w:pPr>
            <w:r>
              <w:rPr>
                <w:rFonts w:ascii="Arial" w:eastAsia="SimSun" w:hAnsi="Arial" w:cs="Arial"/>
                <w:noProof/>
                <w:color w:val="B35E06"/>
                <w:sz w:val="16"/>
                <w:szCs w:val="16"/>
              </w:rPr>
              <w:drawing>
                <wp:inline distT="0" distB="0" distL="0" distR="0" wp14:anchorId="67C3C0A1" wp14:editId="5BC1D47A">
                  <wp:extent cx="1171127" cy="1034681"/>
                  <wp:effectExtent l="0" t="0" r="0" b="0"/>
                  <wp:docPr id="3" name="Picture 3" descr="A close up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ustroads-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884" cy="105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72F" w:rsidRPr="00B14381" w14:paraId="382345AB" w14:textId="77777777" w:rsidTr="0086772F">
        <w:tc>
          <w:tcPr>
            <w:tcW w:w="765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B69AB" w14:textId="77777777" w:rsidR="0086772F" w:rsidRPr="00635279" w:rsidRDefault="0086772F" w:rsidP="00FB1221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color w:val="004259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A182C9" w14:textId="77777777" w:rsidR="0086772F" w:rsidRDefault="0086772F" w:rsidP="00AF1D72">
            <w:pPr>
              <w:tabs>
                <w:tab w:val="center" w:pos="4513"/>
                <w:tab w:val="right" w:pos="9026"/>
              </w:tabs>
              <w:jc w:val="right"/>
              <w:rPr>
                <w:rFonts w:ascii="Arial" w:eastAsia="SimSun" w:hAnsi="Arial" w:cs="Arial"/>
                <w:noProof/>
                <w:color w:val="B35E06"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0"/>
      </w:tblGrid>
      <w:tr w:rsidR="00AF1D72" w14:paraId="0F2EA048" w14:textId="77777777" w:rsidTr="005C24F8">
        <w:trPr>
          <w:trHeight w:val="3941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bookmarkStart w:id="3" w:name="1.1_Scope" w:displacedByCustomXml="next"/>
          <w:bookmarkEnd w:id="3" w:displacedByCustomXml="next"/>
          <w:sdt>
            <w:sdtP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id w:val="-889418727"/>
              <w:docPartObj>
                <w:docPartGallery w:val="Table of Contents"/>
                <w:docPartUnique/>
              </w:docPartObj>
            </w:sdtPr>
            <w:sdtEndPr>
              <w:rPr>
                <w:rFonts w:ascii="Arial" w:hAnsi="Arial"/>
                <w:b/>
                <w:sz w:val="18"/>
                <w:szCs w:val="18"/>
              </w:rPr>
            </w:sdtEndPr>
            <w:sdtContent>
              <w:p w14:paraId="60CA549E" w14:textId="77777777" w:rsidR="00AF1D72" w:rsidRPr="006B49B7" w:rsidRDefault="00AF1D72" w:rsidP="006B49B7">
                <w:pPr>
                  <w:pStyle w:val="Heading1nonumber"/>
                </w:pPr>
                <w:r w:rsidRPr="006B49B7">
                  <w:t>Contents</w:t>
                </w:r>
              </w:p>
              <w:p w14:paraId="5EC2217B" w14:textId="543A1B7C" w:rsidR="006544BA" w:rsidRDefault="00B23DC4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r w:rsidRPr="00E562B0">
                  <w:rPr>
                    <w:rFonts w:cs="Arial"/>
                    <w:b w:val="0"/>
                    <w:bCs/>
                  </w:rPr>
                  <w:fldChar w:fldCharType="begin"/>
                </w:r>
                <w:r w:rsidRPr="00E562B0">
                  <w:rPr>
                    <w:rFonts w:cs="Arial"/>
                    <w:b w:val="0"/>
                    <w:bCs/>
                  </w:rPr>
                  <w:instrText xml:space="preserve"> TOC \h \z \t "Heading 1,1,Heading 2,2,Annexure Heading,1" </w:instrText>
                </w:r>
                <w:r w:rsidRPr="00E562B0">
                  <w:rPr>
                    <w:rFonts w:cs="Arial"/>
                    <w:b w:val="0"/>
                    <w:bCs/>
                  </w:rPr>
                  <w:fldChar w:fldCharType="separate"/>
                </w:r>
                <w:hyperlink w:anchor="_Toc183614515" w:history="1">
                  <w:r w:rsidR="006544BA" w:rsidRPr="00B27BA0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1.</w:t>
                  </w:r>
                  <w:r w:rsidR="006544BA"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="006544BA" w:rsidRPr="00B27BA0">
                    <w:rPr>
                      <w:rStyle w:val="Hyperlink"/>
                      <w:rFonts w:eastAsia="SimSun"/>
                      <w:noProof/>
                    </w:rPr>
                    <w:t>Scope</w:t>
                  </w:r>
                  <w:r w:rsidR="006544BA">
                    <w:rPr>
                      <w:noProof/>
                      <w:webHidden/>
                    </w:rPr>
                    <w:tab/>
                  </w:r>
                  <w:r w:rsidR="006544BA">
                    <w:rPr>
                      <w:noProof/>
                      <w:webHidden/>
                    </w:rPr>
                    <w:fldChar w:fldCharType="begin"/>
                  </w:r>
                  <w:r w:rsidR="006544BA">
                    <w:rPr>
                      <w:noProof/>
                      <w:webHidden/>
                    </w:rPr>
                    <w:instrText xml:space="preserve"> PAGEREF _Toc183614515 \h </w:instrText>
                  </w:r>
                  <w:r w:rsidR="006544BA">
                    <w:rPr>
                      <w:noProof/>
                      <w:webHidden/>
                    </w:rPr>
                  </w:r>
                  <w:r w:rsidR="006544BA">
                    <w:rPr>
                      <w:noProof/>
                      <w:webHidden/>
                    </w:rPr>
                    <w:fldChar w:fldCharType="separate"/>
                  </w:r>
                  <w:r w:rsidR="006544BA">
                    <w:rPr>
                      <w:noProof/>
                      <w:webHidden/>
                    </w:rPr>
                    <w:t>1</w:t>
                  </w:r>
                  <w:r w:rsidR="006544BA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88B612C" w14:textId="69B63B21" w:rsidR="006544BA" w:rsidRDefault="006544BA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16" w:history="1">
                  <w:r w:rsidRPr="00B27BA0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2.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B27BA0">
                    <w:rPr>
                      <w:rStyle w:val="Hyperlink"/>
                      <w:rFonts w:eastAsia="SimSun"/>
                      <w:noProof/>
                    </w:rPr>
                    <w:t>Referenced Documents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_Toc183614516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61BA7A1" w14:textId="6ADA3472" w:rsidR="006544BA" w:rsidRDefault="006544BA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17" w:history="1">
                  <w:r w:rsidRPr="00B27BA0">
                    <w:rPr>
                      <w:rStyle w:val="Hyperlink"/>
                      <w:rFonts w:eastAsiaTheme="majorEastAsia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3.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B27BA0">
                    <w:rPr>
                      <w:rStyle w:val="Hyperlink"/>
                      <w:rFonts w:eastAsia="SimSun"/>
                      <w:noProof/>
                    </w:rPr>
                    <w:t>Definitions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_Toc183614517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DFAB2BE" w14:textId="1DC95A4C" w:rsidR="006544BA" w:rsidRDefault="006544BA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18" w:history="1">
                  <w:r w:rsidRPr="00B27BA0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4.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B27BA0">
                    <w:rPr>
                      <w:rStyle w:val="Hyperlink"/>
                      <w:rFonts w:eastAsia="SimSun"/>
                      <w:noProof/>
                    </w:rPr>
                    <w:t>Quality System Requirements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_Toc183614518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5A7E230" w14:textId="7D50D4A0" w:rsidR="006544BA" w:rsidRDefault="006544BA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19" w:history="1">
                  <w:r w:rsidRPr="00B27BA0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5.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B27BA0">
                    <w:rPr>
                      <w:rStyle w:val="Hyperlink"/>
                      <w:rFonts w:eastAsia="SimSun"/>
                      <w:noProof/>
                    </w:rPr>
                    <w:t>Materials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_Toc183614519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49D2A00" w14:textId="53724833" w:rsidR="006544BA" w:rsidRDefault="006544BA" w:rsidP="00A3558D">
                <w:pPr>
                  <w:pStyle w:val="TOC2"/>
                  <w:tabs>
                    <w:tab w:val="clear" w:pos="1134"/>
                  </w:tabs>
                  <w:ind w:left="567" w:firstLine="0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20" w:history="1">
                  <w:r w:rsidRPr="00B27BA0">
                    <w:rPr>
                      <w:rStyle w:val="Hyperlink"/>
                      <w:rFonts w:eastAsia="SimSun"/>
                      <w:noProof/>
                    </w:rPr>
                    <w:t>Binder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_Toc183614520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C60FE52" w14:textId="49884A79" w:rsidR="006544BA" w:rsidRDefault="006544BA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21" w:history="1">
                  <w:r w:rsidRPr="00B27BA0">
                    <w:rPr>
                      <w:rStyle w:val="Hyperlink"/>
                      <w:rFonts w:eastAsia="SimSun"/>
                      <w:noProof/>
                    </w:rPr>
                    <w:t>Aggregates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_Toc183614521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0094BBB" w14:textId="6248C11D" w:rsidR="006544BA" w:rsidRDefault="006544BA" w:rsidP="00A3558D">
                <w:pPr>
                  <w:pStyle w:val="TOC2"/>
                  <w:tabs>
                    <w:tab w:val="clear" w:pos="1134"/>
                  </w:tabs>
                  <w:ind w:left="567" w:firstLine="0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22" w:history="1">
                  <w:r w:rsidRPr="00B27BA0">
                    <w:rPr>
                      <w:rStyle w:val="Hyperlink"/>
                      <w:rFonts w:eastAsia="SimSun"/>
                      <w:noProof/>
                    </w:rPr>
                    <w:t>Water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_Toc183614522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FAB2AC4" w14:textId="789F9ABF" w:rsidR="006544BA" w:rsidRDefault="006544BA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23" w:history="1">
                  <w:r w:rsidRPr="00B27BA0">
                    <w:rPr>
                      <w:rStyle w:val="Hyperlink"/>
                      <w:rFonts w:eastAsia="SimSun"/>
                      <w:noProof/>
                    </w:rPr>
                    <w:t>Admixtures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_Toc183614523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4944EE9" w14:textId="105DC0B3" w:rsidR="006544BA" w:rsidRDefault="006544BA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24" w:history="1">
                  <w:r w:rsidRPr="00B27BA0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6.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B27BA0">
                    <w:rPr>
                      <w:rStyle w:val="Hyperlink"/>
                      <w:rFonts w:eastAsia="SimSun"/>
                      <w:noProof/>
                    </w:rPr>
                    <w:t>Design Requirements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_Toc183614524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8A412D7" w14:textId="28731751" w:rsidR="006544BA" w:rsidRDefault="006544BA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25" w:history="1">
                  <w:r w:rsidRPr="00B27BA0">
                    <w:rPr>
                      <w:rStyle w:val="Hyperlink"/>
                      <w:rFonts w:eastAsia="SimSun"/>
                      <w:noProof/>
                    </w:rPr>
                    <w:t>Drying Shrinkage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_Toc183614525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973A5EA" w14:textId="734A0ADC" w:rsidR="006544BA" w:rsidRDefault="006544BA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26" w:history="1">
                  <w:r w:rsidRPr="00B27BA0">
                    <w:rPr>
                      <w:rStyle w:val="Hyperlink"/>
                      <w:rFonts w:eastAsia="SimSun"/>
                      <w:noProof/>
                    </w:rPr>
                    <w:t>Compressive Strength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_Toc183614526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4B0B363" w14:textId="49A239EE" w:rsidR="006544BA" w:rsidRDefault="006544BA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27" w:history="1">
                  <w:r w:rsidRPr="00B27BA0">
                    <w:rPr>
                      <w:rStyle w:val="Hyperlink"/>
                      <w:rFonts w:eastAsia="SimSun"/>
                      <w:noProof/>
                    </w:rPr>
                    <w:t>Compactibility Index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_Toc183614527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9DEAB56" w14:textId="0A0C5A2C" w:rsidR="006544BA" w:rsidRDefault="006544BA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28" w:history="1">
                  <w:r w:rsidRPr="00B27BA0">
                    <w:rPr>
                      <w:rStyle w:val="Hyperlink"/>
                      <w:rFonts w:eastAsia="SimSun"/>
                      <w:noProof/>
                    </w:rPr>
                    <w:t>Roller Compacted Concrete Nominated Mix Design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_Toc183614528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E60024B" w14:textId="2B505093" w:rsidR="006544BA" w:rsidRDefault="006544BA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29" w:history="1">
                  <w:r w:rsidRPr="00B27BA0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7.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B27BA0">
                    <w:rPr>
                      <w:rStyle w:val="Hyperlink"/>
                      <w:rFonts w:eastAsia="SimSun"/>
                      <w:noProof/>
                    </w:rPr>
                    <w:t>Production and Transport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_Toc183614529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444E16B" w14:textId="5C860BBB" w:rsidR="006544BA" w:rsidRDefault="006544BA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30" w:history="1">
                  <w:r w:rsidRPr="00B27BA0">
                    <w:rPr>
                      <w:rStyle w:val="Hyperlink"/>
                      <w:rFonts w:eastAsia="SimSun"/>
                      <w:noProof/>
                    </w:rPr>
                    <w:t>Production Plant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_Toc183614530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188AE8D" w14:textId="075C6B3E" w:rsidR="006544BA" w:rsidRDefault="006544BA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31" w:history="1">
                  <w:r w:rsidRPr="00B27BA0">
                    <w:rPr>
                      <w:rStyle w:val="Hyperlink"/>
                      <w:rFonts w:eastAsia="SimSun"/>
                      <w:noProof/>
                    </w:rPr>
                    <w:t>Production Mix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_Toc183614531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39D0142" w14:textId="565D7F47" w:rsidR="006544BA" w:rsidRDefault="006544BA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32" w:history="1">
                  <w:r w:rsidRPr="00B27BA0">
                    <w:rPr>
                      <w:rStyle w:val="Hyperlink"/>
                      <w:rFonts w:eastAsia="SimSun"/>
                      <w:noProof/>
                    </w:rPr>
                    <w:t>Transport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_Toc183614532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94616FE" w14:textId="4EDC140D" w:rsidR="006544BA" w:rsidRDefault="006544BA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33" w:history="1">
                  <w:r w:rsidRPr="00B27BA0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8.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B27BA0">
                    <w:rPr>
                      <w:rStyle w:val="Hyperlink"/>
                      <w:rFonts w:eastAsia="SimSun"/>
                      <w:noProof/>
                    </w:rPr>
                    <w:t>Process Control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_Toc183614533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0ECFC32" w14:textId="74A28EF5" w:rsidR="006544BA" w:rsidRDefault="006544BA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34" w:history="1">
                  <w:r w:rsidRPr="00B27BA0">
                    <w:rPr>
                      <w:rStyle w:val="Hyperlink"/>
                      <w:rFonts w:eastAsia="SimSun"/>
                      <w:noProof/>
                    </w:rPr>
                    <w:t>Application of Binder and Admixtures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_Toc183614534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E93CF9F" w14:textId="7B96DD3B" w:rsidR="006544BA" w:rsidRDefault="006544BA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35" w:history="1">
                  <w:r w:rsidRPr="00B27BA0">
                    <w:rPr>
                      <w:rStyle w:val="Hyperlink"/>
                      <w:rFonts w:eastAsia="SimSun"/>
                      <w:noProof/>
                    </w:rPr>
                    <w:t>Compactibility Index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_Toc183614535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790EF36" w14:textId="08A4FB10" w:rsidR="006544BA" w:rsidRDefault="006544BA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36" w:history="1">
                  <w:r w:rsidRPr="00B27BA0">
                    <w:rPr>
                      <w:rStyle w:val="Hyperlink"/>
                      <w:rFonts w:eastAsia="SimSun"/>
                      <w:noProof/>
                    </w:rPr>
                    <w:t>Cylinder Strength Testing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_Toc183614536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E35CC8C" w14:textId="37C960AB" w:rsidR="006544BA" w:rsidRDefault="006544BA">
                <w:pPr>
                  <w:pStyle w:val="TOC1"/>
                  <w:tabs>
                    <w:tab w:val="left" w:pos="1571"/>
                  </w:tabs>
                  <w:rPr>
                    <w:rFonts w:asciiTheme="minorHAnsi" w:eastAsiaTheme="minorEastAsia" w:hAnsiTheme="minorHAnsi" w:cstheme="minorBidi"/>
                    <w:b w:val="0"/>
                    <w:noProof/>
                    <w:kern w:val="2"/>
                    <w:sz w:val="24"/>
                    <w:szCs w:val="24"/>
                    <w:lang w:eastAsia="en-AU"/>
                    <w14:ligatures w14:val="standardContextual"/>
                  </w:rPr>
                </w:pPr>
                <w:hyperlink w:anchor="_Toc183614537" w:history="1">
                  <w:r w:rsidRPr="00B27BA0">
                    <w:rPr>
                      <w:rStyle w:val="Hyperlink"/>
                      <w:rFonts w:eastAsia="SimSun"/>
                      <w:noProof/>
                    </w:rPr>
                    <w:t>Annexure A:</w:t>
                  </w:r>
                  <w:r>
                    <w:rPr>
                      <w:rFonts w:asciiTheme="minorHAnsi" w:eastAsiaTheme="minorEastAsia" w:hAnsiTheme="minorHAnsi" w:cstheme="minorBidi"/>
                      <w:b w:val="0"/>
                      <w:noProof/>
                      <w:kern w:val="2"/>
                      <w:sz w:val="24"/>
                      <w:szCs w:val="24"/>
                      <w:lang w:eastAsia="en-AU"/>
                      <w14:ligatures w14:val="standardContextual"/>
                    </w:rPr>
                    <w:tab/>
                  </w:r>
                  <w:r w:rsidRPr="00B27BA0">
                    <w:rPr>
                      <w:rStyle w:val="Hyperlink"/>
                      <w:rFonts w:eastAsia="SimSun"/>
                      <w:noProof/>
                    </w:rPr>
                    <w:t>Summary of Hold Points, Witness Points and Records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_Toc183614537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3CD89DC" w14:textId="00F50036" w:rsidR="00AF1D72" w:rsidRPr="003F7623" w:rsidRDefault="00B23DC4" w:rsidP="00A3558D">
                <w:pPr>
                  <w:pStyle w:val="TOC1"/>
                  <w:tabs>
                    <w:tab w:val="left" w:pos="1571"/>
                  </w:tabs>
                  <w:ind w:left="0" w:firstLine="0"/>
                  <w:rPr>
                    <w:rFonts w:cs="Arial"/>
                    <w:b w:val="0"/>
                    <w:bCs/>
                  </w:rPr>
                </w:pPr>
                <w:r w:rsidRPr="00E562B0">
                  <w:rPr>
                    <w:rFonts w:cs="Arial"/>
                    <w:b w:val="0"/>
                    <w:bCs/>
                  </w:rPr>
                  <w:fldChar w:fldCharType="end"/>
                </w:r>
              </w:p>
            </w:sdtContent>
          </w:sdt>
        </w:tc>
      </w:tr>
    </w:tbl>
    <w:p w14:paraId="0AC79817" w14:textId="77777777" w:rsidR="00991F4D" w:rsidRPr="003E31BA" w:rsidRDefault="00AF1D72" w:rsidP="00FB1221">
      <w:pPr>
        <w:pStyle w:val="Heading1"/>
      </w:pPr>
      <w:bookmarkStart w:id="4" w:name="_Toc183614515"/>
      <w:r w:rsidRPr="003E31BA">
        <w:t>Scope</w:t>
      </w:r>
      <w:bookmarkEnd w:id="0"/>
      <w:bookmarkEnd w:id="4"/>
    </w:p>
    <w:p w14:paraId="1657EBA7" w14:textId="06FC1FD5" w:rsidR="00AE4BDD" w:rsidRDefault="00AE4BDD" w:rsidP="00AE4BDD">
      <w:pPr>
        <w:pStyle w:val="Bodynumbered1"/>
      </w:pPr>
      <w:bookmarkStart w:id="5" w:name="_Toc514678946"/>
      <w:bookmarkStart w:id="6" w:name="_Toc886733"/>
      <w:bookmarkStart w:id="7" w:name="_Toc886732"/>
      <w:r>
        <w:t xml:space="preserve">Austroads Technical Specification ATS 3535 sets out the requirements </w:t>
      </w:r>
      <w:r w:rsidR="00DF1CFA">
        <w:t xml:space="preserve">for </w:t>
      </w:r>
      <w:r>
        <w:t xml:space="preserve">the supply and delivery of </w:t>
      </w:r>
      <w:r w:rsidR="00FB6229">
        <w:t>R</w:t>
      </w:r>
      <w:r>
        <w:t xml:space="preserve">oller </w:t>
      </w:r>
      <w:r w:rsidR="00A531AE">
        <w:t>C</w:t>
      </w:r>
      <w:r>
        <w:t xml:space="preserve">ompacted </w:t>
      </w:r>
      <w:r w:rsidR="00A531AE">
        <w:t>C</w:t>
      </w:r>
      <w:r>
        <w:t>oncrete for use in road pavements.</w:t>
      </w:r>
    </w:p>
    <w:p w14:paraId="45F8335E" w14:textId="622EB38E" w:rsidR="00436AD1" w:rsidRDefault="00AE4BDD" w:rsidP="00AE4BDD">
      <w:pPr>
        <w:pStyle w:val="Bodynumbered1"/>
      </w:pPr>
      <w:r>
        <w:t>The Contractor must ensure that the Supplier complies with this Specification. The Contractor may be the same entity as the Supplier.</w:t>
      </w:r>
    </w:p>
    <w:p w14:paraId="34AB4A72" w14:textId="77777777" w:rsidR="00436AD1" w:rsidRDefault="00436AD1">
      <w:pPr>
        <w:rPr>
          <w:rFonts w:ascii="Arial" w:eastAsiaTheme="minorEastAsia" w:hAnsi="Arial"/>
          <w:sz w:val="20"/>
          <w:szCs w:val="20"/>
          <w:lang w:eastAsia="ja-JP"/>
        </w:rPr>
      </w:pPr>
      <w:r>
        <w:br w:type="page"/>
      </w:r>
    </w:p>
    <w:p w14:paraId="3DC65608" w14:textId="77777777" w:rsidR="008172E2" w:rsidRPr="003E31BA" w:rsidRDefault="008172E2" w:rsidP="008172E2">
      <w:pPr>
        <w:pStyle w:val="Heading1"/>
      </w:pPr>
      <w:bookmarkStart w:id="8" w:name="_Toc183614516"/>
      <w:r w:rsidRPr="003E31BA">
        <w:lastRenderedPageBreak/>
        <w:t>Referenced Documents</w:t>
      </w:r>
      <w:bookmarkEnd w:id="8"/>
    </w:p>
    <w:p w14:paraId="7CDF5754" w14:textId="77777777" w:rsidR="008172E2" w:rsidRPr="00045CDF" w:rsidRDefault="008172E2" w:rsidP="008172E2">
      <w:pPr>
        <w:pStyle w:val="Bodynumbered1"/>
        <w:keepNext/>
      </w:pPr>
      <w:r w:rsidRPr="00825802">
        <w:t xml:space="preserve">The </w:t>
      </w:r>
      <w:r w:rsidRPr="006B49B7">
        <w:t>following</w:t>
      </w:r>
      <w:r w:rsidRPr="00825802">
        <w:t xml:space="preserve"> documents are referenced in this </w:t>
      </w:r>
      <w:r>
        <w:t>S</w:t>
      </w:r>
      <w:r w:rsidRPr="00825802">
        <w:t>pecification</w:t>
      </w:r>
      <w:r>
        <w:t>:</w:t>
      </w:r>
    </w:p>
    <w:tbl>
      <w:tblPr>
        <w:tblStyle w:val="TableGrid"/>
        <w:tblW w:w="8481" w:type="dxa"/>
        <w:tblInd w:w="579" w:type="dxa"/>
        <w:tblBorders>
          <w:top w:val="single" w:sz="8" w:space="0" w:color="244061" w:themeColor="accent1" w:themeShade="80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8" w:space="0" w:color="244061" w:themeColor="accent1" w:themeShade="80"/>
          <w:insideV w:val="single" w:sz="12" w:space="0" w:color="244061" w:themeColor="accent1" w:themeShade="80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481"/>
      </w:tblGrid>
      <w:tr w:rsidR="008172E2" w:rsidRPr="00BD729A" w14:paraId="382EAADC" w14:textId="77777777" w:rsidTr="00102A73">
        <w:tc>
          <w:tcPr>
            <w:tcW w:w="8481" w:type="dxa"/>
          </w:tcPr>
          <w:p w14:paraId="1F263D56" w14:textId="134DD749" w:rsidR="008172E2" w:rsidRPr="00BD729A" w:rsidRDefault="008172E2" w:rsidP="00102A73">
            <w:pPr>
              <w:pStyle w:val="BodyTextIndent"/>
              <w:spacing w:before="80" w:after="100"/>
              <w:ind w:left="2977" w:hanging="2977"/>
              <w:rPr>
                <w:b/>
                <w:bCs w:val="0"/>
                <w:color w:val="004259"/>
              </w:rPr>
            </w:pPr>
            <w:bookmarkStart w:id="9" w:name="_Toc514678947"/>
            <w:bookmarkStart w:id="10" w:name="_Toc886734"/>
            <w:r w:rsidRPr="00BD729A">
              <w:rPr>
                <w:b/>
                <w:bCs w:val="0"/>
                <w:color w:val="004259"/>
              </w:rPr>
              <w:t>Australian/New Zealand Standards</w:t>
            </w:r>
          </w:p>
          <w:p w14:paraId="0123CAE6" w14:textId="77777777" w:rsidR="0035087E" w:rsidRDefault="0035087E" w:rsidP="00DC612D">
            <w:pPr>
              <w:pStyle w:val="BodyTextIndent"/>
              <w:spacing w:before="80" w:after="100"/>
              <w:ind w:left="1985" w:hanging="1985"/>
            </w:pPr>
            <w:r>
              <w:t>AS 1012</w:t>
            </w:r>
            <w:r>
              <w:tab/>
              <w:t>Methods of testing concrete</w:t>
            </w:r>
          </w:p>
          <w:p w14:paraId="552B8C18" w14:textId="626FEC2D" w:rsidR="0035087E" w:rsidRDefault="0024764B" w:rsidP="005D4AD5">
            <w:pPr>
              <w:pStyle w:val="BodyTextIndent"/>
              <w:spacing w:before="80" w:after="100"/>
              <w:ind w:left="1984" w:hanging="1814"/>
            </w:pPr>
            <w:r>
              <w:t>M</w:t>
            </w:r>
            <w:r w:rsidR="00EE336F">
              <w:t xml:space="preserve">ethod </w:t>
            </w:r>
            <w:r w:rsidR="0035087E">
              <w:t>3.4</w:t>
            </w:r>
            <w:r w:rsidR="007F6AA4">
              <w:t>:</w:t>
            </w:r>
            <w:r w:rsidR="0035087E">
              <w:tab/>
            </w:r>
            <w:proofErr w:type="spellStart"/>
            <w:r w:rsidR="0035087E">
              <w:t>Compactibility</w:t>
            </w:r>
            <w:proofErr w:type="spellEnd"/>
            <w:r w:rsidR="0035087E">
              <w:t xml:space="preserve"> index</w:t>
            </w:r>
          </w:p>
          <w:p w14:paraId="02AA4F33" w14:textId="2F5E2C38" w:rsidR="0035087E" w:rsidRDefault="00EE336F" w:rsidP="005D4AD5">
            <w:pPr>
              <w:pStyle w:val="BodyTextIndent"/>
              <w:spacing w:before="80" w:after="100"/>
              <w:ind w:left="1984" w:hanging="1814"/>
            </w:pPr>
            <w:r w:rsidRPr="00EE336F">
              <w:t>Method</w:t>
            </w:r>
            <w:r>
              <w:t xml:space="preserve"> </w:t>
            </w:r>
            <w:r w:rsidR="0035087E">
              <w:t>8.1</w:t>
            </w:r>
            <w:r w:rsidR="007F6AA4">
              <w:t>:</w:t>
            </w:r>
            <w:r w:rsidR="0035087E">
              <w:tab/>
              <w:t>Method for making and curing concrete – Compression and indirect tensile test specimens</w:t>
            </w:r>
          </w:p>
          <w:p w14:paraId="5AAD1006" w14:textId="16A1DC56" w:rsidR="0035087E" w:rsidRDefault="00EE336F" w:rsidP="005D4AD5">
            <w:pPr>
              <w:pStyle w:val="BodyTextIndent"/>
              <w:spacing w:before="80" w:after="100"/>
              <w:ind w:left="1984" w:hanging="1814"/>
            </w:pPr>
            <w:r w:rsidRPr="00EE336F">
              <w:t>Method</w:t>
            </w:r>
            <w:r>
              <w:t xml:space="preserve"> </w:t>
            </w:r>
            <w:r w:rsidR="0035087E">
              <w:t>9</w:t>
            </w:r>
            <w:r w:rsidR="007F6AA4">
              <w:t>:</w:t>
            </w:r>
            <w:r w:rsidR="0035087E">
              <w:tab/>
              <w:t>Determination of compressive strength of concrete specimens</w:t>
            </w:r>
          </w:p>
          <w:p w14:paraId="3C4C8E60" w14:textId="40BA304C" w:rsidR="0035087E" w:rsidRDefault="00222605" w:rsidP="005D4AD5">
            <w:pPr>
              <w:pStyle w:val="BodyTextIndent"/>
              <w:spacing w:before="80" w:after="100"/>
              <w:ind w:left="1984" w:hanging="1814"/>
            </w:pPr>
            <w:r w:rsidRPr="00222605">
              <w:t>Method</w:t>
            </w:r>
            <w:r>
              <w:t xml:space="preserve"> </w:t>
            </w:r>
            <w:r w:rsidR="0035087E">
              <w:t>13</w:t>
            </w:r>
            <w:r w:rsidR="00015318">
              <w:t>:</w:t>
            </w:r>
            <w:r w:rsidR="0035087E">
              <w:tab/>
              <w:t>Determination of the drying shrinkage of concrete for samples prepared in the field or in the laboratory</w:t>
            </w:r>
          </w:p>
          <w:p w14:paraId="5FFEBB56" w14:textId="77777777" w:rsidR="0035087E" w:rsidRDefault="0035087E" w:rsidP="005D4AD5">
            <w:pPr>
              <w:pStyle w:val="BodyTextIndent"/>
              <w:spacing w:before="80" w:after="100"/>
              <w:ind w:left="1985" w:hanging="1985"/>
            </w:pPr>
            <w:r>
              <w:t>AS 1141</w:t>
            </w:r>
            <w:r>
              <w:tab/>
              <w:t>Methods for sampling and testing aggregates</w:t>
            </w:r>
          </w:p>
          <w:p w14:paraId="4A65B080" w14:textId="0E2C9BC1" w:rsidR="0035087E" w:rsidRDefault="00222605" w:rsidP="005D4AD5">
            <w:pPr>
              <w:pStyle w:val="BodyTextIndent"/>
              <w:spacing w:before="80" w:after="100"/>
              <w:ind w:left="1984" w:hanging="1814"/>
            </w:pPr>
            <w:r w:rsidRPr="00222605">
              <w:t xml:space="preserve">Method </w:t>
            </w:r>
            <w:r w:rsidR="0035087E">
              <w:t>4</w:t>
            </w:r>
            <w:r w:rsidR="007F6AA4">
              <w:t>:</w:t>
            </w:r>
            <w:r w:rsidR="0035087E">
              <w:tab/>
              <w:t>Bulk density of aggregate</w:t>
            </w:r>
          </w:p>
          <w:p w14:paraId="3A310BAC" w14:textId="5A9FB4DF" w:rsidR="0035087E" w:rsidRDefault="00222605" w:rsidP="005D4AD5">
            <w:pPr>
              <w:pStyle w:val="BodyTextIndent"/>
              <w:spacing w:before="80" w:after="100"/>
              <w:ind w:left="1984" w:hanging="1814"/>
            </w:pPr>
            <w:r w:rsidRPr="00222605">
              <w:t>Method</w:t>
            </w:r>
            <w:r>
              <w:t xml:space="preserve"> </w:t>
            </w:r>
            <w:r w:rsidR="0035087E">
              <w:t>5</w:t>
            </w:r>
            <w:r w:rsidR="007F6AA4">
              <w:t>:</w:t>
            </w:r>
            <w:r w:rsidR="0035087E">
              <w:tab/>
              <w:t>Particle density and water absorption of fine aggregate</w:t>
            </w:r>
          </w:p>
          <w:p w14:paraId="069991EA" w14:textId="63607CFD" w:rsidR="0035087E" w:rsidRDefault="00222605" w:rsidP="005D4AD5">
            <w:pPr>
              <w:pStyle w:val="BodyTextIndent"/>
              <w:spacing w:before="80" w:after="100"/>
              <w:ind w:left="1984" w:hanging="1814"/>
            </w:pPr>
            <w:r w:rsidRPr="00222605">
              <w:t>Method</w:t>
            </w:r>
            <w:r>
              <w:t xml:space="preserve"> </w:t>
            </w:r>
            <w:r w:rsidR="0035087E">
              <w:t>6.1</w:t>
            </w:r>
            <w:r w:rsidR="007F6AA4">
              <w:t>:</w:t>
            </w:r>
            <w:r w:rsidR="0035087E">
              <w:tab/>
              <w:t>Particle density and water absorption of coarse aggregate – Weighing in-water method</w:t>
            </w:r>
          </w:p>
          <w:p w14:paraId="4C7F7BF9" w14:textId="114B374C" w:rsidR="0035087E" w:rsidRDefault="00222605" w:rsidP="005D4AD5">
            <w:pPr>
              <w:pStyle w:val="BodyTextIndent"/>
              <w:spacing w:before="80" w:after="100"/>
              <w:ind w:left="1984" w:hanging="1814"/>
            </w:pPr>
            <w:r w:rsidRPr="00222605">
              <w:t xml:space="preserve">Method </w:t>
            </w:r>
            <w:r w:rsidR="0035087E">
              <w:t>11</w:t>
            </w:r>
            <w:r w:rsidR="007F6AA4">
              <w:t>:</w:t>
            </w:r>
            <w:r w:rsidR="0035087E">
              <w:tab/>
              <w:t>Particle size distribution by dry sieving</w:t>
            </w:r>
          </w:p>
          <w:p w14:paraId="51C3E19D" w14:textId="56420E38" w:rsidR="0035087E" w:rsidRDefault="00222605" w:rsidP="005D4AD5">
            <w:pPr>
              <w:pStyle w:val="BodyTextIndent"/>
              <w:spacing w:before="80" w:after="100"/>
              <w:ind w:left="1984" w:hanging="1814"/>
            </w:pPr>
            <w:r w:rsidRPr="00222605">
              <w:t xml:space="preserve">Method </w:t>
            </w:r>
            <w:r w:rsidR="0035087E">
              <w:t>12</w:t>
            </w:r>
            <w:r w:rsidR="007F6AA4">
              <w:t>:</w:t>
            </w:r>
            <w:r w:rsidR="0035087E">
              <w:tab/>
              <w:t>Materials finer than 75</w:t>
            </w:r>
            <w:r w:rsidR="005B35A6">
              <w:rPr>
                <w:rFonts w:cs="Arial"/>
              </w:rPr>
              <w:t>µ</w:t>
            </w:r>
            <w:r w:rsidR="0035087E">
              <w:t>m in aggregates (by washing)</w:t>
            </w:r>
          </w:p>
          <w:p w14:paraId="62B31BED" w14:textId="69DB6BF7" w:rsidR="0035087E" w:rsidRDefault="00222605" w:rsidP="005D4AD5">
            <w:pPr>
              <w:pStyle w:val="BodyTextIndent"/>
              <w:spacing w:before="80" w:after="100"/>
              <w:ind w:left="1984" w:hanging="1814"/>
            </w:pPr>
            <w:r w:rsidRPr="00222605">
              <w:t>Method</w:t>
            </w:r>
            <w:r>
              <w:t xml:space="preserve"> </w:t>
            </w:r>
            <w:r w:rsidR="0035087E">
              <w:t>13</w:t>
            </w:r>
            <w:r w:rsidR="007F6AA4">
              <w:t>:</w:t>
            </w:r>
            <w:r w:rsidR="0035087E">
              <w:tab/>
              <w:t xml:space="preserve">Material </w:t>
            </w:r>
            <w:r w:rsidR="000E2070">
              <w:t xml:space="preserve">finer </w:t>
            </w:r>
            <w:r w:rsidR="0035087E">
              <w:t>than 2</w:t>
            </w:r>
            <w:r w:rsidR="005B35A6">
              <w:rPr>
                <w:rFonts w:cs="Arial"/>
              </w:rPr>
              <w:t>µ</w:t>
            </w:r>
            <w:r w:rsidR="0035087E">
              <w:t>m</w:t>
            </w:r>
          </w:p>
          <w:p w14:paraId="0C432F6A" w14:textId="2CFE5EC8" w:rsidR="0035087E" w:rsidRDefault="00222605" w:rsidP="005D4AD5">
            <w:pPr>
              <w:pStyle w:val="BodyTextIndent"/>
              <w:spacing w:before="80" w:after="100"/>
              <w:ind w:left="1984" w:hanging="1814"/>
            </w:pPr>
            <w:r w:rsidRPr="00222605">
              <w:t xml:space="preserve">Method </w:t>
            </w:r>
            <w:r w:rsidR="0035087E">
              <w:t>14</w:t>
            </w:r>
            <w:r w:rsidR="007F6AA4">
              <w:t>:</w:t>
            </w:r>
            <w:r w:rsidR="0035087E">
              <w:tab/>
              <w:t>Particle shape, by proportional calliper</w:t>
            </w:r>
          </w:p>
          <w:p w14:paraId="087EA098" w14:textId="7FE42B93" w:rsidR="0035087E" w:rsidRDefault="00222605" w:rsidP="005D4AD5">
            <w:pPr>
              <w:pStyle w:val="BodyTextIndent"/>
              <w:spacing w:before="80" w:after="100"/>
              <w:ind w:left="1984" w:hanging="1814"/>
            </w:pPr>
            <w:r w:rsidRPr="00222605">
              <w:t>Method</w:t>
            </w:r>
            <w:r>
              <w:t xml:space="preserve"> </w:t>
            </w:r>
            <w:r w:rsidR="0035087E">
              <w:t>24</w:t>
            </w:r>
            <w:r w:rsidR="007F6AA4">
              <w:t>:</w:t>
            </w:r>
            <w:r w:rsidR="0035087E">
              <w:tab/>
              <w:t xml:space="preserve">Aggregate soundness </w:t>
            </w:r>
            <w:r w:rsidR="00BD7605">
              <w:t>–</w:t>
            </w:r>
            <w:r w:rsidR="0035087E">
              <w:t xml:space="preserve"> Evaluation by exposure to sodium sulphate solution</w:t>
            </w:r>
          </w:p>
          <w:p w14:paraId="6FE29135" w14:textId="775851A2" w:rsidR="007B6377" w:rsidRPr="006F5A41" w:rsidRDefault="00D21974" w:rsidP="005D4AD5">
            <w:pPr>
              <w:pStyle w:val="BodyTextIndent"/>
              <w:spacing w:before="80" w:after="100"/>
              <w:ind w:left="1985" w:hanging="1985"/>
            </w:pPr>
            <w:r w:rsidRPr="006F5A41">
              <w:t>AS 1289</w:t>
            </w:r>
            <w:r w:rsidR="007B6377" w:rsidRPr="006F5A41">
              <w:t>.4.2</w:t>
            </w:r>
            <w:r w:rsidR="00931A23">
              <w:t>.</w:t>
            </w:r>
            <w:r w:rsidR="007B6377" w:rsidRPr="006F5A41">
              <w:t>1</w:t>
            </w:r>
            <w:r w:rsidR="007B6377" w:rsidRPr="006F5A41">
              <w:tab/>
            </w:r>
            <w:r w:rsidR="004C570B" w:rsidRPr="006F5A41">
              <w:t xml:space="preserve">Method of testing soils for engineering purposes </w:t>
            </w:r>
            <w:r w:rsidR="00E457A0">
              <w:rPr>
                <w:rFonts w:cs="Arial"/>
              </w:rPr>
              <w:t>–</w:t>
            </w:r>
            <w:r w:rsidR="00E457A0">
              <w:t xml:space="preserve"> </w:t>
            </w:r>
            <w:r w:rsidRPr="006F5A41">
              <w:t>Method 4.2.1: Soil chemical tests</w:t>
            </w:r>
            <w:r w:rsidR="00DA5800">
              <w:t xml:space="preserve"> – </w:t>
            </w:r>
            <w:r w:rsidRPr="006F5A41">
              <w:t xml:space="preserve">Determination of the </w:t>
            </w:r>
            <w:proofErr w:type="spellStart"/>
            <w:r w:rsidRPr="006F5A41">
              <w:t>sulfate</w:t>
            </w:r>
            <w:proofErr w:type="spellEnd"/>
            <w:r w:rsidRPr="006F5A41">
              <w:t xml:space="preserve"> content of a soil and the </w:t>
            </w:r>
            <w:proofErr w:type="spellStart"/>
            <w:r w:rsidRPr="006F5A41">
              <w:t>sulfate</w:t>
            </w:r>
            <w:proofErr w:type="spellEnd"/>
            <w:r w:rsidRPr="006F5A41">
              <w:t xml:space="preserve"> content of the groundwater </w:t>
            </w:r>
            <w:r w:rsidR="00336633">
              <w:t>–</w:t>
            </w:r>
            <w:r w:rsidRPr="006F5A41">
              <w:t xml:space="preserve"> Normal method</w:t>
            </w:r>
          </w:p>
          <w:p w14:paraId="7CE3ABB3" w14:textId="3D781951" w:rsidR="0035087E" w:rsidRDefault="0035087E" w:rsidP="005D4AD5">
            <w:pPr>
              <w:pStyle w:val="BodyTextIndent"/>
              <w:spacing w:before="80" w:after="100"/>
              <w:ind w:left="1985" w:hanging="1985"/>
            </w:pPr>
            <w:r>
              <w:t>AS 1478</w:t>
            </w:r>
            <w:r>
              <w:tab/>
              <w:t>Chemical admixtures for use in concrete</w:t>
            </w:r>
          </w:p>
          <w:p w14:paraId="453EF2FB" w14:textId="77777777" w:rsidR="0035087E" w:rsidRDefault="0035087E" w:rsidP="005D4AD5">
            <w:pPr>
              <w:pStyle w:val="BodyTextIndent"/>
              <w:spacing w:before="80" w:after="100"/>
              <w:ind w:left="1985" w:hanging="1985"/>
            </w:pPr>
            <w:r>
              <w:t>AS 3550.4</w:t>
            </w:r>
            <w:r>
              <w:tab/>
              <w:t>Waters: determination of solids – Gravimetric methods</w:t>
            </w:r>
          </w:p>
          <w:p w14:paraId="267A2D75" w14:textId="32471041" w:rsidR="008172E2" w:rsidRPr="00BD729A" w:rsidRDefault="0035087E" w:rsidP="005D4AD5">
            <w:pPr>
              <w:pStyle w:val="BodyTextIndent"/>
              <w:spacing w:before="80" w:after="100"/>
              <w:ind w:left="1985" w:hanging="1985"/>
            </w:pPr>
            <w:r>
              <w:t>AS/NZS ISO 9001</w:t>
            </w:r>
            <w:r>
              <w:tab/>
              <w:t>Quality management systems – Requirements</w:t>
            </w:r>
          </w:p>
        </w:tc>
      </w:tr>
      <w:tr w:rsidR="00E77D46" w:rsidRPr="00BD729A" w14:paraId="4F69B520" w14:textId="77777777" w:rsidTr="00102A73">
        <w:tc>
          <w:tcPr>
            <w:tcW w:w="8481" w:type="dxa"/>
          </w:tcPr>
          <w:p w14:paraId="1654DDC1" w14:textId="77777777" w:rsidR="00E77D46" w:rsidRDefault="00E77D46" w:rsidP="00102A73">
            <w:pPr>
              <w:pStyle w:val="BodyTextIndent"/>
              <w:spacing w:before="80" w:after="100"/>
              <w:ind w:left="2977" w:hanging="2977"/>
              <w:rPr>
                <w:b/>
                <w:bCs w:val="0"/>
                <w:color w:val="004259"/>
              </w:rPr>
            </w:pPr>
            <w:r>
              <w:rPr>
                <w:b/>
                <w:bCs w:val="0"/>
                <w:color w:val="004259"/>
              </w:rPr>
              <w:t>International Standards</w:t>
            </w:r>
          </w:p>
          <w:p w14:paraId="17C3D908" w14:textId="7245443F" w:rsidR="00E77D46" w:rsidRPr="00BD729A" w:rsidRDefault="00E03C71" w:rsidP="005D4AD5">
            <w:pPr>
              <w:pStyle w:val="BodyTextIndent"/>
              <w:spacing w:before="80" w:after="100"/>
              <w:ind w:left="1985" w:hanging="1985"/>
              <w:rPr>
                <w:b/>
                <w:bCs w:val="0"/>
                <w:color w:val="004259"/>
              </w:rPr>
            </w:pPr>
            <w:r w:rsidRPr="00E03C71">
              <w:t>ISO 3310-1</w:t>
            </w:r>
            <w:r w:rsidRPr="00E03C71">
              <w:tab/>
              <w:t xml:space="preserve">Test sieves </w:t>
            </w:r>
            <w:r w:rsidR="00BB1C7B">
              <w:t>–</w:t>
            </w:r>
            <w:r w:rsidRPr="00E03C71">
              <w:t xml:space="preserve"> Technical requirements and testing Part 1: Test sieves of metal wire cloth</w:t>
            </w:r>
          </w:p>
        </w:tc>
      </w:tr>
      <w:tr w:rsidR="008172E2" w:rsidRPr="00BD729A" w14:paraId="41F0080B" w14:textId="77777777" w:rsidTr="00102A73">
        <w:tc>
          <w:tcPr>
            <w:tcW w:w="8481" w:type="dxa"/>
          </w:tcPr>
          <w:p w14:paraId="52CA0223" w14:textId="77777777" w:rsidR="008172E2" w:rsidRPr="00BD729A" w:rsidRDefault="008172E2" w:rsidP="00102A73">
            <w:pPr>
              <w:pStyle w:val="BodyTextIndent"/>
              <w:spacing w:before="80" w:after="100"/>
              <w:ind w:left="2977" w:hanging="2977"/>
              <w:rPr>
                <w:b/>
                <w:bCs w:val="0"/>
                <w:color w:val="004259"/>
              </w:rPr>
            </w:pPr>
            <w:r w:rsidRPr="00BD729A">
              <w:rPr>
                <w:b/>
                <w:bCs w:val="0"/>
                <w:color w:val="004259"/>
              </w:rPr>
              <w:t>Australian Technical Infrastructure Committee</w:t>
            </w:r>
          </w:p>
          <w:p w14:paraId="2AC0CFC8" w14:textId="6B2997E5" w:rsidR="008172E2" w:rsidRPr="00BD729A" w:rsidRDefault="0047405A" w:rsidP="005D4AD5">
            <w:pPr>
              <w:pStyle w:val="BodyTextIndent"/>
              <w:spacing w:before="80" w:after="100"/>
              <w:ind w:left="1985" w:hanging="1985"/>
              <w:rPr>
                <w:b/>
                <w:bCs w:val="0"/>
                <w:color w:val="004259"/>
              </w:rPr>
            </w:pPr>
            <w:r w:rsidRPr="0047405A">
              <w:t>ATIC SP43</w:t>
            </w:r>
            <w:r w:rsidRPr="0047405A">
              <w:tab/>
              <w:t>Section SP43 Cementitious Materials for Concrete</w:t>
            </w:r>
          </w:p>
        </w:tc>
      </w:tr>
      <w:tr w:rsidR="008172E2" w:rsidRPr="00BD729A" w14:paraId="0FF835FA" w14:textId="77777777" w:rsidTr="00102A73">
        <w:tc>
          <w:tcPr>
            <w:tcW w:w="8481" w:type="dxa"/>
          </w:tcPr>
          <w:p w14:paraId="3071666A" w14:textId="55BD1701" w:rsidR="008172E2" w:rsidRPr="00BD729A" w:rsidRDefault="0047405A" w:rsidP="00102A73">
            <w:pPr>
              <w:pStyle w:val="BodyTextIndent"/>
              <w:spacing w:before="80" w:after="100"/>
              <w:ind w:left="2977" w:hanging="2977"/>
              <w:rPr>
                <w:b/>
                <w:bCs w:val="0"/>
                <w:color w:val="004259"/>
              </w:rPr>
            </w:pPr>
            <w:r>
              <w:rPr>
                <w:b/>
                <w:bCs w:val="0"/>
                <w:color w:val="004259"/>
              </w:rPr>
              <w:t>T</w:t>
            </w:r>
            <w:r w:rsidR="001859E1">
              <w:rPr>
                <w:b/>
                <w:bCs w:val="0"/>
                <w:color w:val="004259"/>
              </w:rPr>
              <w:t>ransport for New South Wales</w:t>
            </w:r>
          </w:p>
          <w:p w14:paraId="37FDD77F" w14:textId="5B607A09" w:rsidR="00A9563C" w:rsidRDefault="00A9563C" w:rsidP="005D4AD5">
            <w:pPr>
              <w:pStyle w:val="BodyTextIndent"/>
              <w:spacing w:before="80" w:after="100"/>
              <w:ind w:left="1985" w:hanging="1985"/>
            </w:pPr>
            <w:proofErr w:type="spellStart"/>
            <w:r>
              <w:t>TfNSW</w:t>
            </w:r>
            <w:proofErr w:type="spellEnd"/>
            <w:r>
              <w:t xml:space="preserve"> T130</w:t>
            </w:r>
            <w:r w:rsidR="00933AC7">
              <w:tab/>
            </w:r>
            <w:r>
              <w:t>Dry Density – Moisture Relations for Mixtures of Road Materials Stabilised or</w:t>
            </w:r>
            <w:r w:rsidR="00933AC7">
              <w:t xml:space="preserve"> </w:t>
            </w:r>
            <w:r>
              <w:t>Modified with Proportions of Cement, Lime or other Cementitious Materials</w:t>
            </w:r>
            <w:r w:rsidR="00C27FD0">
              <w:t xml:space="preserve"> (</w:t>
            </w:r>
            <w:r w:rsidR="00C27FD0" w:rsidRPr="00C27FD0">
              <w:t>TS 02796.01</w:t>
            </w:r>
            <w:r w:rsidR="00C27FD0">
              <w:t>)</w:t>
            </w:r>
          </w:p>
          <w:p w14:paraId="2040E7EC" w14:textId="15A92D05" w:rsidR="00A9563C" w:rsidRDefault="00A9563C" w:rsidP="005D4AD5">
            <w:pPr>
              <w:pStyle w:val="BodyTextIndent"/>
              <w:spacing w:before="80" w:after="100"/>
              <w:ind w:left="1985" w:hanging="1985"/>
            </w:pPr>
            <w:proofErr w:type="spellStart"/>
            <w:r>
              <w:t>TfNSW</w:t>
            </w:r>
            <w:proofErr w:type="spellEnd"/>
            <w:r>
              <w:t xml:space="preserve"> T215</w:t>
            </w:r>
            <w:r w:rsidR="00933AC7">
              <w:tab/>
            </w:r>
            <w:r>
              <w:t>Wet/Dry Strength Variation</w:t>
            </w:r>
            <w:r w:rsidR="0097277E">
              <w:t xml:space="preserve"> (</w:t>
            </w:r>
            <w:r w:rsidR="0097277E" w:rsidRPr="0097277E">
              <w:t>TS 02799.13</w:t>
            </w:r>
            <w:r w:rsidR="0097277E">
              <w:t>)</w:t>
            </w:r>
          </w:p>
          <w:p w14:paraId="750E18D4" w14:textId="1F3683D6" w:rsidR="00A9563C" w:rsidRDefault="00A9563C" w:rsidP="005D4AD5">
            <w:pPr>
              <w:pStyle w:val="BodyTextIndent"/>
              <w:spacing w:before="80" w:after="100"/>
              <w:ind w:left="1985" w:hanging="1985"/>
            </w:pPr>
            <w:proofErr w:type="spellStart"/>
            <w:r>
              <w:t>TfNSW</w:t>
            </w:r>
            <w:proofErr w:type="spellEnd"/>
            <w:r>
              <w:t xml:space="preserve"> T321</w:t>
            </w:r>
            <w:r w:rsidR="00933AC7">
              <w:tab/>
            </w:r>
            <w:r>
              <w:t>Drying Shrinkage of 100 x 100 x 280mm Concrete Prisms</w:t>
            </w:r>
            <w:r w:rsidR="00A14096">
              <w:t xml:space="preserve"> (</w:t>
            </w:r>
            <w:r w:rsidR="00A14096" w:rsidRPr="00A14096">
              <w:t>TS 02800.21</w:t>
            </w:r>
            <w:r w:rsidR="00A14096">
              <w:t>)</w:t>
            </w:r>
          </w:p>
          <w:p w14:paraId="20FF5B83" w14:textId="096C770C" w:rsidR="0056542F" w:rsidRDefault="0056542F" w:rsidP="005D4AD5">
            <w:pPr>
              <w:pStyle w:val="BodyTextIndent"/>
              <w:spacing w:before="80" w:after="100"/>
              <w:ind w:left="1985" w:hanging="1985"/>
            </w:pPr>
            <w:proofErr w:type="spellStart"/>
            <w:r>
              <w:t>TfNSW</w:t>
            </w:r>
            <w:proofErr w:type="spellEnd"/>
            <w:r>
              <w:t xml:space="preserve"> T1004</w:t>
            </w:r>
            <w:r>
              <w:tab/>
              <w:t>Quantitative Determination of Chloride Ion in Water where Chromate Content is more than 10 ppm</w:t>
            </w:r>
          </w:p>
          <w:p w14:paraId="20DF662F" w14:textId="7F667226" w:rsidR="0056542F" w:rsidRDefault="0056542F" w:rsidP="005D4AD5">
            <w:pPr>
              <w:pStyle w:val="BodyTextIndent"/>
              <w:spacing w:before="80" w:after="100"/>
              <w:ind w:left="1985" w:hanging="1985"/>
            </w:pPr>
            <w:proofErr w:type="spellStart"/>
            <w:r>
              <w:t>TfNSW</w:t>
            </w:r>
            <w:proofErr w:type="spellEnd"/>
            <w:r>
              <w:t xml:space="preserve"> T1014</w:t>
            </w:r>
            <w:r>
              <w:tab/>
              <w:t>Sulphate Ion in Water</w:t>
            </w:r>
          </w:p>
          <w:p w14:paraId="0972B0E0" w14:textId="62D1EE63" w:rsidR="008172E2" w:rsidRPr="00BD729A" w:rsidRDefault="008172E2" w:rsidP="00933AC7">
            <w:pPr>
              <w:pStyle w:val="BodyTextIndent"/>
              <w:spacing w:before="80" w:after="100"/>
              <w:ind w:left="1667" w:hanging="1659"/>
              <w:rPr>
                <w:b/>
                <w:bCs w:val="0"/>
                <w:color w:val="004259"/>
              </w:rPr>
            </w:pPr>
          </w:p>
        </w:tc>
      </w:tr>
    </w:tbl>
    <w:p w14:paraId="11734F2A" w14:textId="77777777" w:rsidR="009F08ED" w:rsidRPr="003E31BA" w:rsidRDefault="009F08ED" w:rsidP="003E31BA">
      <w:pPr>
        <w:pStyle w:val="Heading1"/>
        <w:rPr>
          <w:rFonts w:eastAsiaTheme="majorEastAsia"/>
        </w:rPr>
      </w:pPr>
      <w:bookmarkStart w:id="11" w:name="_Toc183614517"/>
      <w:bookmarkEnd w:id="9"/>
      <w:bookmarkEnd w:id="10"/>
      <w:r w:rsidRPr="003E31BA">
        <w:lastRenderedPageBreak/>
        <w:t>Definitions</w:t>
      </w:r>
      <w:bookmarkEnd w:id="11"/>
    </w:p>
    <w:p w14:paraId="6BB8B554" w14:textId="56F2394B" w:rsidR="008172E2" w:rsidRPr="00DE33D3" w:rsidRDefault="005B60BF" w:rsidP="00B01A77">
      <w:pPr>
        <w:pStyle w:val="Bodynumbered1"/>
      </w:pPr>
      <w:bookmarkStart w:id="12" w:name="1.3.1_Definitions_–_Personnel"/>
      <w:bookmarkStart w:id="13" w:name="1.4_Work_Health_&amp;_Safety_(WHS)"/>
      <w:bookmarkStart w:id="14" w:name="1.6.3_Principal_Supplied_Components"/>
      <w:bookmarkStart w:id="15" w:name="4_Design,_Specification,_Documentation_a"/>
      <w:bookmarkEnd w:id="12"/>
      <w:bookmarkEnd w:id="13"/>
      <w:bookmarkEnd w:id="14"/>
      <w:bookmarkEnd w:id="15"/>
      <w:r>
        <w:t>T</w:t>
      </w:r>
      <w:r w:rsidR="008172E2" w:rsidRPr="00DE33D3">
        <w:t>he following definitions app</w:t>
      </w:r>
      <w:r w:rsidR="008172E2">
        <w:t>ly</w:t>
      </w:r>
      <w:r w:rsidR="008172E2" w:rsidRPr="00DE33D3">
        <w:t xml:space="preserve"> to this Specification.</w:t>
      </w:r>
    </w:p>
    <w:tbl>
      <w:tblPr>
        <w:tblStyle w:val="TableGrid"/>
        <w:tblW w:w="4698" w:type="pct"/>
        <w:tblInd w:w="5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7"/>
        <w:gridCol w:w="6089"/>
      </w:tblGrid>
      <w:tr w:rsidR="00555A27" w:rsidRPr="00DE33D3" w14:paraId="4B476205" w14:textId="77777777" w:rsidTr="00A3558D">
        <w:tc>
          <w:tcPr>
            <w:tcW w:w="1589" w:type="pct"/>
          </w:tcPr>
          <w:p w14:paraId="76C0EA08" w14:textId="211FB3B8" w:rsidR="00555A27" w:rsidRPr="00A3558D" w:rsidRDefault="00FF04A9" w:rsidP="00A3558D">
            <w:pPr>
              <w:pStyle w:val="TableBodyText"/>
              <w:rPr>
                <w:b/>
                <w:bCs w:val="0"/>
              </w:rPr>
            </w:pPr>
            <w:r w:rsidRPr="00A3558D">
              <w:rPr>
                <w:rFonts w:eastAsia="SimSun"/>
                <w:b/>
                <w:bCs w:val="0"/>
              </w:rPr>
              <w:t>Binder</w:t>
            </w:r>
          </w:p>
        </w:tc>
        <w:tc>
          <w:tcPr>
            <w:tcW w:w="3411" w:type="pct"/>
          </w:tcPr>
          <w:p w14:paraId="61DF36D5" w14:textId="5CBF328B" w:rsidR="00555A27" w:rsidRPr="00DE33D3" w:rsidRDefault="00FF04A9" w:rsidP="00A3558D">
            <w:pPr>
              <w:pStyle w:val="TableBodyText"/>
            </w:pPr>
            <w:r w:rsidRPr="00FF04A9">
              <w:t>A combination of cement and fly ash.</w:t>
            </w:r>
          </w:p>
        </w:tc>
      </w:tr>
      <w:tr w:rsidR="00555A27" w:rsidRPr="00DE33D3" w14:paraId="2143C57E" w14:textId="77777777" w:rsidTr="00A3558D">
        <w:tc>
          <w:tcPr>
            <w:tcW w:w="1589" w:type="pct"/>
          </w:tcPr>
          <w:p w14:paraId="64A56688" w14:textId="583E61B3" w:rsidR="00555A27" w:rsidRPr="00A3558D" w:rsidRDefault="00FF04A9" w:rsidP="00A3558D">
            <w:pPr>
              <w:pStyle w:val="TableBodyText"/>
              <w:rPr>
                <w:b/>
                <w:bCs w:val="0"/>
              </w:rPr>
            </w:pPr>
            <w:r w:rsidRPr="00A3558D">
              <w:rPr>
                <w:rFonts w:eastAsia="SimSun"/>
                <w:b/>
                <w:bCs w:val="0"/>
              </w:rPr>
              <w:t>Coarse aggregate</w:t>
            </w:r>
          </w:p>
        </w:tc>
        <w:tc>
          <w:tcPr>
            <w:tcW w:w="3411" w:type="pct"/>
          </w:tcPr>
          <w:p w14:paraId="385B4A72" w14:textId="7326CBAA" w:rsidR="00555A27" w:rsidRPr="00DE33D3" w:rsidRDefault="00FF04A9" w:rsidP="00A3558D">
            <w:pPr>
              <w:pStyle w:val="TableBodyText"/>
            </w:pPr>
            <w:r w:rsidRPr="00397352">
              <w:rPr>
                <w:rFonts w:eastAsia="SimSun"/>
              </w:rPr>
              <w:t>That portion of a mineral aggregate retained on a 4.75 mm AS sieve.</w:t>
            </w:r>
          </w:p>
        </w:tc>
      </w:tr>
      <w:tr w:rsidR="00555A27" w:rsidRPr="00DE33D3" w14:paraId="5F48CCFF" w14:textId="77777777" w:rsidTr="00A3558D">
        <w:tc>
          <w:tcPr>
            <w:tcW w:w="1589" w:type="pct"/>
          </w:tcPr>
          <w:p w14:paraId="486C9AA0" w14:textId="63CFEC4E" w:rsidR="00555A27" w:rsidRPr="00A3558D" w:rsidRDefault="00FF04A9" w:rsidP="00A3558D">
            <w:pPr>
              <w:pStyle w:val="TableBodyText"/>
              <w:rPr>
                <w:b/>
                <w:bCs w:val="0"/>
              </w:rPr>
            </w:pPr>
            <w:proofErr w:type="spellStart"/>
            <w:r w:rsidRPr="00A3558D">
              <w:rPr>
                <w:rFonts w:eastAsia="SimSun"/>
                <w:b/>
                <w:bCs w:val="0"/>
              </w:rPr>
              <w:t>Compactibility</w:t>
            </w:r>
            <w:proofErr w:type="spellEnd"/>
            <w:r w:rsidRPr="00A3558D">
              <w:rPr>
                <w:rFonts w:eastAsia="SimSun"/>
                <w:b/>
                <w:bCs w:val="0"/>
              </w:rPr>
              <w:t xml:space="preserve"> Index</w:t>
            </w:r>
          </w:p>
        </w:tc>
        <w:tc>
          <w:tcPr>
            <w:tcW w:w="3411" w:type="pct"/>
          </w:tcPr>
          <w:p w14:paraId="0974C225" w14:textId="053101BD" w:rsidR="00555A27" w:rsidRPr="00DE33D3" w:rsidRDefault="00FF04A9" w:rsidP="00A3558D">
            <w:pPr>
              <w:pStyle w:val="TableBodyText"/>
            </w:pPr>
            <w:r w:rsidRPr="00397352">
              <w:rPr>
                <w:rFonts w:eastAsia="SimSun"/>
              </w:rPr>
              <w:t xml:space="preserve">A measure of the workability of </w:t>
            </w:r>
            <w:r w:rsidR="00A531AE">
              <w:rPr>
                <w:rFonts w:eastAsia="SimSun"/>
              </w:rPr>
              <w:t>R</w:t>
            </w:r>
            <w:r w:rsidRPr="00397352">
              <w:rPr>
                <w:rFonts w:eastAsia="SimSun"/>
              </w:rPr>
              <w:t xml:space="preserve">oller </w:t>
            </w:r>
            <w:r w:rsidR="00A531AE">
              <w:rPr>
                <w:rFonts w:eastAsia="SimSun"/>
              </w:rPr>
              <w:t>C</w:t>
            </w:r>
            <w:r w:rsidRPr="00397352">
              <w:rPr>
                <w:rFonts w:eastAsia="SimSun"/>
              </w:rPr>
              <w:t xml:space="preserve">ompacted </w:t>
            </w:r>
            <w:r w:rsidR="00A531AE">
              <w:rPr>
                <w:rFonts w:eastAsia="SimSun"/>
              </w:rPr>
              <w:t>C</w:t>
            </w:r>
            <w:r w:rsidRPr="00397352">
              <w:rPr>
                <w:rFonts w:eastAsia="SimSun"/>
              </w:rPr>
              <w:t>oncrete</w:t>
            </w:r>
            <w:r w:rsidR="00A531AE">
              <w:rPr>
                <w:rFonts w:eastAsia="SimSun"/>
              </w:rPr>
              <w:t>.</w:t>
            </w:r>
          </w:p>
        </w:tc>
      </w:tr>
      <w:tr w:rsidR="00555A27" w:rsidRPr="00DE33D3" w14:paraId="2E7548F7" w14:textId="77777777" w:rsidTr="00A3558D">
        <w:tc>
          <w:tcPr>
            <w:tcW w:w="1589" w:type="pct"/>
          </w:tcPr>
          <w:p w14:paraId="496D147A" w14:textId="6FFE1DF0" w:rsidR="00555A27" w:rsidRPr="00A3558D" w:rsidRDefault="00FF04A9" w:rsidP="00A3558D">
            <w:pPr>
              <w:pStyle w:val="TableBodyText"/>
              <w:rPr>
                <w:b/>
                <w:bCs w:val="0"/>
              </w:rPr>
            </w:pPr>
            <w:r w:rsidRPr="00A3558D">
              <w:rPr>
                <w:rFonts w:eastAsia="SimSun"/>
                <w:b/>
                <w:bCs w:val="0"/>
              </w:rPr>
              <w:t>Fine aggregate</w:t>
            </w:r>
          </w:p>
        </w:tc>
        <w:tc>
          <w:tcPr>
            <w:tcW w:w="3411" w:type="pct"/>
          </w:tcPr>
          <w:p w14:paraId="78B7639C" w14:textId="42E7CA40" w:rsidR="00555A27" w:rsidRPr="00DE33D3" w:rsidRDefault="00FF04A9" w:rsidP="00A3558D">
            <w:pPr>
              <w:pStyle w:val="TableBodyText"/>
            </w:pPr>
            <w:r w:rsidRPr="00397352">
              <w:rPr>
                <w:rFonts w:eastAsia="SimSun"/>
              </w:rPr>
              <w:t>That portion of a mineral aggregate passing a 4.75 mm AS sieve.</w:t>
            </w:r>
          </w:p>
        </w:tc>
      </w:tr>
      <w:tr w:rsidR="00555A27" w:rsidRPr="00DE33D3" w14:paraId="7E4BF391" w14:textId="77777777" w:rsidTr="00A3558D">
        <w:tc>
          <w:tcPr>
            <w:tcW w:w="1589" w:type="pct"/>
          </w:tcPr>
          <w:p w14:paraId="4D68E703" w14:textId="02CF766E" w:rsidR="00555A27" w:rsidRPr="00A3558D" w:rsidRDefault="00FF04A9" w:rsidP="00A3558D">
            <w:pPr>
              <w:pStyle w:val="TableBodyText"/>
              <w:rPr>
                <w:b/>
                <w:bCs w:val="0"/>
              </w:rPr>
            </w:pPr>
            <w:r w:rsidRPr="00A3558D">
              <w:rPr>
                <w:rFonts w:eastAsia="SimSun"/>
                <w:b/>
                <w:bCs w:val="0"/>
              </w:rPr>
              <w:t>Nominated mix</w:t>
            </w:r>
          </w:p>
        </w:tc>
        <w:tc>
          <w:tcPr>
            <w:tcW w:w="3411" w:type="pct"/>
          </w:tcPr>
          <w:p w14:paraId="4C734C89" w14:textId="7BC47B73" w:rsidR="00555A27" w:rsidRPr="00DE33D3" w:rsidRDefault="00FF04A9" w:rsidP="00A3558D">
            <w:pPr>
              <w:pStyle w:val="TableBodyText"/>
            </w:pPr>
            <w:r w:rsidRPr="00397352">
              <w:rPr>
                <w:rFonts w:eastAsia="SimSun"/>
              </w:rPr>
              <w:t>A laboratory trial mix designated by a supplier to meet the specified requirements.</w:t>
            </w:r>
          </w:p>
        </w:tc>
      </w:tr>
      <w:tr w:rsidR="00555A27" w:rsidRPr="00DE33D3" w14:paraId="71CDA226" w14:textId="77777777" w:rsidTr="00A3558D">
        <w:tc>
          <w:tcPr>
            <w:tcW w:w="1589" w:type="pct"/>
          </w:tcPr>
          <w:p w14:paraId="71F267AA" w14:textId="6BFEFF59" w:rsidR="00555A27" w:rsidRPr="00A3558D" w:rsidRDefault="00FF04A9" w:rsidP="00A3558D">
            <w:pPr>
              <w:pStyle w:val="TableBodyText"/>
              <w:rPr>
                <w:b/>
                <w:bCs w:val="0"/>
              </w:rPr>
            </w:pPr>
            <w:r w:rsidRPr="00A3558D">
              <w:rPr>
                <w:rFonts w:eastAsia="SimSun"/>
                <w:b/>
                <w:bCs w:val="0"/>
              </w:rPr>
              <w:t>Production mix</w:t>
            </w:r>
          </w:p>
        </w:tc>
        <w:tc>
          <w:tcPr>
            <w:tcW w:w="3411" w:type="pct"/>
          </w:tcPr>
          <w:p w14:paraId="7B7FD2F9" w14:textId="2BE63F62" w:rsidR="00555A27" w:rsidRPr="00DE33D3" w:rsidRDefault="00FF04A9" w:rsidP="00A3558D">
            <w:pPr>
              <w:pStyle w:val="TableBodyText"/>
            </w:pPr>
            <w:r w:rsidRPr="00397352">
              <w:rPr>
                <w:rFonts w:eastAsia="SimSun"/>
              </w:rPr>
              <w:t>A mix produced by a supplier using a stationary mixing plant to meet the specified requirements.</w:t>
            </w:r>
          </w:p>
        </w:tc>
      </w:tr>
      <w:tr w:rsidR="00555A27" w:rsidRPr="00DE33D3" w14:paraId="6A939F9F" w14:textId="77777777" w:rsidTr="00A3558D">
        <w:tc>
          <w:tcPr>
            <w:tcW w:w="1589" w:type="pct"/>
          </w:tcPr>
          <w:p w14:paraId="7A6F3C9E" w14:textId="3096EBAD" w:rsidR="00555A27" w:rsidRPr="00A3558D" w:rsidRDefault="00FF04A9" w:rsidP="00A3558D">
            <w:pPr>
              <w:pStyle w:val="TableBodyText"/>
              <w:rPr>
                <w:b/>
                <w:bCs w:val="0"/>
              </w:rPr>
            </w:pPr>
            <w:bookmarkStart w:id="16" w:name="_Hlk76041768"/>
            <w:r w:rsidRPr="00A3558D">
              <w:rPr>
                <w:rFonts w:eastAsia="SimSun"/>
                <w:b/>
                <w:bCs w:val="0"/>
              </w:rPr>
              <w:t>Roller Compacted Concrete</w:t>
            </w:r>
            <w:bookmarkEnd w:id="16"/>
          </w:p>
        </w:tc>
        <w:tc>
          <w:tcPr>
            <w:tcW w:w="3411" w:type="pct"/>
          </w:tcPr>
          <w:p w14:paraId="18756440" w14:textId="24B304A3" w:rsidR="00555A27" w:rsidRPr="00DE33D3" w:rsidRDefault="00FF04A9" w:rsidP="00A3558D">
            <w:pPr>
              <w:pStyle w:val="TableBodyText"/>
            </w:pPr>
            <w:r w:rsidRPr="00397352">
              <w:rPr>
                <w:rFonts w:eastAsia="SimSun"/>
              </w:rPr>
              <w:t>A relatively dry concrete mix with very low slump and compacted using smooth drum rollers.</w:t>
            </w:r>
          </w:p>
        </w:tc>
      </w:tr>
      <w:tr w:rsidR="00555A27" w:rsidRPr="00DE33D3" w14:paraId="68AD2F37" w14:textId="77777777" w:rsidTr="00A3558D">
        <w:trPr>
          <w:trHeight w:val="67"/>
        </w:trPr>
        <w:tc>
          <w:tcPr>
            <w:tcW w:w="1589" w:type="pct"/>
          </w:tcPr>
          <w:p w14:paraId="4D28242C" w14:textId="28DC1D72" w:rsidR="00555A27" w:rsidRPr="00A3558D" w:rsidRDefault="00FF04A9" w:rsidP="00A3558D">
            <w:pPr>
              <w:pStyle w:val="TableBodyText"/>
              <w:rPr>
                <w:b/>
                <w:bCs w:val="0"/>
              </w:rPr>
            </w:pPr>
            <w:r w:rsidRPr="00A3558D">
              <w:rPr>
                <w:rFonts w:eastAsia="SimSun"/>
                <w:b/>
                <w:bCs w:val="0"/>
              </w:rPr>
              <w:t>Supplier</w:t>
            </w:r>
          </w:p>
        </w:tc>
        <w:tc>
          <w:tcPr>
            <w:tcW w:w="3411" w:type="pct"/>
          </w:tcPr>
          <w:p w14:paraId="18009051" w14:textId="6E6F357D" w:rsidR="00555A27" w:rsidRPr="00DE33D3" w:rsidRDefault="00FF04A9" w:rsidP="00A3558D">
            <w:pPr>
              <w:pStyle w:val="TableBodyText"/>
            </w:pPr>
            <w:r>
              <w:rPr>
                <w:rFonts w:eastAsia="SimSun"/>
              </w:rPr>
              <w:t xml:space="preserve">The company </w:t>
            </w:r>
            <w:r w:rsidR="00DD2A6F">
              <w:rPr>
                <w:rFonts w:eastAsia="SimSun"/>
              </w:rPr>
              <w:t xml:space="preserve">that </w:t>
            </w:r>
            <w:r>
              <w:rPr>
                <w:rFonts w:eastAsia="SimSun"/>
              </w:rPr>
              <w:t>produc</w:t>
            </w:r>
            <w:r w:rsidR="00DD2A6F">
              <w:rPr>
                <w:rFonts w:eastAsia="SimSun"/>
              </w:rPr>
              <w:t>es</w:t>
            </w:r>
            <w:r>
              <w:rPr>
                <w:rFonts w:eastAsia="SimSun"/>
              </w:rPr>
              <w:t xml:space="preserve"> the</w:t>
            </w:r>
            <w:bookmarkStart w:id="17" w:name="_Hlk167278948"/>
            <w:r>
              <w:rPr>
                <w:rFonts w:eastAsia="SimSun"/>
              </w:rPr>
              <w:t xml:space="preserve"> </w:t>
            </w:r>
            <w:r w:rsidRPr="00D3605F">
              <w:rPr>
                <w:rFonts w:eastAsia="SimSun"/>
              </w:rPr>
              <w:t>Roller Compacted Concrete</w:t>
            </w:r>
            <w:bookmarkEnd w:id="17"/>
            <w:r>
              <w:rPr>
                <w:rFonts w:eastAsia="SimSun"/>
              </w:rPr>
              <w:t>.</w:t>
            </w:r>
          </w:p>
        </w:tc>
      </w:tr>
    </w:tbl>
    <w:p w14:paraId="3448475A" w14:textId="77777777" w:rsidR="008172E2" w:rsidRPr="003E31BA" w:rsidRDefault="008172E2" w:rsidP="008172E2">
      <w:pPr>
        <w:pStyle w:val="Heading1"/>
      </w:pPr>
      <w:bookmarkStart w:id="18" w:name="_Toc183614518"/>
      <w:bookmarkStart w:id="19" w:name="_Ref9599800"/>
      <w:bookmarkEnd w:id="5"/>
      <w:bookmarkEnd w:id="6"/>
      <w:bookmarkEnd w:id="7"/>
      <w:r w:rsidRPr="003E31BA">
        <w:t>Quality System Requirements</w:t>
      </w:r>
      <w:bookmarkEnd w:id="18"/>
    </w:p>
    <w:p w14:paraId="37351991" w14:textId="43E50928" w:rsidR="00ED5DE1" w:rsidRPr="001E5FEE" w:rsidRDefault="00ED5DE1" w:rsidP="00ED5DE1">
      <w:pPr>
        <w:pStyle w:val="Bodynumbered1"/>
      </w:pPr>
      <w:bookmarkStart w:id="20" w:name="_Ref167279780"/>
      <w:bookmarkStart w:id="21" w:name="_Ref167280275"/>
      <w:r w:rsidRPr="001E5FEE">
        <w:t xml:space="preserve">The </w:t>
      </w:r>
      <w:r w:rsidR="00B12ACB">
        <w:t xml:space="preserve">Supplier </w:t>
      </w:r>
      <w:r w:rsidRPr="001E5FEE">
        <w:t>must prepare and implement a Quality Plan that includes the documentation in Table</w:t>
      </w:r>
      <w:r>
        <w:t> </w:t>
      </w:r>
      <w:r w:rsidR="00AD0E1A">
        <w:fldChar w:fldCharType="begin"/>
      </w:r>
      <w:r w:rsidR="00AD0E1A">
        <w:instrText xml:space="preserve"> REF _Ref167279780 \r \h </w:instrText>
      </w:r>
      <w:r w:rsidR="00AD0E1A">
        <w:fldChar w:fldCharType="separate"/>
      </w:r>
      <w:r w:rsidR="006544BA">
        <w:t>4.1</w:t>
      </w:r>
      <w:r w:rsidR="00AD0E1A">
        <w:fldChar w:fldCharType="end"/>
      </w:r>
      <w:bookmarkEnd w:id="20"/>
      <w:r w:rsidR="00AD0E1A">
        <w:t>.</w:t>
      </w:r>
      <w:bookmarkEnd w:id="21"/>
    </w:p>
    <w:p w14:paraId="0B22A998" w14:textId="441C58CC" w:rsidR="00ED5DE1" w:rsidRPr="00AD0E1A" w:rsidRDefault="00ED5DE1" w:rsidP="00601192">
      <w:pPr>
        <w:pStyle w:val="Caption"/>
        <w:rPr>
          <w:lang w:val="en-US" w:bidi="en-US"/>
        </w:rPr>
      </w:pPr>
      <w:r w:rsidRPr="00AD0E1A">
        <w:rPr>
          <w:lang w:val="en-US" w:bidi="en-US"/>
        </w:rPr>
        <w:t xml:space="preserve">Table </w:t>
      </w:r>
      <w:r w:rsidR="00AD0E1A" w:rsidRPr="00AD0E1A">
        <w:rPr>
          <w:lang w:val="en-US" w:bidi="en-US"/>
        </w:rPr>
        <w:fldChar w:fldCharType="begin"/>
      </w:r>
      <w:r w:rsidR="00AD0E1A" w:rsidRPr="00AD0E1A">
        <w:rPr>
          <w:lang w:val="en-US" w:bidi="en-US"/>
        </w:rPr>
        <w:instrText xml:space="preserve"> REF _Ref167279780 \r \h </w:instrText>
      </w:r>
      <w:r w:rsidR="00AD0E1A">
        <w:rPr>
          <w:lang w:val="en-US" w:bidi="en-US"/>
        </w:rPr>
        <w:instrText xml:space="preserve"> \* MERGEFORMAT </w:instrText>
      </w:r>
      <w:r w:rsidR="00AD0E1A" w:rsidRPr="00AD0E1A">
        <w:rPr>
          <w:lang w:val="en-US" w:bidi="en-US"/>
        </w:rPr>
      </w:r>
      <w:r w:rsidR="00AD0E1A" w:rsidRPr="00AD0E1A">
        <w:rPr>
          <w:lang w:val="en-US" w:bidi="en-US"/>
        </w:rPr>
        <w:fldChar w:fldCharType="separate"/>
      </w:r>
      <w:r w:rsidR="006544BA">
        <w:rPr>
          <w:lang w:val="en-US" w:bidi="en-US"/>
        </w:rPr>
        <w:t>4.1</w:t>
      </w:r>
      <w:r w:rsidR="00AD0E1A" w:rsidRPr="00AD0E1A">
        <w:rPr>
          <w:lang w:val="en-US" w:bidi="en-US"/>
        </w:rPr>
        <w:fldChar w:fldCharType="end"/>
      </w:r>
      <w:r w:rsidR="00326423">
        <w:rPr>
          <w:lang w:val="en-US" w:bidi="en-US"/>
        </w:rPr>
        <w:t>:</w:t>
      </w:r>
      <w:r w:rsidR="00326423">
        <w:rPr>
          <w:lang w:val="en-US" w:bidi="en-US"/>
        </w:rPr>
        <w:tab/>
      </w:r>
      <w:r w:rsidRPr="00AD0E1A">
        <w:rPr>
          <w:lang w:val="en-US" w:bidi="en-US"/>
        </w:rPr>
        <w:t>Quality Plan</w:t>
      </w:r>
    </w:p>
    <w:tbl>
      <w:tblPr>
        <w:tblW w:w="4699" w:type="pct"/>
        <w:tblInd w:w="567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A6A6A6" w:themeFill="background1" w:themeFillShade="A6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22"/>
        <w:gridCol w:w="7800"/>
      </w:tblGrid>
      <w:tr w:rsidR="00ED5DE1" w:rsidRPr="001E5FEE" w14:paraId="0D61FB62" w14:textId="77777777" w:rsidTr="00A3558D">
        <w:trPr>
          <w:tblHeader/>
        </w:trPr>
        <w:tc>
          <w:tcPr>
            <w:tcW w:w="629" w:type="pct"/>
            <w:shd w:val="clear" w:color="auto" w:fill="A6A6A6" w:themeFill="background1" w:themeFillShade="A6"/>
          </w:tcPr>
          <w:p w14:paraId="4BD0DE7F" w14:textId="77777777" w:rsidR="00ED5DE1" w:rsidRPr="00A3558D" w:rsidRDefault="00ED5DE1" w:rsidP="003C66B1">
            <w:pPr>
              <w:pStyle w:val="TableHeading"/>
              <w:rPr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>Clause</w:t>
            </w:r>
          </w:p>
        </w:tc>
        <w:tc>
          <w:tcPr>
            <w:tcW w:w="4371" w:type="pct"/>
            <w:shd w:val="clear" w:color="auto" w:fill="A6A6A6" w:themeFill="background1" w:themeFillShade="A6"/>
          </w:tcPr>
          <w:p w14:paraId="26F48368" w14:textId="77777777" w:rsidR="00ED5DE1" w:rsidRPr="00A3558D" w:rsidRDefault="00ED5DE1" w:rsidP="003C66B1">
            <w:pPr>
              <w:pStyle w:val="TableHeading"/>
              <w:rPr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>Description of document</w:t>
            </w:r>
          </w:p>
        </w:tc>
      </w:tr>
      <w:tr w:rsidR="005F4478" w:rsidRPr="001E5FEE" w14:paraId="2C1D660A" w14:textId="77777777" w:rsidTr="00A3558D">
        <w:tc>
          <w:tcPr>
            <w:tcW w:w="629" w:type="pct"/>
            <w:shd w:val="clear" w:color="auto" w:fill="D9D9D9" w:themeFill="background1" w:themeFillShade="D9"/>
          </w:tcPr>
          <w:p w14:paraId="1D824A92" w14:textId="62C4E399" w:rsidR="005F4478" w:rsidRPr="00A3558D" w:rsidRDefault="005F447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fldChar w:fldCharType="begin"/>
            </w:r>
            <w:r w:rsidRPr="00A3558D">
              <w:rPr>
                <w:sz w:val="18"/>
                <w:szCs w:val="18"/>
              </w:rPr>
              <w:instrText xml:space="preserve"> REF _Ref167086190 \r \h </w:instrText>
            </w:r>
            <w:r w:rsidR="00E94CBA" w:rsidRPr="00A3558D">
              <w:rPr>
                <w:sz w:val="18"/>
                <w:szCs w:val="18"/>
              </w:rPr>
              <w:instrText xml:space="preserve"> \* MERGEFORMAT </w:instrText>
            </w:r>
            <w:r w:rsidRPr="00A3558D">
              <w:rPr>
                <w:sz w:val="18"/>
                <w:szCs w:val="18"/>
              </w:rPr>
            </w:r>
            <w:r w:rsidRPr="00A3558D">
              <w:rPr>
                <w:sz w:val="18"/>
                <w:szCs w:val="18"/>
              </w:rPr>
              <w:fldChar w:fldCharType="separate"/>
            </w:r>
            <w:r w:rsidR="006544BA" w:rsidRPr="00A3558D">
              <w:rPr>
                <w:sz w:val="18"/>
                <w:szCs w:val="18"/>
              </w:rPr>
              <w:t>4.2</w:t>
            </w:r>
            <w:r w:rsidRPr="00A3558D">
              <w:rPr>
                <w:sz w:val="18"/>
                <w:szCs w:val="18"/>
              </w:rPr>
              <w:fldChar w:fldCharType="end"/>
            </w:r>
          </w:p>
        </w:tc>
        <w:tc>
          <w:tcPr>
            <w:tcW w:w="4371" w:type="pct"/>
            <w:shd w:val="clear" w:color="auto" w:fill="D9D9D9" w:themeFill="background1" w:themeFillShade="D9"/>
          </w:tcPr>
          <w:p w14:paraId="2A7380B5" w14:textId="3E00E9FF" w:rsidR="005F4478" w:rsidRPr="00A3558D" w:rsidRDefault="003044CA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Evidence of Quality Management System complying with AS/NZS</w:t>
            </w:r>
            <w:r w:rsidR="00B22337">
              <w:rPr>
                <w:sz w:val="18"/>
                <w:szCs w:val="18"/>
              </w:rPr>
              <w:t xml:space="preserve"> </w:t>
            </w:r>
            <w:r w:rsidRPr="00A3558D">
              <w:rPr>
                <w:sz w:val="18"/>
                <w:szCs w:val="18"/>
              </w:rPr>
              <w:t>ISO 9001</w:t>
            </w:r>
            <w:r w:rsidR="008D6462">
              <w:rPr>
                <w:sz w:val="18"/>
                <w:szCs w:val="18"/>
              </w:rPr>
              <w:t>.</w:t>
            </w:r>
          </w:p>
        </w:tc>
      </w:tr>
      <w:tr w:rsidR="007C2276" w:rsidRPr="001E5FEE" w14:paraId="2899964B" w14:textId="77777777" w:rsidTr="00A3558D">
        <w:tc>
          <w:tcPr>
            <w:tcW w:w="629" w:type="pct"/>
            <w:shd w:val="clear" w:color="auto" w:fill="D9D9D9" w:themeFill="background1" w:themeFillShade="D9"/>
          </w:tcPr>
          <w:p w14:paraId="02F5A6D6" w14:textId="0CCD9BA9" w:rsidR="007C2276" w:rsidRPr="00A3558D" w:rsidRDefault="007C2276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fldChar w:fldCharType="begin"/>
            </w:r>
            <w:r w:rsidRPr="00A3558D">
              <w:rPr>
                <w:sz w:val="18"/>
                <w:szCs w:val="18"/>
              </w:rPr>
              <w:instrText xml:space="preserve"> REF _Ref64039644 \r \h  \* MERGEFORMAT </w:instrText>
            </w:r>
            <w:r w:rsidRPr="00A3558D">
              <w:rPr>
                <w:sz w:val="18"/>
                <w:szCs w:val="18"/>
              </w:rPr>
            </w:r>
            <w:r w:rsidRPr="00A3558D">
              <w:rPr>
                <w:sz w:val="18"/>
                <w:szCs w:val="18"/>
              </w:rPr>
              <w:fldChar w:fldCharType="separate"/>
            </w:r>
            <w:r w:rsidR="006544BA" w:rsidRPr="00A3558D">
              <w:rPr>
                <w:sz w:val="18"/>
                <w:szCs w:val="18"/>
              </w:rPr>
              <w:t>5.4</w:t>
            </w:r>
            <w:r w:rsidRPr="00A3558D">
              <w:rPr>
                <w:sz w:val="18"/>
                <w:szCs w:val="18"/>
              </w:rPr>
              <w:fldChar w:fldCharType="end"/>
            </w:r>
            <w:r w:rsidRPr="00A355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71" w:type="pct"/>
            <w:shd w:val="clear" w:color="auto" w:fill="D9D9D9" w:themeFill="background1" w:themeFillShade="D9"/>
          </w:tcPr>
          <w:p w14:paraId="250E171E" w14:textId="7BEC8CD0" w:rsidR="007C2276" w:rsidRPr="00A3558D" w:rsidRDefault="007C2276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Details of how the cement and fly ash supplies will be monitored for compliance.</w:t>
            </w:r>
          </w:p>
        </w:tc>
      </w:tr>
      <w:tr w:rsidR="007C2276" w:rsidRPr="001E5FEE" w14:paraId="64AA4309" w14:textId="77777777" w:rsidTr="00A3558D">
        <w:tc>
          <w:tcPr>
            <w:tcW w:w="629" w:type="pct"/>
            <w:shd w:val="clear" w:color="auto" w:fill="D9D9D9" w:themeFill="background1" w:themeFillShade="D9"/>
          </w:tcPr>
          <w:p w14:paraId="27279529" w14:textId="18B2155A" w:rsidR="007C2276" w:rsidRPr="00A3558D" w:rsidRDefault="00391BEB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fldChar w:fldCharType="begin"/>
            </w:r>
            <w:r w:rsidRPr="00A3558D">
              <w:rPr>
                <w:sz w:val="18"/>
                <w:szCs w:val="18"/>
              </w:rPr>
              <w:instrText xml:space="preserve"> REF _Ref167279016 \r \h </w:instrText>
            </w:r>
            <w:r w:rsidR="00E94CBA" w:rsidRPr="00A3558D">
              <w:rPr>
                <w:sz w:val="18"/>
                <w:szCs w:val="18"/>
              </w:rPr>
              <w:instrText xml:space="preserve"> \* MERGEFORMAT </w:instrText>
            </w:r>
            <w:r w:rsidRPr="00A3558D">
              <w:rPr>
                <w:sz w:val="18"/>
                <w:szCs w:val="18"/>
              </w:rPr>
            </w:r>
            <w:r w:rsidRPr="00A3558D">
              <w:rPr>
                <w:sz w:val="18"/>
                <w:szCs w:val="18"/>
              </w:rPr>
              <w:fldChar w:fldCharType="separate"/>
            </w:r>
            <w:r w:rsidR="006544BA" w:rsidRPr="00A3558D">
              <w:rPr>
                <w:sz w:val="18"/>
                <w:szCs w:val="18"/>
              </w:rPr>
              <w:t>7.1</w:t>
            </w:r>
            <w:r w:rsidRPr="00A3558D">
              <w:rPr>
                <w:sz w:val="18"/>
                <w:szCs w:val="18"/>
              </w:rPr>
              <w:fldChar w:fldCharType="end"/>
            </w:r>
          </w:p>
        </w:tc>
        <w:tc>
          <w:tcPr>
            <w:tcW w:w="4371" w:type="pct"/>
            <w:shd w:val="clear" w:color="auto" w:fill="D9D9D9" w:themeFill="background1" w:themeFillShade="D9"/>
          </w:tcPr>
          <w:p w14:paraId="34921E89" w14:textId="79772571" w:rsidR="007C2276" w:rsidRPr="00A3558D" w:rsidRDefault="007C2276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Details of the</w:t>
            </w:r>
            <w:r w:rsidR="00260974" w:rsidRPr="00A3558D">
              <w:rPr>
                <w:sz w:val="18"/>
                <w:szCs w:val="18"/>
              </w:rPr>
              <w:t xml:space="preserve"> plant and equipment.</w:t>
            </w:r>
          </w:p>
        </w:tc>
      </w:tr>
    </w:tbl>
    <w:p w14:paraId="36419AA9" w14:textId="01348F85" w:rsidR="00933AC7" w:rsidRPr="008D66D8" w:rsidRDefault="008D66D8" w:rsidP="006F213C">
      <w:pPr>
        <w:pStyle w:val="Bodynumbered1"/>
        <w:rPr>
          <w:rFonts w:eastAsia="SimSun"/>
        </w:rPr>
      </w:pPr>
      <w:bookmarkStart w:id="22" w:name="_Ref167086190"/>
      <w:r w:rsidRPr="008D66D8">
        <w:rPr>
          <w:rFonts w:eastAsia="SimSun"/>
        </w:rPr>
        <w:t>The Supplier must establish and maintain a Quality Management System complying with AS/NZS</w:t>
      </w:r>
      <w:r w:rsidR="00D27AB2">
        <w:rPr>
          <w:rFonts w:eastAsia="SimSun"/>
        </w:rPr>
        <w:t> </w:t>
      </w:r>
      <w:r w:rsidRPr="008D66D8">
        <w:rPr>
          <w:rFonts w:eastAsia="SimSun"/>
        </w:rPr>
        <w:t>ISO 9001</w:t>
      </w:r>
      <w:r w:rsidR="005F4478">
        <w:rPr>
          <w:rFonts w:eastAsia="SimSun"/>
        </w:rPr>
        <w:t>.</w:t>
      </w:r>
      <w:bookmarkEnd w:id="22"/>
    </w:p>
    <w:tbl>
      <w:tblPr>
        <w:tblStyle w:val="TMTable"/>
        <w:tblW w:w="4700" w:type="pct"/>
        <w:tblInd w:w="567" w:type="dxa"/>
        <w:tblLook w:val="04A0" w:firstRow="1" w:lastRow="0" w:firstColumn="1" w:lastColumn="0" w:noHBand="0" w:noVBand="1"/>
      </w:tblPr>
      <w:tblGrid>
        <w:gridCol w:w="2109"/>
        <w:gridCol w:w="6812"/>
      </w:tblGrid>
      <w:tr w:rsidR="003E31BA" w14:paraId="5AF963CC" w14:textId="77777777" w:rsidTr="00A35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shd w:val="clear" w:color="auto" w:fill="004259"/>
            <w:hideMark/>
          </w:tcPr>
          <w:p w14:paraId="16C33C9F" w14:textId="77777777" w:rsidR="003E31BA" w:rsidRPr="00FB025A" w:rsidRDefault="003E31BA" w:rsidP="00A65212">
            <w:pPr>
              <w:pStyle w:val="TableHeading"/>
              <w:rPr>
                <w:b/>
                <w:bCs/>
              </w:rPr>
            </w:pPr>
            <w:bookmarkStart w:id="23" w:name="_Hlk9589851"/>
            <w:bookmarkStart w:id="24" w:name="_Hlk150963783"/>
            <w:bookmarkEnd w:id="19"/>
            <w:r w:rsidRPr="00FB025A">
              <w:rPr>
                <w:b/>
                <w:bCs/>
              </w:rPr>
              <w:t>HOLD POINT 1</w:t>
            </w:r>
          </w:p>
        </w:tc>
      </w:tr>
      <w:bookmarkEnd w:id="23"/>
      <w:tr w:rsidR="004F6CFC" w14:paraId="74ACBD09" w14:textId="77777777" w:rsidTr="00A3558D">
        <w:tc>
          <w:tcPr>
            <w:tcW w:w="1182" w:type="pct"/>
            <w:hideMark/>
          </w:tcPr>
          <w:p w14:paraId="2C767741" w14:textId="77777777" w:rsidR="004F6CFC" w:rsidRPr="00FB025A" w:rsidRDefault="004F6CFC" w:rsidP="004F6CFC">
            <w:pPr>
              <w:pStyle w:val="TableBodyText"/>
            </w:pPr>
            <w:r w:rsidRPr="00FB025A">
              <w:t>Process Held</w:t>
            </w:r>
          </w:p>
        </w:tc>
        <w:tc>
          <w:tcPr>
            <w:tcW w:w="3818" w:type="pct"/>
            <w:hideMark/>
          </w:tcPr>
          <w:p w14:paraId="57C9D2E7" w14:textId="3571C93A" w:rsidR="004F6CFC" w:rsidRPr="00FB025A" w:rsidRDefault="004F6CFC" w:rsidP="004F6CFC">
            <w:pPr>
              <w:pStyle w:val="TableBodyText"/>
            </w:pPr>
            <w:r w:rsidRPr="00BE0B29">
              <w:t xml:space="preserve">Commencement of </w:t>
            </w:r>
            <w:r w:rsidR="00384D4C" w:rsidRPr="00384D4C">
              <w:t>Roller Compacted Concrete</w:t>
            </w:r>
            <w:r w:rsidRPr="00BE0B29">
              <w:t xml:space="preserve"> production.</w:t>
            </w:r>
          </w:p>
        </w:tc>
      </w:tr>
      <w:tr w:rsidR="004F6CFC" w14:paraId="100DB77D" w14:textId="77777777" w:rsidTr="00A3558D">
        <w:tc>
          <w:tcPr>
            <w:tcW w:w="1182" w:type="pct"/>
            <w:hideMark/>
          </w:tcPr>
          <w:p w14:paraId="21DCE94C" w14:textId="77777777" w:rsidR="004F6CFC" w:rsidRPr="00FB025A" w:rsidRDefault="004F6CFC" w:rsidP="004F6CFC">
            <w:pPr>
              <w:pStyle w:val="TableBodyText"/>
            </w:pPr>
            <w:r w:rsidRPr="00FB025A">
              <w:t>Submission Details</w:t>
            </w:r>
          </w:p>
        </w:tc>
        <w:tc>
          <w:tcPr>
            <w:tcW w:w="3818" w:type="pct"/>
            <w:hideMark/>
          </w:tcPr>
          <w:p w14:paraId="32EED929" w14:textId="1D8F5A20" w:rsidR="004F6CFC" w:rsidRPr="00FB025A" w:rsidRDefault="004F6CFC" w:rsidP="004F6CFC">
            <w:pPr>
              <w:pStyle w:val="TableBodyText"/>
            </w:pPr>
            <w:r w:rsidRPr="00BE0B29">
              <w:t xml:space="preserve">The Quality Plan </w:t>
            </w:r>
            <w:bookmarkStart w:id="25" w:name="_Hlk3530642"/>
            <w:r w:rsidRPr="00BE0B29">
              <w:t xml:space="preserve">must be </w:t>
            </w:r>
            <w:r>
              <w:t>submitted</w:t>
            </w:r>
            <w:r w:rsidRPr="00BE0B29">
              <w:t xml:space="preserve"> to the Principal at least 10 working days prior to the </w:t>
            </w:r>
            <w:bookmarkEnd w:id="25"/>
            <w:r w:rsidRPr="00BE0B29">
              <w:t>commencement of work on site.</w:t>
            </w:r>
          </w:p>
        </w:tc>
      </w:tr>
    </w:tbl>
    <w:p w14:paraId="6EC691FB" w14:textId="58570A07" w:rsidR="00C6150A" w:rsidRDefault="00C6150A" w:rsidP="00C6150A">
      <w:pPr>
        <w:pStyle w:val="Bodynumbered1"/>
      </w:pPr>
      <w:bookmarkStart w:id="26" w:name="_Toc29489164"/>
      <w:bookmarkStart w:id="27" w:name="_Toc1138829"/>
      <w:bookmarkStart w:id="28" w:name="_Toc9850016"/>
      <w:bookmarkStart w:id="29" w:name="_Hlk9434043"/>
      <w:bookmarkEnd w:id="24"/>
      <w:r>
        <w:t xml:space="preserve">Testing must be completed by a laboratory accredited with the National Association of Testing Authorities Australia (NATA) or </w:t>
      </w:r>
      <w:r w:rsidRPr="00C6150A">
        <w:t xml:space="preserve">International Accreditation New Zealand </w:t>
      </w:r>
      <w:r>
        <w:t xml:space="preserve">(IANZ) for the relevant tests within </w:t>
      </w:r>
      <w:r w:rsidR="00601192">
        <w:t xml:space="preserve">7 </w:t>
      </w:r>
      <w:r>
        <w:t xml:space="preserve">working days after sampling. Where tests require curing, the maximum number of working days between sampling and completion of testing is </w:t>
      </w:r>
      <w:r w:rsidR="00601192">
        <w:t xml:space="preserve">7 </w:t>
      </w:r>
      <w:r>
        <w:t>plus the number of days specified for curing.</w:t>
      </w:r>
    </w:p>
    <w:p w14:paraId="5D4E1ECF" w14:textId="6394D92A" w:rsidR="00D50EE9" w:rsidRPr="005F6E94" w:rsidRDefault="00C6150A" w:rsidP="00C6150A">
      <w:pPr>
        <w:pStyle w:val="Bodynumbered1"/>
      </w:pPr>
      <w:r>
        <w:t>NATA or IANZ endorsed documents certifying all sampling and test procedures for each test result must be issued by the laboratory.</w:t>
      </w:r>
    </w:p>
    <w:p w14:paraId="7944F5B9" w14:textId="5EB70D90" w:rsidR="003F4501" w:rsidRDefault="00A74CAD" w:rsidP="003E31BA">
      <w:pPr>
        <w:pStyle w:val="Heading1"/>
      </w:pPr>
      <w:bookmarkStart w:id="30" w:name="_Toc183614519"/>
      <w:r>
        <w:lastRenderedPageBreak/>
        <w:t>Materials</w:t>
      </w:r>
      <w:bookmarkEnd w:id="26"/>
      <w:bookmarkEnd w:id="30"/>
    </w:p>
    <w:p w14:paraId="53B9DBAE" w14:textId="77777777" w:rsidR="00A74CAD" w:rsidRPr="00A74CAD" w:rsidRDefault="00A74CAD" w:rsidP="002E1C61">
      <w:pPr>
        <w:pStyle w:val="Heading2"/>
      </w:pPr>
      <w:bookmarkStart w:id="31" w:name="_Toc64271084"/>
      <w:bookmarkStart w:id="32" w:name="_Toc183614520"/>
      <w:r w:rsidRPr="00A74CAD">
        <w:t>Binder</w:t>
      </w:r>
      <w:bookmarkEnd w:id="31"/>
      <w:bookmarkEnd w:id="32"/>
    </w:p>
    <w:p w14:paraId="1C2D7F6D" w14:textId="77777777" w:rsidR="00A74CAD" w:rsidRPr="00A74CAD" w:rsidRDefault="00A74CAD" w:rsidP="00A74CAD">
      <w:pPr>
        <w:pStyle w:val="Bodynumbered1"/>
        <w:rPr>
          <w:lang w:bidi="en-US"/>
        </w:rPr>
      </w:pPr>
      <w:bookmarkStart w:id="33" w:name="_Ref64028429"/>
      <w:r w:rsidRPr="00A74CAD">
        <w:rPr>
          <w:lang w:bidi="en-US"/>
        </w:rPr>
        <w:t>The following binders are permitted in the Works:</w:t>
      </w:r>
    </w:p>
    <w:p w14:paraId="187E2A94" w14:textId="77203CA1" w:rsidR="00A74CAD" w:rsidRPr="00A74CAD" w:rsidRDefault="00600B83" w:rsidP="00A3558D">
      <w:pPr>
        <w:pStyle w:val="Bodynumbered2"/>
        <w:rPr>
          <w:lang w:bidi="en-US"/>
        </w:rPr>
      </w:pPr>
      <w:r>
        <w:rPr>
          <w:lang w:bidi="en-US"/>
        </w:rPr>
        <w:t>h</w:t>
      </w:r>
      <w:r w:rsidR="00A74CAD" w:rsidRPr="00A74CAD">
        <w:rPr>
          <w:lang w:bidi="en-US"/>
        </w:rPr>
        <w:t>ydrated lime;</w:t>
      </w:r>
    </w:p>
    <w:p w14:paraId="3B342929" w14:textId="32F15E07" w:rsidR="00A74CAD" w:rsidRPr="00A74CAD" w:rsidRDefault="007B50F8" w:rsidP="004C6EC4">
      <w:pPr>
        <w:pStyle w:val="Bodynumbered2"/>
        <w:numPr>
          <w:ilvl w:val="0"/>
          <w:numId w:val="23"/>
        </w:numPr>
        <w:ind w:left="993" w:hanging="426"/>
        <w:rPr>
          <w:lang w:bidi="en-US"/>
        </w:rPr>
      </w:pPr>
      <w:r>
        <w:rPr>
          <w:lang w:bidi="en-US"/>
        </w:rPr>
        <w:t>q</w:t>
      </w:r>
      <w:r w:rsidR="00A74CAD" w:rsidRPr="00A74CAD">
        <w:rPr>
          <w:lang w:bidi="en-US"/>
        </w:rPr>
        <w:t>uicklime;</w:t>
      </w:r>
    </w:p>
    <w:p w14:paraId="5B1BE8FA" w14:textId="77777777" w:rsidR="00A74CAD" w:rsidRPr="00A74CAD" w:rsidRDefault="00A74CAD" w:rsidP="004C6EC4">
      <w:pPr>
        <w:pStyle w:val="Bodynumbered2"/>
        <w:numPr>
          <w:ilvl w:val="0"/>
          <w:numId w:val="23"/>
        </w:numPr>
        <w:ind w:left="993" w:hanging="426"/>
        <w:rPr>
          <w:lang w:bidi="en-US"/>
        </w:rPr>
      </w:pPr>
      <w:r w:rsidRPr="00A74CAD">
        <w:rPr>
          <w:lang w:bidi="en-US"/>
        </w:rPr>
        <w:t>GGBFS;</w:t>
      </w:r>
    </w:p>
    <w:p w14:paraId="58C5ABEA" w14:textId="70B100D7" w:rsidR="00A74CAD" w:rsidRPr="00A74CAD" w:rsidRDefault="007B50F8" w:rsidP="004C6EC4">
      <w:pPr>
        <w:pStyle w:val="Bodynumbered2"/>
        <w:numPr>
          <w:ilvl w:val="0"/>
          <w:numId w:val="23"/>
        </w:numPr>
        <w:ind w:left="993" w:hanging="426"/>
        <w:rPr>
          <w:lang w:bidi="en-US"/>
        </w:rPr>
      </w:pPr>
      <w:r>
        <w:rPr>
          <w:lang w:bidi="en-US"/>
        </w:rPr>
        <w:t>f</w:t>
      </w:r>
      <w:r w:rsidR="00A74CAD" w:rsidRPr="00A74CAD">
        <w:rPr>
          <w:lang w:bidi="en-US"/>
        </w:rPr>
        <w:t>ly ash (Grade 1);</w:t>
      </w:r>
    </w:p>
    <w:p w14:paraId="32611BD5" w14:textId="77777777" w:rsidR="00A74CAD" w:rsidRPr="00A74CAD" w:rsidRDefault="00A74CAD" w:rsidP="004C6EC4">
      <w:pPr>
        <w:pStyle w:val="Bodynumbered2"/>
        <w:numPr>
          <w:ilvl w:val="0"/>
          <w:numId w:val="23"/>
        </w:numPr>
        <w:ind w:left="993" w:hanging="426"/>
        <w:rPr>
          <w:lang w:bidi="en-US"/>
        </w:rPr>
      </w:pPr>
      <w:r w:rsidRPr="00A74CAD">
        <w:rPr>
          <w:lang w:bidi="en-US"/>
        </w:rPr>
        <w:t>Type GP cement;</w:t>
      </w:r>
    </w:p>
    <w:p w14:paraId="52757C77" w14:textId="77777777" w:rsidR="00A74CAD" w:rsidRPr="00A74CAD" w:rsidRDefault="00A74CAD" w:rsidP="004C6EC4">
      <w:pPr>
        <w:pStyle w:val="Bodynumbered2"/>
        <w:numPr>
          <w:ilvl w:val="0"/>
          <w:numId w:val="23"/>
        </w:numPr>
        <w:ind w:left="993" w:hanging="426"/>
        <w:rPr>
          <w:lang w:bidi="en-US"/>
        </w:rPr>
      </w:pPr>
      <w:r w:rsidRPr="00A74CAD">
        <w:rPr>
          <w:lang w:bidi="en-US"/>
        </w:rPr>
        <w:t>Type GB cement;</w:t>
      </w:r>
    </w:p>
    <w:p w14:paraId="0034C304" w14:textId="0A2FFCEE" w:rsidR="00A74CAD" w:rsidRPr="00A74CAD" w:rsidRDefault="007B50F8" w:rsidP="004C6EC4">
      <w:pPr>
        <w:pStyle w:val="Bodynumbered2"/>
        <w:numPr>
          <w:ilvl w:val="0"/>
          <w:numId w:val="23"/>
        </w:numPr>
        <w:ind w:left="993" w:hanging="426"/>
        <w:rPr>
          <w:lang w:bidi="en-US"/>
        </w:rPr>
      </w:pPr>
      <w:r>
        <w:rPr>
          <w:lang w:bidi="en-US"/>
        </w:rPr>
        <w:t>s</w:t>
      </w:r>
      <w:r w:rsidR="00A74CAD" w:rsidRPr="00A74CAD">
        <w:rPr>
          <w:lang w:bidi="en-US"/>
        </w:rPr>
        <w:t>pecial purpose cements: Types HE, LH or SL;</w:t>
      </w:r>
    </w:p>
    <w:p w14:paraId="032A2582" w14:textId="57BDECA8" w:rsidR="00A74CAD" w:rsidRPr="00A74CAD" w:rsidRDefault="007B50F8" w:rsidP="004C6EC4">
      <w:pPr>
        <w:pStyle w:val="Bodynumbered2"/>
        <w:numPr>
          <w:ilvl w:val="0"/>
          <w:numId w:val="23"/>
        </w:numPr>
        <w:ind w:left="993" w:hanging="426"/>
        <w:rPr>
          <w:lang w:bidi="en-US"/>
        </w:rPr>
      </w:pPr>
      <w:r>
        <w:rPr>
          <w:lang w:bidi="en-US"/>
        </w:rPr>
        <w:t>o</w:t>
      </w:r>
      <w:r w:rsidR="00A74CAD" w:rsidRPr="00A74CAD">
        <w:rPr>
          <w:lang w:bidi="en-US"/>
        </w:rPr>
        <w:t>ther blends of cements as approved by the Principal;</w:t>
      </w:r>
    </w:p>
    <w:p w14:paraId="02ED906C" w14:textId="2C2CCA4A" w:rsidR="00A74CAD" w:rsidRPr="00A74CAD" w:rsidRDefault="00D711E5" w:rsidP="004C6EC4">
      <w:pPr>
        <w:pStyle w:val="Bodynumbered2"/>
        <w:numPr>
          <w:ilvl w:val="0"/>
          <w:numId w:val="23"/>
        </w:numPr>
        <w:ind w:left="993" w:hanging="426"/>
        <w:rPr>
          <w:lang w:bidi="en-US"/>
        </w:rPr>
      </w:pPr>
      <w:r>
        <w:rPr>
          <w:lang w:bidi="en-US"/>
        </w:rPr>
        <w:t>p</w:t>
      </w:r>
      <w:r w:rsidR="00A74CAD" w:rsidRPr="00A74CAD">
        <w:rPr>
          <w:lang w:bidi="en-US"/>
        </w:rPr>
        <w:t>owdered glass;</w:t>
      </w:r>
      <w:r>
        <w:rPr>
          <w:lang w:bidi="en-US"/>
        </w:rPr>
        <w:t xml:space="preserve"> and</w:t>
      </w:r>
    </w:p>
    <w:p w14:paraId="6ECA36D1" w14:textId="6E06FDF1" w:rsidR="00A74CAD" w:rsidRPr="00A74CAD" w:rsidRDefault="00E70C50" w:rsidP="004C6EC4">
      <w:pPr>
        <w:pStyle w:val="Bodynumbered2"/>
        <w:numPr>
          <w:ilvl w:val="0"/>
          <w:numId w:val="23"/>
        </w:numPr>
        <w:ind w:left="993" w:hanging="426"/>
        <w:rPr>
          <w:lang w:bidi="en-US"/>
        </w:rPr>
      </w:pPr>
      <w:r>
        <w:rPr>
          <w:lang w:bidi="en-US"/>
        </w:rPr>
        <w:t>a</w:t>
      </w:r>
      <w:r w:rsidR="00A74CAD" w:rsidRPr="00A74CAD">
        <w:rPr>
          <w:lang w:bidi="en-US"/>
        </w:rPr>
        <w:t>ny other binder approved by the Principal.</w:t>
      </w:r>
      <w:bookmarkEnd w:id="33"/>
    </w:p>
    <w:p w14:paraId="5EA5E7B2" w14:textId="78C7031E" w:rsidR="00A74CAD" w:rsidRPr="00A74CAD" w:rsidRDefault="00A74CAD" w:rsidP="00A74CAD">
      <w:pPr>
        <w:pStyle w:val="Bodynumbered1"/>
        <w:rPr>
          <w:lang w:bidi="en-US"/>
        </w:rPr>
      </w:pPr>
      <w:r w:rsidRPr="00A74CAD">
        <w:rPr>
          <w:lang w:bidi="en-US"/>
        </w:rPr>
        <w:t xml:space="preserve">Each delivery of cement and </w:t>
      </w:r>
      <w:r w:rsidR="00AA408F" w:rsidRPr="00A74CAD">
        <w:rPr>
          <w:lang w:bidi="en-US"/>
        </w:rPr>
        <w:t xml:space="preserve">supplementary </w:t>
      </w:r>
      <w:r w:rsidRPr="00A74CAD">
        <w:rPr>
          <w:lang w:bidi="en-US"/>
        </w:rPr>
        <w:t>cementitious material (SCM) must be accompanied by a delivery document providing traceability by detailing:</w:t>
      </w:r>
    </w:p>
    <w:p w14:paraId="1DB69253" w14:textId="746078AB" w:rsidR="00A74CAD" w:rsidRPr="00A74CAD" w:rsidRDefault="00A74CAD" w:rsidP="00A3558D">
      <w:pPr>
        <w:pStyle w:val="Bodynumbered2"/>
        <w:numPr>
          <w:ilvl w:val="0"/>
          <w:numId w:val="48"/>
        </w:numPr>
        <w:rPr>
          <w:lang w:bidi="en-US"/>
        </w:rPr>
      </w:pPr>
      <w:r w:rsidRPr="00A74CAD">
        <w:rPr>
          <w:lang w:bidi="en-US"/>
        </w:rPr>
        <w:t>marking information as required by AS 3972, AS 3582.1 or AS 3582.2 (as relevant)</w:t>
      </w:r>
      <w:r w:rsidR="00855124">
        <w:rPr>
          <w:lang w:bidi="en-US"/>
        </w:rPr>
        <w:t>;</w:t>
      </w:r>
      <w:r w:rsidRPr="00A74CAD">
        <w:rPr>
          <w:lang w:bidi="en-US"/>
        </w:rPr>
        <w:t xml:space="preserve"> and</w:t>
      </w:r>
    </w:p>
    <w:p w14:paraId="00183AE5" w14:textId="77777777" w:rsidR="00A74CAD" w:rsidRPr="00A74CAD" w:rsidRDefault="00A74CAD" w:rsidP="00A3558D">
      <w:pPr>
        <w:pStyle w:val="Bodynumbered2"/>
        <w:numPr>
          <w:ilvl w:val="0"/>
          <w:numId w:val="23"/>
        </w:numPr>
        <w:rPr>
          <w:lang w:bidi="en-US"/>
        </w:rPr>
      </w:pPr>
      <w:r w:rsidRPr="00A74CAD">
        <w:rPr>
          <w:lang w:bidi="en-US"/>
        </w:rPr>
        <w:t>ATIC registration number.</w:t>
      </w:r>
    </w:p>
    <w:p w14:paraId="3C981445" w14:textId="77777777" w:rsidR="00A74CAD" w:rsidRPr="00A74CAD" w:rsidRDefault="00A74CAD" w:rsidP="00A74CAD">
      <w:pPr>
        <w:pStyle w:val="Bodynumbered1"/>
        <w:rPr>
          <w:lang w:bidi="en-US"/>
        </w:rPr>
      </w:pPr>
      <w:r w:rsidRPr="00A74CAD">
        <w:rPr>
          <w:lang w:bidi="en-US"/>
        </w:rPr>
        <w:t xml:space="preserve">If requested by the Principal, within 5 working days after the start of the Works, the Contractor must deliver to the Principal a minimum </w:t>
      </w:r>
      <w:proofErr w:type="gramStart"/>
      <w:r w:rsidRPr="00A74CAD">
        <w:rPr>
          <w:lang w:bidi="en-US"/>
        </w:rPr>
        <w:t>5 kilogram</w:t>
      </w:r>
      <w:proofErr w:type="gramEnd"/>
      <w:r w:rsidRPr="00A74CAD">
        <w:rPr>
          <w:lang w:bidi="en-US"/>
        </w:rPr>
        <w:t xml:space="preserve"> representative grab sample (labelled for traceability) of each cement and SCM.</w:t>
      </w:r>
    </w:p>
    <w:p w14:paraId="314E73EF" w14:textId="7BC633D7" w:rsidR="00A74CAD" w:rsidRPr="00A74CAD" w:rsidRDefault="00DD7E8C" w:rsidP="00DD7E8C">
      <w:pPr>
        <w:pStyle w:val="Bodynumbered1"/>
        <w:rPr>
          <w:lang w:bidi="en-US"/>
        </w:rPr>
      </w:pPr>
      <w:bookmarkStart w:id="34" w:name="_Ref64039644"/>
      <w:r>
        <w:rPr>
          <w:lang w:bidi="en-US"/>
        </w:rPr>
        <w:t xml:space="preserve">The Quality Plan must include </w:t>
      </w:r>
      <w:r w:rsidRPr="00DD7E8C">
        <w:rPr>
          <w:lang w:bidi="en-US"/>
        </w:rPr>
        <w:t xml:space="preserve">details of how the cement and fly ash supplies will be monitored for </w:t>
      </w:r>
      <w:r w:rsidR="00E94CBA" w:rsidRPr="00DD7E8C">
        <w:rPr>
          <w:lang w:bidi="en-US"/>
        </w:rPr>
        <w:t>compliance</w:t>
      </w:r>
      <w:r w:rsidR="00E94CBA">
        <w:rPr>
          <w:lang w:bidi="en-US"/>
        </w:rPr>
        <w:t xml:space="preserve">. </w:t>
      </w:r>
      <w:r w:rsidR="00A74CAD" w:rsidRPr="00A74CAD">
        <w:rPr>
          <w:lang w:bidi="en-US"/>
        </w:rPr>
        <w:t xml:space="preserve">Documentary evidence of material compliance (such as process control monitoring and/or lot release test results, as detailed in </w:t>
      </w:r>
      <w:r w:rsidR="00A74CAD" w:rsidRPr="00A74CAD">
        <w:rPr>
          <w:bCs/>
        </w:rPr>
        <w:t>ATIC SP43</w:t>
      </w:r>
      <w:r w:rsidR="00A74CAD" w:rsidRPr="00A74CAD">
        <w:rPr>
          <w:lang w:bidi="en-US"/>
        </w:rPr>
        <w:t>) must be provided at least monthly to the Principal.</w:t>
      </w:r>
      <w:bookmarkEnd w:id="34"/>
    </w:p>
    <w:p w14:paraId="29C26946" w14:textId="77777777" w:rsidR="00A74CAD" w:rsidRPr="00A74CAD" w:rsidRDefault="00A74CAD" w:rsidP="00A74CAD">
      <w:pPr>
        <w:pStyle w:val="Bodynumbered1"/>
        <w:rPr>
          <w:lang w:bidi="en-US"/>
        </w:rPr>
      </w:pPr>
      <w:r w:rsidRPr="00A74CAD">
        <w:rPr>
          <w:lang w:bidi="en-US"/>
        </w:rPr>
        <w:t>Bulk cementitious materials must only be stored in watertight silos.</w:t>
      </w:r>
    </w:p>
    <w:p w14:paraId="224D66EB" w14:textId="5532B46B" w:rsidR="00A74CAD" w:rsidRPr="00A74CAD" w:rsidRDefault="00A74CAD" w:rsidP="00A74CAD">
      <w:pPr>
        <w:pStyle w:val="Bodynumbered1"/>
        <w:rPr>
          <w:lang w:bidi="en-US"/>
        </w:rPr>
      </w:pPr>
      <w:r w:rsidRPr="00A74CAD">
        <w:rPr>
          <w:lang w:bidi="en-US"/>
        </w:rPr>
        <w:t xml:space="preserve">Bagged cementitious materials must be stored above ground in dry, weatherproof sheds and be protected from dampness </w:t>
      </w:r>
      <w:r w:rsidR="0032014D">
        <w:rPr>
          <w:lang w:bidi="en-US"/>
        </w:rPr>
        <w:t>that</w:t>
      </w:r>
      <w:r w:rsidR="0032014D" w:rsidRPr="00A74CAD">
        <w:rPr>
          <w:lang w:bidi="en-US"/>
        </w:rPr>
        <w:t xml:space="preserve"> </w:t>
      </w:r>
      <w:r w:rsidRPr="00A74CAD">
        <w:rPr>
          <w:lang w:bidi="en-US"/>
        </w:rPr>
        <w:t xml:space="preserve">may be acquired from contact with floors or walls. Bags must be stacked </w:t>
      </w:r>
      <w:proofErr w:type="gramStart"/>
      <w:r w:rsidRPr="00A74CAD">
        <w:rPr>
          <w:lang w:bidi="en-US"/>
        </w:rPr>
        <w:t>so as to</w:t>
      </w:r>
      <w:proofErr w:type="gramEnd"/>
      <w:r w:rsidRPr="00A74CAD">
        <w:rPr>
          <w:lang w:bidi="en-US"/>
        </w:rPr>
        <w:t xml:space="preserve"> allow counting, inspection and identification of each consignment.</w:t>
      </w:r>
    </w:p>
    <w:p w14:paraId="0E71F999" w14:textId="77777777" w:rsidR="00A74CAD" w:rsidRPr="00A74CAD" w:rsidRDefault="00A74CAD" w:rsidP="00A74CAD">
      <w:pPr>
        <w:pStyle w:val="Bodynumbered1"/>
        <w:rPr>
          <w:lang w:bidi="en-US"/>
        </w:rPr>
      </w:pPr>
      <w:r w:rsidRPr="00A74CAD">
        <w:rPr>
          <w:lang w:bidi="en-US"/>
        </w:rPr>
        <w:t>As far as practicable, cement must be used in order of receipt.</w:t>
      </w:r>
    </w:p>
    <w:p w14:paraId="45812D36" w14:textId="77777777" w:rsidR="00A74CAD" w:rsidRPr="00A74CAD" w:rsidRDefault="00A74CAD" w:rsidP="00A74CAD">
      <w:pPr>
        <w:pStyle w:val="Bodynumbered1"/>
        <w:rPr>
          <w:lang w:bidi="en-US"/>
        </w:rPr>
      </w:pPr>
      <w:r w:rsidRPr="00A74CAD">
        <w:rPr>
          <w:lang w:bidi="en-US"/>
        </w:rPr>
        <w:t>Cementitious materials containing lumps, signs of moisture absorption or other contamination must not be used.</w:t>
      </w:r>
    </w:p>
    <w:p w14:paraId="07B0472A" w14:textId="77777777" w:rsidR="00A74CAD" w:rsidRPr="00A74CAD" w:rsidRDefault="00A74CAD" w:rsidP="00A74CAD">
      <w:pPr>
        <w:pStyle w:val="Bodynumbered1"/>
        <w:rPr>
          <w:lang w:bidi="en-US"/>
        </w:rPr>
      </w:pPr>
      <w:r w:rsidRPr="00A74CAD">
        <w:rPr>
          <w:lang w:bidi="en-US"/>
        </w:rPr>
        <w:t>Cement must:</w:t>
      </w:r>
    </w:p>
    <w:p w14:paraId="10A6C1DF" w14:textId="77777777" w:rsidR="00A74CAD" w:rsidRPr="00A74CAD" w:rsidRDefault="00A74CAD" w:rsidP="00A3558D">
      <w:pPr>
        <w:pStyle w:val="Bodynumbered2"/>
        <w:numPr>
          <w:ilvl w:val="0"/>
          <w:numId w:val="49"/>
        </w:numPr>
        <w:rPr>
          <w:lang w:bidi="en-US"/>
        </w:rPr>
      </w:pPr>
      <w:r w:rsidRPr="00A74CAD">
        <w:rPr>
          <w:lang w:bidi="en-US"/>
        </w:rPr>
        <w:t>comply with ATIC-SP43 and AS 3972; and</w:t>
      </w:r>
    </w:p>
    <w:p w14:paraId="6868308C" w14:textId="77777777" w:rsidR="00A74CAD" w:rsidRPr="00A74CAD" w:rsidRDefault="00A74CAD" w:rsidP="00A3558D">
      <w:pPr>
        <w:pStyle w:val="Bodynumbered2"/>
        <w:numPr>
          <w:ilvl w:val="0"/>
          <w:numId w:val="23"/>
        </w:numPr>
        <w:rPr>
          <w:lang w:bidi="en-US"/>
        </w:rPr>
      </w:pPr>
      <w:r w:rsidRPr="00A74CAD">
        <w:rPr>
          <w:lang w:bidi="en-US"/>
        </w:rPr>
        <w:t>if more than 3 months old (from date of manufacture), be retested for conformance.</w:t>
      </w:r>
    </w:p>
    <w:p w14:paraId="001B4EF8" w14:textId="77777777" w:rsidR="00A74CAD" w:rsidRPr="00A74CAD" w:rsidRDefault="00A74CAD" w:rsidP="00A74CAD">
      <w:pPr>
        <w:pStyle w:val="Bodynumbered1"/>
        <w:rPr>
          <w:lang w:bidi="en-US"/>
        </w:rPr>
      </w:pPr>
      <w:bookmarkStart w:id="35" w:name="_Ref63168510"/>
      <w:r w:rsidRPr="00A74CAD">
        <w:rPr>
          <w:lang w:bidi="en-US"/>
        </w:rPr>
        <w:t>Fly ash must:</w:t>
      </w:r>
      <w:bookmarkEnd w:id="35"/>
    </w:p>
    <w:p w14:paraId="32B126FC" w14:textId="77777777" w:rsidR="00A74CAD" w:rsidRPr="00A74CAD" w:rsidRDefault="00A74CAD" w:rsidP="004C6EC4">
      <w:pPr>
        <w:pStyle w:val="Bodynumbered2"/>
        <w:numPr>
          <w:ilvl w:val="0"/>
          <w:numId w:val="26"/>
        </w:numPr>
        <w:ind w:left="993" w:hanging="426"/>
        <w:rPr>
          <w:lang w:bidi="en-US"/>
        </w:rPr>
      </w:pPr>
      <w:r w:rsidRPr="00A74CAD">
        <w:rPr>
          <w:lang w:bidi="en-US"/>
        </w:rPr>
        <w:t>be fine grade;</w:t>
      </w:r>
    </w:p>
    <w:p w14:paraId="51314F70" w14:textId="4475050D" w:rsidR="00A74CAD" w:rsidRPr="00A74CAD" w:rsidRDefault="00A74CAD" w:rsidP="004C6EC4">
      <w:pPr>
        <w:pStyle w:val="Bodynumbered2"/>
        <w:ind w:left="993" w:hanging="426"/>
        <w:rPr>
          <w:lang w:bidi="en-US"/>
        </w:rPr>
      </w:pPr>
      <w:r w:rsidRPr="00A74CAD">
        <w:rPr>
          <w:lang w:bidi="en-US"/>
        </w:rPr>
        <w:t>comply with ATIC-SP43 and AS 3582.1; and</w:t>
      </w:r>
    </w:p>
    <w:p w14:paraId="6BC16542" w14:textId="0A0D23A2" w:rsidR="00A74CAD" w:rsidRPr="00A74CAD" w:rsidRDefault="00A74CAD" w:rsidP="004C6EC4">
      <w:pPr>
        <w:pStyle w:val="Bodynumbered2"/>
        <w:ind w:left="993" w:hanging="426"/>
        <w:rPr>
          <w:lang w:bidi="en-US"/>
        </w:rPr>
      </w:pPr>
      <w:r w:rsidRPr="00A74CAD">
        <w:rPr>
          <w:lang w:bidi="en-US"/>
        </w:rPr>
        <w:t xml:space="preserve">comply with Table </w:t>
      </w:r>
      <w:r w:rsidRPr="00A74CAD">
        <w:rPr>
          <w:lang w:bidi="en-US"/>
        </w:rPr>
        <w:fldChar w:fldCharType="begin"/>
      </w:r>
      <w:r w:rsidRPr="00A74CAD">
        <w:rPr>
          <w:lang w:bidi="en-US"/>
        </w:rPr>
        <w:instrText xml:space="preserve"> REF _Ref63168510 \r \h </w:instrText>
      </w:r>
      <w:r w:rsidR="00137078">
        <w:rPr>
          <w:lang w:bidi="en-US"/>
        </w:rPr>
        <w:instrText xml:space="preserve"> \* MERGEFORMAT </w:instrText>
      </w:r>
      <w:r w:rsidRPr="00A74CAD">
        <w:rPr>
          <w:lang w:bidi="en-US"/>
        </w:rPr>
      </w:r>
      <w:r w:rsidRPr="00A74CAD">
        <w:rPr>
          <w:lang w:bidi="en-US"/>
        </w:rPr>
        <w:fldChar w:fldCharType="separate"/>
      </w:r>
      <w:r w:rsidR="006544BA">
        <w:rPr>
          <w:lang w:bidi="en-US"/>
        </w:rPr>
        <w:t>5.10</w:t>
      </w:r>
      <w:r w:rsidRPr="00A74CAD">
        <w:fldChar w:fldCharType="end"/>
      </w:r>
      <w:r w:rsidRPr="00A74CAD">
        <w:rPr>
          <w:lang w:bidi="en-US"/>
        </w:rPr>
        <w:t xml:space="preserve"> (calculated using the 30 most recent successive test results).</w:t>
      </w:r>
    </w:p>
    <w:p w14:paraId="7556928E" w14:textId="584F8A61" w:rsidR="00A74CAD" w:rsidRPr="00A74CAD" w:rsidRDefault="00A74CAD" w:rsidP="00A3558D">
      <w:pPr>
        <w:pStyle w:val="Caption"/>
        <w:rPr>
          <w:lang w:bidi="en-US"/>
        </w:rPr>
      </w:pPr>
      <w:r w:rsidRPr="00A74CAD">
        <w:lastRenderedPageBreak/>
        <w:t xml:space="preserve">Table </w:t>
      </w:r>
      <w:r w:rsidRPr="00A74CAD">
        <w:fldChar w:fldCharType="begin"/>
      </w:r>
      <w:r w:rsidRPr="00A74CAD">
        <w:instrText xml:space="preserve"> REF _Ref63168510 \r \h </w:instrText>
      </w:r>
      <w:r w:rsidR="003F429E">
        <w:instrText xml:space="preserve"> \* MERGEFORMAT </w:instrText>
      </w:r>
      <w:r w:rsidRPr="00A74CAD">
        <w:fldChar w:fldCharType="separate"/>
      </w:r>
      <w:r w:rsidR="006544BA">
        <w:t>5.10</w:t>
      </w:r>
      <w:r w:rsidRPr="00A74CAD">
        <w:fldChar w:fldCharType="end"/>
      </w:r>
      <w:r w:rsidR="00310641">
        <w:rPr>
          <w:lang w:bidi="en-US"/>
        </w:rPr>
        <w:t>:</w:t>
      </w:r>
      <w:r w:rsidR="00310641">
        <w:rPr>
          <w:lang w:bidi="en-US"/>
        </w:rPr>
        <w:tab/>
      </w:r>
      <w:r w:rsidRPr="00A74CAD">
        <w:rPr>
          <w:lang w:bidi="en-US"/>
        </w:rPr>
        <w:t>Fly ash uniformity requirements</w:t>
      </w:r>
    </w:p>
    <w:tbl>
      <w:tblPr>
        <w:tblW w:w="8931" w:type="dxa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68"/>
        <w:gridCol w:w="2127"/>
        <w:gridCol w:w="2835"/>
        <w:gridCol w:w="1701"/>
      </w:tblGrid>
      <w:tr w:rsidR="00A74CAD" w:rsidRPr="00A74CAD" w14:paraId="44A71A12" w14:textId="77777777" w:rsidTr="004C6EC4">
        <w:trPr>
          <w:trHeight w:val="361"/>
        </w:trPr>
        <w:tc>
          <w:tcPr>
            <w:tcW w:w="2268" w:type="dxa"/>
            <w:shd w:val="clear" w:color="auto" w:fill="BFBFBF" w:themeFill="background1" w:themeFillShade="BF"/>
          </w:tcPr>
          <w:p w14:paraId="15413BEA" w14:textId="77777777" w:rsidR="00A74CAD" w:rsidRPr="00A3558D" w:rsidRDefault="00A74CAD" w:rsidP="00A3558D">
            <w:pPr>
              <w:pStyle w:val="TableHeading"/>
              <w:jc w:val="center"/>
              <w:rPr>
                <w:bCs/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>Property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02A429E6" w14:textId="77777777" w:rsidR="00A74CAD" w:rsidRPr="00A3558D" w:rsidRDefault="00A74CAD" w:rsidP="00A3558D">
            <w:pPr>
              <w:pStyle w:val="TableHeading"/>
              <w:jc w:val="center"/>
              <w:rPr>
                <w:bCs/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>Test Method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EE7FE45" w14:textId="77777777" w:rsidR="00A74CAD" w:rsidRPr="00A3558D" w:rsidRDefault="00A74CAD" w:rsidP="00A3558D">
            <w:pPr>
              <w:pStyle w:val="TableHeading"/>
              <w:jc w:val="center"/>
              <w:rPr>
                <w:bCs/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>Formula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512933B" w14:textId="77777777" w:rsidR="00A74CAD" w:rsidRPr="00A3558D" w:rsidRDefault="00A74CAD" w:rsidP="00A3558D">
            <w:pPr>
              <w:pStyle w:val="TableHeading"/>
              <w:jc w:val="center"/>
              <w:rPr>
                <w:bCs/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>Limit</w:t>
            </w:r>
          </w:p>
        </w:tc>
      </w:tr>
      <w:tr w:rsidR="00A74CAD" w:rsidRPr="00A74CAD" w14:paraId="310B1B91" w14:textId="77777777" w:rsidTr="004C6EC4">
        <w:trPr>
          <w:trHeight w:val="349"/>
        </w:trPr>
        <w:tc>
          <w:tcPr>
            <w:tcW w:w="2268" w:type="dxa"/>
            <w:shd w:val="clear" w:color="auto" w:fill="D9D9D9" w:themeFill="background1" w:themeFillShade="D9"/>
          </w:tcPr>
          <w:p w14:paraId="59A003FF" w14:textId="77777777" w:rsidR="00A74CAD" w:rsidRPr="00A3558D" w:rsidRDefault="00A74CAD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Carbon content (</w:t>
            </w:r>
            <w:proofErr w:type="spellStart"/>
            <w:r w:rsidRPr="00A3558D">
              <w:rPr>
                <w:sz w:val="18"/>
                <w:szCs w:val="18"/>
              </w:rPr>
              <w:t>LoI</w:t>
            </w:r>
            <w:proofErr w:type="spellEnd"/>
            <w:r w:rsidRPr="00A3558D">
              <w:rPr>
                <w:sz w:val="18"/>
                <w:szCs w:val="18"/>
              </w:rPr>
              <w:t>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AC63735" w14:textId="77777777" w:rsidR="00A74CAD" w:rsidRPr="00A3558D" w:rsidRDefault="00A74CAD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AS/NZS 2350.2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140E9D5" w14:textId="796DF6E5" w:rsidR="00A74CAD" w:rsidRPr="00A3558D" w:rsidRDefault="00A74CAD" w:rsidP="00A3558D">
            <w:pPr>
              <w:pStyle w:val="TableBodyText"/>
              <w:rPr>
                <w:i/>
                <w:iCs/>
                <w:sz w:val="18"/>
                <w:szCs w:val="18"/>
              </w:rPr>
            </w:pPr>
            <w:proofErr w:type="spellStart"/>
            <w:r w:rsidRPr="00A3558D">
              <w:rPr>
                <w:i/>
                <w:iCs/>
                <w:sz w:val="18"/>
                <w:szCs w:val="18"/>
              </w:rPr>
              <w:t>LoI</w:t>
            </w:r>
            <w:r w:rsidRPr="00A3558D">
              <w:rPr>
                <w:i/>
                <w:iCs/>
                <w:sz w:val="18"/>
                <w:szCs w:val="18"/>
                <w:vertAlign w:val="subscript"/>
                <w:lang w:bidi="en-US"/>
              </w:rPr>
              <w:t>average</w:t>
            </w:r>
            <w:proofErr w:type="spellEnd"/>
            <w:r w:rsidRPr="00A3558D">
              <w:rPr>
                <w:i/>
                <w:iCs/>
                <w:sz w:val="18"/>
                <w:szCs w:val="18"/>
              </w:rPr>
              <w:t xml:space="preserve"> + 3SD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2577AB4" w14:textId="0010C717" w:rsidR="00A74CAD" w:rsidRPr="00A3558D" w:rsidRDefault="00A74CAD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≤4%</w:t>
            </w:r>
          </w:p>
        </w:tc>
      </w:tr>
      <w:tr w:rsidR="00A74CAD" w:rsidRPr="00A74CAD" w14:paraId="4199E991" w14:textId="77777777" w:rsidTr="004C6EC4">
        <w:trPr>
          <w:trHeight w:val="349"/>
        </w:trPr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122D4ACB" w14:textId="77777777" w:rsidR="00A74CAD" w:rsidRPr="00A3558D" w:rsidRDefault="00A74CAD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Fineness</w:t>
            </w:r>
          </w:p>
        </w:tc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6E9AFB4D" w14:textId="77777777" w:rsidR="00A74CAD" w:rsidRPr="00A3558D" w:rsidRDefault="00A74CAD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AS/NZS 2350.8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AA7A398" w14:textId="7E70AAD8" w:rsidR="00A74CAD" w:rsidRPr="00A3558D" w:rsidRDefault="00A74CAD" w:rsidP="00A3558D">
            <w:pPr>
              <w:pStyle w:val="TableBodyText"/>
              <w:rPr>
                <w:i/>
                <w:iCs/>
                <w:sz w:val="18"/>
                <w:szCs w:val="18"/>
              </w:rPr>
            </w:pPr>
            <w:proofErr w:type="spellStart"/>
            <w:r w:rsidRPr="00A3558D">
              <w:rPr>
                <w:i/>
                <w:iCs/>
                <w:sz w:val="18"/>
                <w:szCs w:val="18"/>
              </w:rPr>
              <w:t>Fineness</w:t>
            </w:r>
            <w:r w:rsidRPr="00A3558D">
              <w:rPr>
                <w:i/>
                <w:iCs/>
                <w:sz w:val="18"/>
                <w:szCs w:val="18"/>
                <w:vertAlign w:val="subscript"/>
                <w:lang w:bidi="en-US"/>
              </w:rPr>
              <w:t>average</w:t>
            </w:r>
            <w:proofErr w:type="spellEnd"/>
            <w:r w:rsidRPr="00A3558D">
              <w:rPr>
                <w:i/>
                <w:iCs/>
                <w:sz w:val="18"/>
                <w:szCs w:val="18"/>
              </w:rPr>
              <w:t xml:space="preserve"> + 3SD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C3BEA58" w14:textId="1EB26FC9" w:rsidR="00A74CAD" w:rsidRPr="00A3558D" w:rsidRDefault="00A74CAD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≤100%</w:t>
            </w:r>
          </w:p>
        </w:tc>
      </w:tr>
      <w:tr w:rsidR="00A74CAD" w:rsidRPr="00A74CAD" w14:paraId="10C97767" w14:textId="77777777" w:rsidTr="004C6EC4">
        <w:trPr>
          <w:trHeight w:val="349"/>
        </w:trPr>
        <w:tc>
          <w:tcPr>
            <w:tcW w:w="2268" w:type="dxa"/>
            <w:vMerge/>
            <w:shd w:val="clear" w:color="auto" w:fill="D9D9D9" w:themeFill="background1" w:themeFillShade="D9"/>
          </w:tcPr>
          <w:p w14:paraId="48A230F9" w14:textId="77777777" w:rsidR="00A74CAD" w:rsidRPr="00A3558D" w:rsidRDefault="00A74CAD" w:rsidP="00A3558D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113D9D5F" w14:textId="77777777" w:rsidR="00A74CAD" w:rsidRPr="00A3558D" w:rsidRDefault="00A74CAD" w:rsidP="00A3558D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3CB01FC" w14:textId="0E80D8FB" w:rsidR="00A74CAD" w:rsidRPr="00A3558D" w:rsidRDefault="00137078" w:rsidP="00A3558D">
            <w:pPr>
              <w:pStyle w:val="TableBodyText"/>
              <w:rPr>
                <w:i/>
                <w:iCs/>
                <w:sz w:val="18"/>
                <w:szCs w:val="18"/>
              </w:rPr>
            </w:pPr>
            <w:proofErr w:type="spellStart"/>
            <w:r w:rsidRPr="00A3558D">
              <w:rPr>
                <w:i/>
                <w:iCs/>
                <w:sz w:val="18"/>
                <w:szCs w:val="18"/>
              </w:rPr>
              <w:t>Fineness</w:t>
            </w:r>
            <w:r w:rsidRPr="00A3558D">
              <w:rPr>
                <w:i/>
                <w:iCs/>
                <w:sz w:val="18"/>
                <w:szCs w:val="18"/>
                <w:vertAlign w:val="subscript"/>
                <w:lang w:bidi="en-US"/>
              </w:rPr>
              <w:t>average</w:t>
            </w:r>
            <w:proofErr w:type="spellEnd"/>
            <w:r w:rsidR="00A74CAD" w:rsidRPr="00A3558D">
              <w:rPr>
                <w:i/>
                <w:iCs/>
                <w:sz w:val="18"/>
                <w:szCs w:val="18"/>
              </w:rPr>
              <w:t xml:space="preserve"> </w:t>
            </w:r>
            <w:r w:rsidR="006D5753" w:rsidRPr="00A3558D">
              <w:rPr>
                <w:rFonts w:cs="Arial"/>
                <w:i/>
                <w:iCs/>
                <w:sz w:val="18"/>
                <w:szCs w:val="18"/>
              </w:rPr>
              <w:t>−</w:t>
            </w:r>
            <w:r w:rsidR="00A74CAD" w:rsidRPr="00A3558D">
              <w:rPr>
                <w:i/>
                <w:iCs/>
                <w:sz w:val="18"/>
                <w:szCs w:val="18"/>
              </w:rPr>
              <w:t xml:space="preserve"> 3SD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E17C411" w14:textId="3E772EDD" w:rsidR="00A74CAD" w:rsidRPr="00A3558D" w:rsidRDefault="00A74CAD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≥75%</w:t>
            </w:r>
          </w:p>
        </w:tc>
      </w:tr>
      <w:tr w:rsidR="00A74CAD" w:rsidRPr="00A74CAD" w14:paraId="7F45BBEE" w14:textId="77777777" w:rsidTr="004C6EC4">
        <w:trPr>
          <w:trHeight w:val="349"/>
        </w:trPr>
        <w:tc>
          <w:tcPr>
            <w:tcW w:w="2268" w:type="dxa"/>
            <w:vMerge/>
            <w:shd w:val="clear" w:color="auto" w:fill="D9D9D9" w:themeFill="background1" w:themeFillShade="D9"/>
          </w:tcPr>
          <w:p w14:paraId="1BF658E0" w14:textId="77777777" w:rsidR="00A74CAD" w:rsidRPr="00A3558D" w:rsidRDefault="00A74CAD" w:rsidP="00A3558D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54BC5487" w14:textId="77777777" w:rsidR="00A74CAD" w:rsidRPr="00A3558D" w:rsidRDefault="00A74CAD" w:rsidP="00A3558D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803A000" w14:textId="77777777" w:rsidR="00A74CAD" w:rsidRPr="00A3558D" w:rsidRDefault="00A74CAD" w:rsidP="00A3558D">
            <w:pPr>
              <w:pStyle w:val="TableBodyText"/>
              <w:rPr>
                <w:i/>
                <w:iCs/>
                <w:sz w:val="18"/>
                <w:szCs w:val="18"/>
              </w:rPr>
            </w:pPr>
            <w:proofErr w:type="spellStart"/>
            <w:r w:rsidRPr="00A3558D">
              <w:rPr>
                <w:i/>
                <w:iCs/>
                <w:sz w:val="18"/>
                <w:szCs w:val="18"/>
              </w:rPr>
              <w:t>CoV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14:paraId="1E1DFB7D" w14:textId="7D4DA847" w:rsidR="00A74CAD" w:rsidRPr="00A3558D" w:rsidRDefault="00A74CAD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≤3%</w:t>
            </w:r>
          </w:p>
        </w:tc>
      </w:tr>
    </w:tbl>
    <w:p w14:paraId="31478B47" w14:textId="273D9D63" w:rsidR="00A74CAD" w:rsidRPr="00A74CAD" w:rsidRDefault="00C7424E" w:rsidP="00A3558D">
      <w:pPr>
        <w:pStyle w:val="Bodynumbered1"/>
        <w:numPr>
          <w:ilvl w:val="0"/>
          <w:numId w:val="0"/>
        </w:numPr>
        <w:ind w:left="993" w:hanging="426"/>
        <w:rPr>
          <w:lang w:bidi="en-US"/>
        </w:rPr>
      </w:pPr>
      <w:bookmarkStart w:id="36" w:name="6.2.3.2_Ground_granulated_iron_blast-fur"/>
      <w:bookmarkEnd w:id="36"/>
      <w:r>
        <w:rPr>
          <w:lang w:bidi="en-US"/>
        </w:rPr>
        <w:t>W</w:t>
      </w:r>
      <w:r w:rsidR="00A74CAD" w:rsidRPr="00A74CAD">
        <w:rPr>
          <w:lang w:bidi="en-US"/>
        </w:rPr>
        <w:t>here:</w:t>
      </w:r>
    </w:p>
    <w:p w14:paraId="20B6F956" w14:textId="06E2F362" w:rsidR="00A74CAD" w:rsidRPr="00A74CAD" w:rsidRDefault="00A74CAD" w:rsidP="00CA6ACB">
      <w:pPr>
        <w:pStyle w:val="Bodynumbered1"/>
        <w:numPr>
          <w:ilvl w:val="0"/>
          <w:numId w:val="0"/>
        </w:numPr>
        <w:ind w:left="2977" w:hanging="1984"/>
        <w:rPr>
          <w:lang w:bidi="en-US"/>
        </w:rPr>
      </w:pPr>
      <w:proofErr w:type="spellStart"/>
      <w:r w:rsidRPr="00A3558D">
        <w:rPr>
          <w:i/>
          <w:iCs/>
          <w:lang w:bidi="en-US"/>
        </w:rPr>
        <w:t>LoI</w:t>
      </w:r>
      <w:r w:rsidRPr="00A3558D">
        <w:rPr>
          <w:i/>
          <w:iCs/>
          <w:vertAlign w:val="subscript"/>
          <w:lang w:bidi="en-US"/>
        </w:rPr>
        <w:t>average</w:t>
      </w:r>
      <w:proofErr w:type="spellEnd"/>
      <w:r w:rsidRPr="00A74CAD">
        <w:rPr>
          <w:lang w:bidi="en-US"/>
        </w:rPr>
        <w:tab/>
        <w:t>=</w:t>
      </w:r>
      <w:r w:rsidRPr="00A74CAD">
        <w:rPr>
          <w:lang w:bidi="en-US"/>
        </w:rPr>
        <w:tab/>
        <w:t>mean of loss on ignition test results</w:t>
      </w:r>
      <w:r w:rsidR="00782FC3">
        <w:rPr>
          <w:lang w:bidi="en-US"/>
        </w:rPr>
        <w:t>.</w:t>
      </w:r>
    </w:p>
    <w:p w14:paraId="26882A37" w14:textId="118D18BD" w:rsidR="00A74CAD" w:rsidRPr="00A74CAD" w:rsidRDefault="00A74CAD" w:rsidP="00CA6ACB">
      <w:pPr>
        <w:pStyle w:val="Bodynumbered1"/>
        <w:numPr>
          <w:ilvl w:val="0"/>
          <w:numId w:val="0"/>
        </w:numPr>
        <w:ind w:left="2977" w:hanging="1984"/>
        <w:rPr>
          <w:lang w:bidi="en-US"/>
        </w:rPr>
      </w:pPr>
      <w:proofErr w:type="spellStart"/>
      <w:r w:rsidRPr="00A3558D">
        <w:rPr>
          <w:i/>
          <w:iCs/>
          <w:lang w:bidi="en-US"/>
        </w:rPr>
        <w:t>Fineness</w:t>
      </w:r>
      <w:r w:rsidRPr="00A3558D">
        <w:rPr>
          <w:i/>
          <w:iCs/>
          <w:vertAlign w:val="subscript"/>
          <w:lang w:bidi="en-US"/>
        </w:rPr>
        <w:t>average</w:t>
      </w:r>
      <w:proofErr w:type="spellEnd"/>
      <w:r w:rsidRPr="00A74CAD">
        <w:rPr>
          <w:vertAlign w:val="subscript"/>
          <w:lang w:bidi="en-US"/>
        </w:rPr>
        <w:tab/>
      </w:r>
      <w:r w:rsidRPr="00A74CAD">
        <w:rPr>
          <w:lang w:bidi="en-US"/>
        </w:rPr>
        <w:t>=</w:t>
      </w:r>
      <w:r w:rsidRPr="00A74CAD">
        <w:rPr>
          <w:lang w:bidi="en-US"/>
        </w:rPr>
        <w:tab/>
        <w:t>mean of fineness test results</w:t>
      </w:r>
      <w:r w:rsidR="00467239">
        <w:rPr>
          <w:lang w:bidi="en-US"/>
        </w:rPr>
        <w:t>.</w:t>
      </w:r>
    </w:p>
    <w:p w14:paraId="50C84EE1" w14:textId="6CFACF11" w:rsidR="00A74CAD" w:rsidRPr="00A74CAD" w:rsidRDefault="00A74CAD" w:rsidP="00CA6ACB">
      <w:pPr>
        <w:pStyle w:val="Bodynumbered1"/>
        <w:numPr>
          <w:ilvl w:val="0"/>
          <w:numId w:val="0"/>
        </w:numPr>
        <w:ind w:left="2977" w:hanging="1984"/>
        <w:rPr>
          <w:lang w:bidi="en-US"/>
        </w:rPr>
      </w:pPr>
      <w:r w:rsidRPr="00A3558D">
        <w:rPr>
          <w:i/>
          <w:iCs/>
          <w:lang w:bidi="en-US"/>
        </w:rPr>
        <w:t>SD</w:t>
      </w:r>
      <w:r w:rsidRPr="00A74CAD">
        <w:rPr>
          <w:lang w:bidi="en-US"/>
        </w:rPr>
        <w:tab/>
        <w:t>=</w:t>
      </w:r>
      <w:r w:rsidRPr="00A74CAD">
        <w:rPr>
          <w:lang w:bidi="en-US"/>
        </w:rPr>
        <w:tab/>
        <w:t>standard deviation expressed as a decimal</w:t>
      </w:r>
      <w:r w:rsidR="00467239">
        <w:rPr>
          <w:lang w:bidi="en-US"/>
        </w:rPr>
        <w:t>.</w:t>
      </w:r>
    </w:p>
    <w:p w14:paraId="2F86F1D8" w14:textId="39FB22B0" w:rsidR="00A74CAD" w:rsidRPr="00A74CAD" w:rsidRDefault="00A74CAD" w:rsidP="00CA6ACB">
      <w:pPr>
        <w:pStyle w:val="Bodynumbered1"/>
        <w:numPr>
          <w:ilvl w:val="0"/>
          <w:numId w:val="0"/>
        </w:numPr>
        <w:ind w:left="2977" w:hanging="1984"/>
        <w:rPr>
          <w:lang w:bidi="en-US"/>
        </w:rPr>
      </w:pPr>
      <w:proofErr w:type="spellStart"/>
      <w:r w:rsidRPr="00A3558D">
        <w:rPr>
          <w:i/>
          <w:iCs/>
          <w:lang w:bidi="en-US"/>
        </w:rPr>
        <w:t>CoV</w:t>
      </w:r>
      <w:proofErr w:type="spellEnd"/>
      <w:r w:rsidRPr="00A74CAD">
        <w:rPr>
          <w:lang w:bidi="en-US"/>
        </w:rPr>
        <w:tab/>
        <w:t>=</w:t>
      </w:r>
      <w:r w:rsidRPr="00A74CAD">
        <w:rPr>
          <w:lang w:bidi="en-US"/>
        </w:rPr>
        <w:tab/>
        <w:t xml:space="preserve">coefficient of variation = </w:t>
      </w:r>
      <w:r w:rsidRPr="00A3558D">
        <w:rPr>
          <w:i/>
          <w:iCs/>
          <w:lang w:bidi="en-US"/>
        </w:rPr>
        <w:t>SD</w:t>
      </w:r>
      <w:r w:rsidR="00467239">
        <w:rPr>
          <w:i/>
          <w:iCs/>
          <w:lang w:bidi="en-US"/>
        </w:rPr>
        <w:t xml:space="preserve"> </w:t>
      </w:r>
      <w:r w:rsidR="00467239">
        <w:rPr>
          <w:rFonts w:cs="Arial"/>
          <w:i/>
          <w:iCs/>
          <w:lang w:bidi="en-US"/>
        </w:rPr>
        <w:t>÷</w:t>
      </w:r>
      <w:r w:rsidR="00467239">
        <w:rPr>
          <w:i/>
          <w:iCs/>
          <w:lang w:bidi="en-US"/>
        </w:rPr>
        <w:t xml:space="preserve"> </w:t>
      </w:r>
      <w:proofErr w:type="spellStart"/>
      <w:r w:rsidR="000C3C91" w:rsidRPr="00A3558D">
        <w:rPr>
          <w:i/>
          <w:iCs/>
          <w:lang w:bidi="en-US"/>
        </w:rPr>
        <w:t>Fineness</w:t>
      </w:r>
      <w:r w:rsidR="000C3C91" w:rsidRPr="00A3558D">
        <w:rPr>
          <w:i/>
          <w:iCs/>
          <w:vertAlign w:val="subscript"/>
          <w:lang w:bidi="en-US"/>
        </w:rPr>
        <w:t>average</w:t>
      </w:r>
      <w:proofErr w:type="spellEnd"/>
      <w:r w:rsidR="00467239">
        <w:rPr>
          <w:lang w:bidi="en-US"/>
        </w:rPr>
        <w:t xml:space="preserve"> </w:t>
      </w:r>
      <w:r w:rsidR="00467239">
        <w:rPr>
          <w:rFonts w:cs="Arial"/>
          <w:lang w:bidi="en-US"/>
        </w:rPr>
        <w:t>×</w:t>
      </w:r>
      <w:r w:rsidR="00467239">
        <w:rPr>
          <w:lang w:bidi="en-US"/>
        </w:rPr>
        <w:t xml:space="preserve"> </w:t>
      </w:r>
      <w:r w:rsidRPr="00A74CAD">
        <w:rPr>
          <w:lang w:bidi="en-US"/>
        </w:rPr>
        <w:t>100%</w:t>
      </w:r>
    </w:p>
    <w:p w14:paraId="66F8B8B8" w14:textId="77777777" w:rsidR="00A74CAD" w:rsidRPr="00A74CAD" w:rsidRDefault="00A74CAD" w:rsidP="00A74CAD">
      <w:pPr>
        <w:pStyle w:val="Bodynumbered1"/>
        <w:rPr>
          <w:lang w:bidi="en-US"/>
        </w:rPr>
      </w:pPr>
      <w:bookmarkStart w:id="37" w:name="_Ref64028454"/>
      <w:r w:rsidRPr="00A74CAD">
        <w:rPr>
          <w:lang w:bidi="en-US"/>
        </w:rPr>
        <w:t>Ground granulated iron blast-furnace slag must:</w:t>
      </w:r>
      <w:bookmarkEnd w:id="37"/>
    </w:p>
    <w:p w14:paraId="6ED34F18" w14:textId="77777777" w:rsidR="00A74CAD" w:rsidRPr="00A74CAD" w:rsidRDefault="00A74CAD" w:rsidP="00A3558D">
      <w:pPr>
        <w:pStyle w:val="Bodynumbered2"/>
        <w:numPr>
          <w:ilvl w:val="0"/>
          <w:numId w:val="59"/>
        </w:numPr>
        <w:rPr>
          <w:lang w:bidi="en-US"/>
        </w:rPr>
      </w:pPr>
      <w:r w:rsidRPr="00A74CAD">
        <w:rPr>
          <w:lang w:bidi="en-US"/>
        </w:rPr>
        <w:t xml:space="preserve">comply with ATIC SP43 and AS 3582.2; and </w:t>
      </w:r>
    </w:p>
    <w:p w14:paraId="3B8E4D45" w14:textId="77777777" w:rsidR="00A74CAD" w:rsidRPr="00A74CAD" w:rsidRDefault="00A74CAD" w:rsidP="00A3558D">
      <w:pPr>
        <w:pStyle w:val="Bodynumbered2"/>
        <w:rPr>
          <w:lang w:bidi="en-US"/>
        </w:rPr>
      </w:pPr>
      <w:r w:rsidRPr="00A74CAD">
        <w:rPr>
          <w:lang w:bidi="en-US"/>
        </w:rPr>
        <w:t>conform to the following (calculated conformity with AS/NZS 2350.8 using the 30 most recent successive test results):</w:t>
      </w:r>
    </w:p>
    <w:p w14:paraId="5D372C27" w14:textId="440AA365" w:rsidR="00A74CAD" w:rsidRPr="00A3558D" w:rsidRDefault="00A74CAD" w:rsidP="00A3558D">
      <w:pPr>
        <w:pStyle w:val="Bodynumbered1"/>
        <w:numPr>
          <w:ilvl w:val="0"/>
          <w:numId w:val="0"/>
        </w:numPr>
        <w:ind w:left="993" w:hanging="426"/>
        <w:rPr>
          <w:i/>
          <w:iCs/>
          <w:lang w:bidi="en-US"/>
        </w:rPr>
      </w:pPr>
      <w:r w:rsidRPr="00D6712E">
        <w:rPr>
          <w:lang w:bidi="en-US"/>
        </w:rPr>
        <w:t>(</w:t>
      </w:r>
      <w:proofErr w:type="spellStart"/>
      <w:r w:rsidR="000C3C91" w:rsidRPr="00A3558D">
        <w:rPr>
          <w:i/>
          <w:iCs/>
          <w:lang w:bidi="en-US"/>
        </w:rPr>
        <w:t>Fineness</w:t>
      </w:r>
      <w:r w:rsidR="000C3C91" w:rsidRPr="00A3558D">
        <w:rPr>
          <w:i/>
          <w:iCs/>
          <w:vertAlign w:val="subscript"/>
          <w:lang w:bidi="en-US"/>
        </w:rPr>
        <w:t>average</w:t>
      </w:r>
      <w:proofErr w:type="spellEnd"/>
      <w:r w:rsidRPr="00A3558D">
        <w:rPr>
          <w:i/>
          <w:iCs/>
          <w:lang w:bidi="en-US"/>
        </w:rPr>
        <w:t xml:space="preserve"> – 3SD</w:t>
      </w:r>
      <w:r w:rsidRPr="00D6712E">
        <w:rPr>
          <w:lang w:bidi="en-US"/>
        </w:rPr>
        <w:t>)</w:t>
      </w:r>
      <w:r w:rsidRPr="00A3558D">
        <w:rPr>
          <w:i/>
          <w:iCs/>
          <w:lang w:bidi="en-US"/>
        </w:rPr>
        <w:t xml:space="preserve"> ≤ </w:t>
      </w:r>
      <w:proofErr w:type="spellStart"/>
      <w:r w:rsidR="000C3C91" w:rsidRPr="00A3558D">
        <w:rPr>
          <w:i/>
          <w:iCs/>
          <w:lang w:bidi="en-US"/>
        </w:rPr>
        <w:t>Fineness</w:t>
      </w:r>
      <w:r w:rsidR="000C3C91" w:rsidRPr="00A3558D">
        <w:rPr>
          <w:i/>
          <w:iCs/>
          <w:vertAlign w:val="subscript"/>
          <w:lang w:bidi="en-US"/>
        </w:rPr>
        <w:t>sample</w:t>
      </w:r>
      <w:proofErr w:type="spellEnd"/>
      <w:r w:rsidRPr="00A3558D">
        <w:rPr>
          <w:i/>
          <w:iCs/>
          <w:lang w:bidi="en-US"/>
        </w:rPr>
        <w:t xml:space="preserve"> ≤ </w:t>
      </w:r>
      <w:r w:rsidRPr="00A722DA">
        <w:rPr>
          <w:lang w:bidi="en-US"/>
        </w:rPr>
        <w:t>(</w:t>
      </w:r>
      <w:proofErr w:type="spellStart"/>
      <w:r w:rsidR="000C3C91" w:rsidRPr="00A3558D">
        <w:rPr>
          <w:i/>
          <w:iCs/>
          <w:lang w:bidi="en-US"/>
        </w:rPr>
        <w:t>Fineness</w:t>
      </w:r>
      <w:r w:rsidR="000C3C91" w:rsidRPr="00A3558D">
        <w:rPr>
          <w:i/>
          <w:iCs/>
          <w:vertAlign w:val="subscript"/>
          <w:lang w:bidi="en-US"/>
        </w:rPr>
        <w:t>average</w:t>
      </w:r>
      <w:proofErr w:type="spellEnd"/>
      <w:r w:rsidRPr="00A3558D">
        <w:rPr>
          <w:i/>
          <w:iCs/>
          <w:lang w:bidi="en-US"/>
        </w:rPr>
        <w:t xml:space="preserve"> + 3SD</w:t>
      </w:r>
      <w:r w:rsidRPr="00A722DA">
        <w:rPr>
          <w:lang w:bidi="en-US"/>
        </w:rPr>
        <w:t>)</w:t>
      </w:r>
    </w:p>
    <w:p w14:paraId="28A5B713" w14:textId="672B3062" w:rsidR="00A74CAD" w:rsidRPr="00A74CAD" w:rsidRDefault="00A00AB7" w:rsidP="00A3558D">
      <w:pPr>
        <w:pStyle w:val="Bodynumbered1"/>
        <w:numPr>
          <w:ilvl w:val="0"/>
          <w:numId w:val="0"/>
        </w:numPr>
        <w:ind w:left="993" w:hanging="426"/>
        <w:rPr>
          <w:lang w:bidi="en-US"/>
        </w:rPr>
      </w:pPr>
      <w:r>
        <w:rPr>
          <w:lang w:bidi="en-US"/>
        </w:rPr>
        <w:t>W</w:t>
      </w:r>
      <w:r w:rsidR="00A74CAD" w:rsidRPr="00A74CAD">
        <w:rPr>
          <w:lang w:bidi="en-US"/>
        </w:rPr>
        <w:t>here:</w:t>
      </w:r>
    </w:p>
    <w:p w14:paraId="786D24BF" w14:textId="580B9591" w:rsidR="00A74CAD" w:rsidRPr="00A74CAD" w:rsidRDefault="000C3C91" w:rsidP="002A3BAA">
      <w:pPr>
        <w:pStyle w:val="Bodynumbered1"/>
        <w:numPr>
          <w:ilvl w:val="0"/>
          <w:numId w:val="0"/>
        </w:numPr>
        <w:ind w:left="2977" w:hanging="1984"/>
        <w:rPr>
          <w:lang w:bidi="en-US"/>
        </w:rPr>
      </w:pPr>
      <w:proofErr w:type="spellStart"/>
      <w:r w:rsidRPr="00A3558D">
        <w:rPr>
          <w:i/>
          <w:iCs/>
          <w:lang w:bidi="en-US"/>
        </w:rPr>
        <w:t>Fineness</w:t>
      </w:r>
      <w:r w:rsidRPr="00A3558D">
        <w:rPr>
          <w:i/>
          <w:iCs/>
          <w:vertAlign w:val="subscript"/>
          <w:lang w:bidi="en-US"/>
        </w:rPr>
        <w:t>sample</w:t>
      </w:r>
      <w:proofErr w:type="spellEnd"/>
      <w:r w:rsidR="00A74CAD" w:rsidRPr="00A74CAD">
        <w:rPr>
          <w:lang w:bidi="en-US"/>
        </w:rPr>
        <w:tab/>
        <w:t>=</w:t>
      </w:r>
      <w:r w:rsidR="00A74CAD" w:rsidRPr="00A74CAD">
        <w:rPr>
          <w:lang w:bidi="en-US"/>
        </w:rPr>
        <w:tab/>
        <w:t>individual fineness test result</w:t>
      </w:r>
      <w:r w:rsidR="00A722DA">
        <w:rPr>
          <w:lang w:bidi="en-US"/>
        </w:rPr>
        <w:t>.</w:t>
      </w:r>
    </w:p>
    <w:p w14:paraId="0E27B338" w14:textId="0CF5460C" w:rsidR="00A74CAD" w:rsidRPr="00A74CAD" w:rsidRDefault="000C3C91" w:rsidP="002A3BAA">
      <w:pPr>
        <w:pStyle w:val="Bodynumbered1"/>
        <w:numPr>
          <w:ilvl w:val="0"/>
          <w:numId w:val="0"/>
        </w:numPr>
        <w:ind w:left="2977" w:hanging="1984"/>
        <w:rPr>
          <w:lang w:bidi="en-US"/>
        </w:rPr>
      </w:pPr>
      <w:proofErr w:type="spellStart"/>
      <w:r w:rsidRPr="00A3558D">
        <w:rPr>
          <w:i/>
          <w:iCs/>
          <w:lang w:bidi="en-US"/>
        </w:rPr>
        <w:t>Fineness</w:t>
      </w:r>
      <w:r w:rsidRPr="00A3558D">
        <w:rPr>
          <w:i/>
          <w:iCs/>
          <w:vertAlign w:val="subscript"/>
          <w:lang w:bidi="en-US"/>
        </w:rPr>
        <w:t>average</w:t>
      </w:r>
      <w:proofErr w:type="spellEnd"/>
      <w:r w:rsidR="00A74CAD" w:rsidRPr="00A74CAD">
        <w:rPr>
          <w:lang w:bidi="en-US"/>
        </w:rPr>
        <w:tab/>
        <w:t>=</w:t>
      </w:r>
      <w:r w:rsidR="00A74CAD" w:rsidRPr="00A74CAD">
        <w:rPr>
          <w:lang w:bidi="en-US"/>
        </w:rPr>
        <w:tab/>
        <w:t>mean of fineness test results</w:t>
      </w:r>
      <w:r w:rsidR="00A722DA">
        <w:rPr>
          <w:lang w:bidi="en-US"/>
        </w:rPr>
        <w:t>.</w:t>
      </w:r>
    </w:p>
    <w:p w14:paraId="24131A53" w14:textId="7F058798" w:rsidR="00AB375B" w:rsidRDefault="00A74CAD" w:rsidP="002A3BAA">
      <w:pPr>
        <w:pStyle w:val="Bodynumbered1"/>
        <w:numPr>
          <w:ilvl w:val="0"/>
          <w:numId w:val="0"/>
        </w:numPr>
        <w:ind w:left="2977" w:hanging="1984"/>
        <w:rPr>
          <w:lang w:bidi="en-US"/>
        </w:rPr>
      </w:pPr>
      <w:r w:rsidRPr="00A3558D">
        <w:rPr>
          <w:i/>
          <w:iCs/>
          <w:lang w:bidi="en-US"/>
        </w:rPr>
        <w:t>SD</w:t>
      </w:r>
      <w:r w:rsidRPr="00A74CAD">
        <w:rPr>
          <w:lang w:bidi="en-US"/>
        </w:rPr>
        <w:tab/>
        <w:t>=</w:t>
      </w:r>
      <w:r w:rsidRPr="00A74CAD">
        <w:rPr>
          <w:lang w:bidi="en-US"/>
        </w:rPr>
        <w:tab/>
        <w:t>standard deviation expressed as a decimal</w:t>
      </w:r>
      <w:r w:rsidR="0065410A">
        <w:rPr>
          <w:lang w:bidi="en-US"/>
        </w:rPr>
        <w:t>.</w:t>
      </w:r>
    </w:p>
    <w:p w14:paraId="65F83B3D" w14:textId="55B3502B" w:rsidR="00A74CAD" w:rsidRPr="00A74CAD" w:rsidRDefault="00AB375B" w:rsidP="0012600B">
      <w:pPr>
        <w:rPr>
          <w:lang w:bidi="en-US"/>
        </w:rPr>
      </w:pPr>
      <w:r>
        <w:rPr>
          <w:lang w:bidi="en-US"/>
        </w:rPr>
        <w:br w:type="page"/>
      </w:r>
    </w:p>
    <w:p w14:paraId="022DFE66" w14:textId="77777777" w:rsidR="00771748" w:rsidRPr="00A74CAD" w:rsidRDefault="00771748" w:rsidP="00771748">
      <w:pPr>
        <w:pStyle w:val="Heading2"/>
      </w:pPr>
      <w:bookmarkStart w:id="38" w:name="_Toc64271083"/>
      <w:bookmarkStart w:id="39" w:name="_Toc183614521"/>
      <w:bookmarkStart w:id="40" w:name="_Toc64271085"/>
      <w:r w:rsidRPr="00A74CAD">
        <w:lastRenderedPageBreak/>
        <w:t>Aggregates</w:t>
      </w:r>
      <w:bookmarkEnd w:id="38"/>
      <w:bookmarkEnd w:id="39"/>
    </w:p>
    <w:p w14:paraId="39854B5F" w14:textId="19D96C8A" w:rsidR="00771748" w:rsidRPr="00A74CAD" w:rsidRDefault="00771748" w:rsidP="00771748">
      <w:pPr>
        <w:pStyle w:val="Bodynumbered1"/>
        <w:rPr>
          <w:lang w:bidi="en-US"/>
        </w:rPr>
      </w:pPr>
      <w:bookmarkStart w:id="41" w:name="_Ref64044197"/>
      <w:r w:rsidRPr="00A74CAD">
        <w:rPr>
          <w:lang w:bidi="en-US"/>
        </w:rPr>
        <w:t xml:space="preserve">Fine and coarse </w:t>
      </w:r>
      <w:r w:rsidR="0065410A">
        <w:rPr>
          <w:lang w:bidi="en-US"/>
        </w:rPr>
        <w:t>a</w:t>
      </w:r>
      <w:r w:rsidRPr="00A74CAD">
        <w:rPr>
          <w:lang w:bidi="en-US"/>
        </w:rPr>
        <w:t xml:space="preserve">ggregates must comply with the requirements of Table </w:t>
      </w:r>
      <w:r w:rsidRPr="00A74CAD">
        <w:rPr>
          <w:lang w:bidi="en-US"/>
        </w:rPr>
        <w:fldChar w:fldCharType="begin"/>
      </w:r>
      <w:r w:rsidRPr="00A74CAD">
        <w:rPr>
          <w:lang w:bidi="en-US"/>
        </w:rPr>
        <w:instrText xml:space="preserve"> REF _Ref64044197 \r \h </w:instrText>
      </w:r>
      <w:r w:rsidRPr="00A74CAD">
        <w:rPr>
          <w:lang w:bidi="en-US"/>
        </w:rPr>
      </w:r>
      <w:r w:rsidRPr="00A74CAD">
        <w:rPr>
          <w:lang w:bidi="en-US"/>
        </w:rPr>
        <w:fldChar w:fldCharType="separate"/>
      </w:r>
      <w:r w:rsidR="006544BA">
        <w:rPr>
          <w:lang w:bidi="en-US"/>
        </w:rPr>
        <w:t>5.12</w:t>
      </w:r>
      <w:r w:rsidRPr="00A74CAD">
        <w:fldChar w:fldCharType="end"/>
      </w:r>
      <w:r w:rsidRPr="00A74CAD">
        <w:rPr>
          <w:lang w:bidi="en-US"/>
        </w:rPr>
        <w:t>.</w:t>
      </w:r>
      <w:bookmarkEnd w:id="41"/>
    </w:p>
    <w:p w14:paraId="49A95DD2" w14:textId="4403416A" w:rsidR="00771748" w:rsidRPr="00A74CAD" w:rsidRDefault="00771748" w:rsidP="00A3558D">
      <w:pPr>
        <w:pStyle w:val="Caption"/>
      </w:pPr>
      <w:r w:rsidRPr="00A74CAD">
        <w:t xml:space="preserve">Table </w:t>
      </w:r>
      <w:r w:rsidRPr="00A74CAD">
        <w:fldChar w:fldCharType="begin"/>
      </w:r>
      <w:r w:rsidRPr="00A74CAD">
        <w:instrText xml:space="preserve"> REF _Ref64044197 \r \h </w:instrText>
      </w:r>
      <w:r w:rsidR="00782ED7">
        <w:instrText xml:space="preserve"> \* MERGEFORMAT </w:instrText>
      </w:r>
      <w:r w:rsidRPr="00A74CAD">
        <w:fldChar w:fldCharType="separate"/>
      </w:r>
      <w:r w:rsidR="006544BA">
        <w:t>5.12</w:t>
      </w:r>
      <w:r w:rsidRPr="00A74CAD">
        <w:fldChar w:fldCharType="end"/>
      </w:r>
      <w:r w:rsidR="00DB7A7C">
        <w:t>:</w:t>
      </w:r>
      <w:r w:rsidR="00DB7A7C">
        <w:tab/>
      </w:r>
      <w:r w:rsidRPr="00A74CAD">
        <w:t xml:space="preserve">Aggregate </w:t>
      </w:r>
      <w:r w:rsidR="00DB7A7C" w:rsidRPr="00A74CAD">
        <w:t>properties</w:t>
      </w:r>
    </w:p>
    <w:tbl>
      <w:tblPr>
        <w:tblW w:w="4698" w:type="pct"/>
        <w:tblInd w:w="5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87"/>
        <w:gridCol w:w="2683"/>
        <w:gridCol w:w="2956"/>
      </w:tblGrid>
      <w:tr w:rsidR="00771748" w:rsidRPr="00A74CAD" w14:paraId="0EAD7D96" w14:textId="77777777" w:rsidTr="00A3558D">
        <w:trPr>
          <w:tblHeader/>
        </w:trPr>
        <w:tc>
          <w:tcPr>
            <w:tcW w:w="1841" w:type="pct"/>
            <w:shd w:val="clear" w:color="auto" w:fill="A6A6A6" w:themeFill="background1" w:themeFillShade="A6"/>
          </w:tcPr>
          <w:p w14:paraId="018117C3" w14:textId="77777777" w:rsidR="00771748" w:rsidRPr="00A3558D" w:rsidRDefault="00771748" w:rsidP="00A3558D">
            <w:pPr>
              <w:pStyle w:val="TableHeading"/>
              <w:rPr>
                <w:bCs/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>Property</w:t>
            </w:r>
          </w:p>
        </w:tc>
        <w:tc>
          <w:tcPr>
            <w:tcW w:w="1503" w:type="pct"/>
            <w:shd w:val="clear" w:color="auto" w:fill="A6A6A6" w:themeFill="background1" w:themeFillShade="A6"/>
          </w:tcPr>
          <w:p w14:paraId="5079387B" w14:textId="77777777" w:rsidR="00771748" w:rsidRPr="00A3558D" w:rsidRDefault="00771748" w:rsidP="00A3558D">
            <w:pPr>
              <w:pStyle w:val="TableHeading"/>
              <w:rPr>
                <w:bCs/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 xml:space="preserve">Test Method </w:t>
            </w:r>
          </w:p>
        </w:tc>
        <w:tc>
          <w:tcPr>
            <w:tcW w:w="1656" w:type="pct"/>
            <w:shd w:val="clear" w:color="auto" w:fill="A6A6A6" w:themeFill="background1" w:themeFillShade="A6"/>
          </w:tcPr>
          <w:p w14:paraId="557899B4" w14:textId="77777777" w:rsidR="00771748" w:rsidRPr="00A3558D" w:rsidRDefault="00771748" w:rsidP="00A3558D">
            <w:pPr>
              <w:pStyle w:val="TableHeading"/>
              <w:rPr>
                <w:bCs/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>Requirement</w:t>
            </w:r>
          </w:p>
        </w:tc>
      </w:tr>
      <w:tr w:rsidR="00771748" w:rsidRPr="00A74CAD" w14:paraId="1157D50A" w14:textId="77777777" w:rsidTr="00A3558D">
        <w:tc>
          <w:tcPr>
            <w:tcW w:w="5000" w:type="pct"/>
            <w:gridSpan w:val="3"/>
            <w:shd w:val="clear" w:color="auto" w:fill="A6A6A6" w:themeFill="background1" w:themeFillShade="A6"/>
          </w:tcPr>
          <w:p w14:paraId="30B7AC40" w14:textId="278FE678" w:rsidR="00771748" w:rsidRPr="00A3558D" w:rsidRDefault="00771748" w:rsidP="00A3558D">
            <w:pPr>
              <w:pStyle w:val="TableHeading"/>
              <w:rPr>
                <w:bCs/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 xml:space="preserve">Fine </w:t>
            </w:r>
            <w:r w:rsidR="00137ACC" w:rsidRPr="00137ACC">
              <w:rPr>
                <w:color w:val="auto"/>
                <w:sz w:val="18"/>
                <w:szCs w:val="18"/>
              </w:rPr>
              <w:t>aggregate</w:t>
            </w:r>
          </w:p>
        </w:tc>
      </w:tr>
      <w:tr w:rsidR="00771748" w:rsidRPr="00A74CAD" w14:paraId="3033121B" w14:textId="77777777" w:rsidTr="00A3558D">
        <w:tc>
          <w:tcPr>
            <w:tcW w:w="1841" w:type="pct"/>
            <w:shd w:val="clear" w:color="auto" w:fill="D9D9D9" w:themeFill="background1" w:themeFillShade="D9"/>
          </w:tcPr>
          <w:p w14:paraId="7194A68A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Unit Mass (Bulk Density)</w:t>
            </w:r>
          </w:p>
        </w:tc>
        <w:tc>
          <w:tcPr>
            <w:tcW w:w="1503" w:type="pct"/>
            <w:shd w:val="clear" w:color="auto" w:fill="D9D9D9" w:themeFill="background1" w:themeFillShade="D9"/>
          </w:tcPr>
          <w:p w14:paraId="6EC5E807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AS 1141.4</w:t>
            </w:r>
          </w:p>
        </w:tc>
        <w:tc>
          <w:tcPr>
            <w:tcW w:w="1656" w:type="pct"/>
            <w:shd w:val="clear" w:color="auto" w:fill="D9D9D9" w:themeFill="background1" w:themeFillShade="D9"/>
          </w:tcPr>
          <w:p w14:paraId="396343F6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Min 1200 kg/m</w:t>
            </w:r>
            <w:r w:rsidRPr="00A3558D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771748" w:rsidRPr="00A74CAD" w14:paraId="3685FA28" w14:textId="77777777" w:rsidTr="00A3558D">
        <w:tc>
          <w:tcPr>
            <w:tcW w:w="1841" w:type="pct"/>
            <w:shd w:val="clear" w:color="auto" w:fill="D9D9D9" w:themeFill="background1" w:themeFillShade="D9"/>
          </w:tcPr>
          <w:p w14:paraId="324A5234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br w:type="page"/>
              <w:t>Water Absorption</w:t>
            </w:r>
          </w:p>
        </w:tc>
        <w:tc>
          <w:tcPr>
            <w:tcW w:w="1503" w:type="pct"/>
            <w:shd w:val="clear" w:color="auto" w:fill="D9D9D9" w:themeFill="background1" w:themeFillShade="D9"/>
          </w:tcPr>
          <w:p w14:paraId="684057CD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AS 1141.5</w:t>
            </w:r>
          </w:p>
        </w:tc>
        <w:tc>
          <w:tcPr>
            <w:tcW w:w="1656" w:type="pct"/>
            <w:shd w:val="clear" w:color="auto" w:fill="D9D9D9" w:themeFill="background1" w:themeFillShade="D9"/>
          </w:tcPr>
          <w:p w14:paraId="0775352F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Max 5.0%</w:t>
            </w:r>
          </w:p>
        </w:tc>
      </w:tr>
      <w:tr w:rsidR="00771748" w:rsidRPr="00A74CAD" w14:paraId="206F193F" w14:textId="77777777" w:rsidTr="00A3558D">
        <w:tc>
          <w:tcPr>
            <w:tcW w:w="1841" w:type="pct"/>
            <w:shd w:val="clear" w:color="auto" w:fill="D9D9D9" w:themeFill="background1" w:themeFillShade="D9"/>
          </w:tcPr>
          <w:p w14:paraId="4CDA9F35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Soundness for Fine Aggregate</w:t>
            </w:r>
          </w:p>
        </w:tc>
        <w:tc>
          <w:tcPr>
            <w:tcW w:w="1503" w:type="pct"/>
            <w:shd w:val="clear" w:color="auto" w:fill="D9D9D9" w:themeFill="background1" w:themeFillShade="D9"/>
          </w:tcPr>
          <w:p w14:paraId="7A1A8373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AS 1141.24</w:t>
            </w:r>
          </w:p>
        </w:tc>
        <w:tc>
          <w:tcPr>
            <w:tcW w:w="1656" w:type="pct"/>
            <w:shd w:val="clear" w:color="auto" w:fill="D9D9D9" w:themeFill="background1" w:themeFillShade="D9"/>
          </w:tcPr>
          <w:p w14:paraId="6631D2C1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12% max weighted average loss</w:t>
            </w:r>
          </w:p>
        </w:tc>
      </w:tr>
      <w:tr w:rsidR="00771748" w:rsidRPr="00A74CAD" w14:paraId="58D3D2A8" w14:textId="77777777" w:rsidTr="00A3558D">
        <w:tc>
          <w:tcPr>
            <w:tcW w:w="1841" w:type="pct"/>
            <w:shd w:val="clear" w:color="auto" w:fill="D9D9D9" w:themeFill="background1" w:themeFillShade="D9"/>
          </w:tcPr>
          <w:p w14:paraId="61284546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 xml:space="preserve">Material finer than 2 </w:t>
            </w:r>
            <w:r w:rsidRPr="00A3558D">
              <w:rPr>
                <w:sz w:val="18"/>
                <w:szCs w:val="18"/>
              </w:rPr>
              <w:sym w:font="Symbol" w:char="F06D"/>
            </w:r>
            <w:r w:rsidRPr="00A3558D">
              <w:rPr>
                <w:sz w:val="18"/>
                <w:szCs w:val="18"/>
              </w:rPr>
              <w:t>m</w:t>
            </w:r>
          </w:p>
        </w:tc>
        <w:tc>
          <w:tcPr>
            <w:tcW w:w="1503" w:type="pct"/>
            <w:shd w:val="clear" w:color="auto" w:fill="D9D9D9" w:themeFill="background1" w:themeFillShade="D9"/>
          </w:tcPr>
          <w:p w14:paraId="60F681E4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AS 1141.13</w:t>
            </w:r>
          </w:p>
        </w:tc>
        <w:tc>
          <w:tcPr>
            <w:tcW w:w="1656" w:type="pct"/>
            <w:shd w:val="clear" w:color="auto" w:fill="D9D9D9" w:themeFill="background1" w:themeFillShade="D9"/>
          </w:tcPr>
          <w:p w14:paraId="6BE20482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Max 1%</w:t>
            </w:r>
          </w:p>
        </w:tc>
      </w:tr>
      <w:tr w:rsidR="00771748" w:rsidRPr="00A74CAD" w14:paraId="6B75CA18" w14:textId="77777777" w:rsidTr="00A3558D">
        <w:tc>
          <w:tcPr>
            <w:tcW w:w="5000" w:type="pct"/>
            <w:gridSpan w:val="3"/>
            <w:shd w:val="clear" w:color="auto" w:fill="A6A6A6" w:themeFill="background1" w:themeFillShade="A6"/>
          </w:tcPr>
          <w:p w14:paraId="5145525E" w14:textId="0F433D0A" w:rsidR="00771748" w:rsidRPr="00A3558D" w:rsidRDefault="00771748" w:rsidP="00A3558D">
            <w:pPr>
              <w:pStyle w:val="TableHeading"/>
              <w:rPr>
                <w:bCs/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 xml:space="preserve">Coarse </w:t>
            </w:r>
            <w:r w:rsidR="00892285" w:rsidRPr="00892285">
              <w:rPr>
                <w:color w:val="auto"/>
                <w:sz w:val="18"/>
                <w:szCs w:val="18"/>
              </w:rPr>
              <w:t>aggregate</w:t>
            </w:r>
          </w:p>
        </w:tc>
      </w:tr>
      <w:tr w:rsidR="00771748" w:rsidRPr="00A74CAD" w14:paraId="2EC13B7A" w14:textId="77777777" w:rsidTr="00A3558D">
        <w:tc>
          <w:tcPr>
            <w:tcW w:w="1841" w:type="pct"/>
            <w:shd w:val="clear" w:color="auto" w:fill="D9D9D9" w:themeFill="background1" w:themeFillShade="D9"/>
          </w:tcPr>
          <w:p w14:paraId="20D6F4C7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Unit Mass (Bulk Density)</w:t>
            </w:r>
          </w:p>
        </w:tc>
        <w:tc>
          <w:tcPr>
            <w:tcW w:w="1503" w:type="pct"/>
            <w:shd w:val="clear" w:color="auto" w:fill="D9D9D9" w:themeFill="background1" w:themeFillShade="D9"/>
          </w:tcPr>
          <w:p w14:paraId="71794C15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AS 1141.4</w:t>
            </w:r>
          </w:p>
        </w:tc>
        <w:tc>
          <w:tcPr>
            <w:tcW w:w="1656" w:type="pct"/>
            <w:shd w:val="clear" w:color="auto" w:fill="D9D9D9" w:themeFill="background1" w:themeFillShade="D9"/>
          </w:tcPr>
          <w:p w14:paraId="5568C102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Min 1200 kg/m</w:t>
            </w:r>
            <w:r w:rsidRPr="00A3558D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771748" w:rsidRPr="00A74CAD" w14:paraId="1510F33A" w14:textId="77777777" w:rsidTr="00A3558D">
        <w:tc>
          <w:tcPr>
            <w:tcW w:w="1841" w:type="pct"/>
            <w:shd w:val="clear" w:color="auto" w:fill="D9D9D9" w:themeFill="background1" w:themeFillShade="D9"/>
          </w:tcPr>
          <w:p w14:paraId="46137151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br w:type="page"/>
              <w:t>Water Absorption</w:t>
            </w:r>
          </w:p>
        </w:tc>
        <w:tc>
          <w:tcPr>
            <w:tcW w:w="1503" w:type="pct"/>
            <w:shd w:val="clear" w:color="auto" w:fill="D9D9D9" w:themeFill="background1" w:themeFillShade="D9"/>
          </w:tcPr>
          <w:p w14:paraId="72EEFA87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AS 1141.5</w:t>
            </w:r>
            <w:r w:rsidRPr="00A3558D">
              <w:rPr>
                <w:sz w:val="18"/>
                <w:szCs w:val="18"/>
              </w:rPr>
              <w:br/>
              <w:t>AS 1141.6.1</w:t>
            </w:r>
          </w:p>
        </w:tc>
        <w:tc>
          <w:tcPr>
            <w:tcW w:w="1656" w:type="pct"/>
            <w:shd w:val="clear" w:color="auto" w:fill="D9D9D9" w:themeFill="background1" w:themeFillShade="D9"/>
          </w:tcPr>
          <w:p w14:paraId="550DFF88" w14:textId="4BF15C32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Max 5.0%</w:t>
            </w:r>
            <w:r w:rsidRPr="00A3558D">
              <w:rPr>
                <w:sz w:val="18"/>
                <w:szCs w:val="18"/>
              </w:rPr>
              <w:br/>
              <w:t xml:space="preserve">(slag aggregate </w:t>
            </w:r>
            <w:r w:rsidR="00065FBC">
              <w:rPr>
                <w:sz w:val="18"/>
                <w:szCs w:val="18"/>
              </w:rPr>
              <w:t>–</w:t>
            </w:r>
            <w:r w:rsidRPr="00A3558D">
              <w:rPr>
                <w:sz w:val="18"/>
                <w:szCs w:val="18"/>
              </w:rPr>
              <w:t xml:space="preserve"> Max 6.0%)</w:t>
            </w:r>
          </w:p>
        </w:tc>
      </w:tr>
      <w:tr w:rsidR="00771748" w:rsidRPr="00A74CAD" w14:paraId="2BD0A874" w14:textId="77777777" w:rsidTr="00A3558D">
        <w:tc>
          <w:tcPr>
            <w:tcW w:w="1841" w:type="pct"/>
            <w:shd w:val="clear" w:color="auto" w:fill="D9D9D9" w:themeFill="background1" w:themeFillShade="D9"/>
          </w:tcPr>
          <w:p w14:paraId="464FC459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 xml:space="preserve">Material finer than 75 </w:t>
            </w:r>
            <w:r w:rsidRPr="00A3558D">
              <w:rPr>
                <w:sz w:val="18"/>
                <w:szCs w:val="18"/>
              </w:rPr>
              <w:sym w:font="Symbol" w:char="F06D"/>
            </w:r>
            <w:r w:rsidRPr="00A3558D">
              <w:rPr>
                <w:sz w:val="18"/>
                <w:szCs w:val="18"/>
              </w:rPr>
              <w:t>m</w:t>
            </w:r>
          </w:p>
        </w:tc>
        <w:tc>
          <w:tcPr>
            <w:tcW w:w="1503" w:type="pct"/>
            <w:shd w:val="clear" w:color="auto" w:fill="D9D9D9" w:themeFill="background1" w:themeFillShade="D9"/>
          </w:tcPr>
          <w:p w14:paraId="7D2C60B9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AS 1141.12</w:t>
            </w:r>
          </w:p>
        </w:tc>
        <w:tc>
          <w:tcPr>
            <w:tcW w:w="1656" w:type="pct"/>
            <w:shd w:val="clear" w:color="auto" w:fill="D9D9D9" w:themeFill="background1" w:themeFillShade="D9"/>
          </w:tcPr>
          <w:p w14:paraId="2A87839B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Max 10%</w:t>
            </w:r>
          </w:p>
        </w:tc>
      </w:tr>
      <w:tr w:rsidR="00771748" w:rsidRPr="00A74CAD" w14:paraId="73B0E94E" w14:textId="77777777" w:rsidTr="00A3558D">
        <w:tc>
          <w:tcPr>
            <w:tcW w:w="1841" w:type="pct"/>
            <w:shd w:val="clear" w:color="auto" w:fill="D9D9D9" w:themeFill="background1" w:themeFillShade="D9"/>
          </w:tcPr>
          <w:p w14:paraId="7EDB2721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 xml:space="preserve">Wet Strength </w:t>
            </w:r>
          </w:p>
        </w:tc>
        <w:tc>
          <w:tcPr>
            <w:tcW w:w="1503" w:type="pct"/>
            <w:shd w:val="clear" w:color="auto" w:fill="D9D9D9" w:themeFill="background1" w:themeFillShade="D9"/>
          </w:tcPr>
          <w:p w14:paraId="387917A6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proofErr w:type="spellStart"/>
            <w:r w:rsidRPr="00A3558D">
              <w:rPr>
                <w:sz w:val="18"/>
                <w:szCs w:val="18"/>
              </w:rPr>
              <w:t>TfNSW</w:t>
            </w:r>
            <w:proofErr w:type="spellEnd"/>
            <w:r w:rsidRPr="00A3558D">
              <w:rPr>
                <w:sz w:val="18"/>
                <w:szCs w:val="18"/>
              </w:rPr>
              <w:t xml:space="preserve"> T215</w:t>
            </w:r>
          </w:p>
        </w:tc>
        <w:tc>
          <w:tcPr>
            <w:tcW w:w="1656" w:type="pct"/>
            <w:shd w:val="clear" w:color="auto" w:fill="D9D9D9" w:themeFill="background1" w:themeFillShade="D9"/>
          </w:tcPr>
          <w:p w14:paraId="188CFC1F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 xml:space="preserve">Min 50 </w:t>
            </w:r>
            <w:proofErr w:type="spellStart"/>
            <w:r w:rsidRPr="00A3558D">
              <w:rPr>
                <w:sz w:val="18"/>
                <w:szCs w:val="18"/>
              </w:rPr>
              <w:t>kN</w:t>
            </w:r>
            <w:proofErr w:type="spellEnd"/>
          </w:p>
        </w:tc>
      </w:tr>
      <w:tr w:rsidR="00771748" w:rsidRPr="00A74CAD" w14:paraId="7080D365" w14:textId="77777777" w:rsidTr="00A3558D">
        <w:tc>
          <w:tcPr>
            <w:tcW w:w="1841" w:type="pct"/>
            <w:shd w:val="clear" w:color="auto" w:fill="D9D9D9" w:themeFill="background1" w:themeFillShade="D9"/>
          </w:tcPr>
          <w:p w14:paraId="64F35071" w14:textId="3A138068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Wet/Dry Strength Variation</w:t>
            </w:r>
          </w:p>
        </w:tc>
        <w:tc>
          <w:tcPr>
            <w:tcW w:w="1503" w:type="pct"/>
            <w:shd w:val="clear" w:color="auto" w:fill="D9D9D9" w:themeFill="background1" w:themeFillShade="D9"/>
          </w:tcPr>
          <w:p w14:paraId="6561E9AC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proofErr w:type="spellStart"/>
            <w:r w:rsidRPr="00A3558D">
              <w:rPr>
                <w:sz w:val="18"/>
                <w:szCs w:val="18"/>
              </w:rPr>
              <w:t>TfNSW</w:t>
            </w:r>
            <w:proofErr w:type="spellEnd"/>
            <w:r w:rsidRPr="00A3558D">
              <w:rPr>
                <w:sz w:val="18"/>
                <w:szCs w:val="18"/>
              </w:rPr>
              <w:t xml:space="preserve"> T215</w:t>
            </w:r>
          </w:p>
        </w:tc>
        <w:tc>
          <w:tcPr>
            <w:tcW w:w="1656" w:type="pct"/>
            <w:shd w:val="clear" w:color="auto" w:fill="D9D9D9" w:themeFill="background1" w:themeFillShade="D9"/>
          </w:tcPr>
          <w:p w14:paraId="784E5787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Max 35%</w:t>
            </w:r>
          </w:p>
        </w:tc>
      </w:tr>
      <w:tr w:rsidR="00771748" w:rsidRPr="00A74CAD" w14:paraId="14C95335" w14:textId="77777777" w:rsidTr="00A3558D">
        <w:tc>
          <w:tcPr>
            <w:tcW w:w="1841" w:type="pct"/>
            <w:shd w:val="clear" w:color="auto" w:fill="D9D9D9" w:themeFill="background1" w:themeFillShade="D9"/>
          </w:tcPr>
          <w:p w14:paraId="193AC58D" w14:textId="056AB818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Particle Shape: 2:1 ratio</w:t>
            </w:r>
            <w:r w:rsidRPr="00A3558D">
              <w:rPr>
                <w:sz w:val="18"/>
                <w:szCs w:val="18"/>
              </w:rPr>
              <w:br/>
              <w:t>3:1 ratio</w:t>
            </w:r>
          </w:p>
        </w:tc>
        <w:tc>
          <w:tcPr>
            <w:tcW w:w="1503" w:type="pct"/>
            <w:shd w:val="clear" w:color="auto" w:fill="D9D9D9" w:themeFill="background1" w:themeFillShade="D9"/>
          </w:tcPr>
          <w:p w14:paraId="7EB96F70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AS 1141.14</w:t>
            </w:r>
            <w:r w:rsidRPr="00A3558D">
              <w:rPr>
                <w:sz w:val="18"/>
                <w:szCs w:val="18"/>
              </w:rPr>
              <w:br/>
              <w:t>AS 1141.14</w:t>
            </w:r>
          </w:p>
        </w:tc>
        <w:tc>
          <w:tcPr>
            <w:tcW w:w="1656" w:type="pct"/>
            <w:shd w:val="clear" w:color="auto" w:fill="D9D9D9" w:themeFill="background1" w:themeFillShade="D9"/>
          </w:tcPr>
          <w:p w14:paraId="2AF504E3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Max 35%</w:t>
            </w:r>
            <w:r w:rsidRPr="00A3558D">
              <w:rPr>
                <w:sz w:val="18"/>
                <w:szCs w:val="18"/>
              </w:rPr>
              <w:br/>
              <w:t>Max 10%</w:t>
            </w:r>
          </w:p>
        </w:tc>
      </w:tr>
    </w:tbl>
    <w:p w14:paraId="0A89CA76" w14:textId="7DB9D1D4" w:rsidR="00771748" w:rsidRPr="00A74CAD" w:rsidRDefault="00771748" w:rsidP="00771748">
      <w:pPr>
        <w:pStyle w:val="Bodynumbered1"/>
        <w:rPr>
          <w:lang w:bidi="en-US"/>
        </w:rPr>
      </w:pPr>
      <w:bookmarkStart w:id="42" w:name="_Ref64044213"/>
      <w:bookmarkStart w:id="43" w:name="_Ref64271515"/>
      <w:r w:rsidRPr="00A74CAD">
        <w:rPr>
          <w:lang w:bidi="en-US"/>
        </w:rPr>
        <w:t xml:space="preserve">The combined particle size distribution must be in accordance with Table </w:t>
      </w:r>
      <w:r w:rsidRPr="00A74CAD">
        <w:rPr>
          <w:lang w:bidi="en-US"/>
        </w:rPr>
        <w:fldChar w:fldCharType="begin"/>
      </w:r>
      <w:r w:rsidRPr="00A74CAD">
        <w:rPr>
          <w:lang w:bidi="en-US"/>
        </w:rPr>
        <w:instrText xml:space="preserve"> REF _Ref64271515 \r \h </w:instrText>
      </w:r>
      <w:r w:rsidRPr="00A74CAD">
        <w:rPr>
          <w:lang w:bidi="en-US"/>
        </w:rPr>
      </w:r>
      <w:r w:rsidRPr="00A74CAD">
        <w:rPr>
          <w:lang w:bidi="en-US"/>
        </w:rPr>
        <w:fldChar w:fldCharType="separate"/>
      </w:r>
      <w:r w:rsidR="006544BA">
        <w:rPr>
          <w:lang w:bidi="en-US"/>
        </w:rPr>
        <w:t>5.13</w:t>
      </w:r>
      <w:r w:rsidRPr="00A74CAD">
        <w:fldChar w:fldCharType="end"/>
      </w:r>
      <w:r w:rsidRPr="00A74CAD">
        <w:rPr>
          <w:lang w:bidi="en-US"/>
        </w:rPr>
        <w:t>.</w:t>
      </w:r>
      <w:bookmarkEnd w:id="42"/>
      <w:bookmarkEnd w:id="43"/>
    </w:p>
    <w:p w14:paraId="6328B8CD" w14:textId="1931D9BE" w:rsidR="00771748" w:rsidRPr="00A74CAD" w:rsidRDefault="00771748" w:rsidP="00A3558D">
      <w:pPr>
        <w:pStyle w:val="Caption"/>
      </w:pPr>
      <w:r w:rsidRPr="00A74CAD">
        <w:t xml:space="preserve">Table </w:t>
      </w:r>
      <w:r w:rsidRPr="00A74CAD">
        <w:fldChar w:fldCharType="begin"/>
      </w:r>
      <w:r w:rsidRPr="00A74CAD">
        <w:instrText xml:space="preserve"> REF _Ref64271515 \r \h </w:instrText>
      </w:r>
      <w:r w:rsidR="00245520">
        <w:instrText xml:space="preserve"> \* MERGEFORMAT </w:instrText>
      </w:r>
      <w:r w:rsidRPr="00A74CAD">
        <w:fldChar w:fldCharType="separate"/>
      </w:r>
      <w:r w:rsidR="006544BA">
        <w:t>5.13</w:t>
      </w:r>
      <w:r w:rsidRPr="00A74CAD">
        <w:fldChar w:fldCharType="end"/>
      </w:r>
      <w:r w:rsidR="00A327BF">
        <w:t>:</w:t>
      </w:r>
      <w:r w:rsidR="00A327BF">
        <w:tab/>
      </w:r>
      <w:r w:rsidRPr="00A74CAD">
        <w:t xml:space="preserve">Combined </w:t>
      </w:r>
      <w:r w:rsidR="00A327BF" w:rsidRPr="00A74CAD">
        <w:t>particle size distribution</w:t>
      </w:r>
    </w:p>
    <w:tbl>
      <w:tblPr>
        <w:tblW w:w="4698" w:type="pct"/>
        <w:tblInd w:w="5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54"/>
        <w:gridCol w:w="4972"/>
      </w:tblGrid>
      <w:tr w:rsidR="00771748" w:rsidRPr="00A74CAD" w14:paraId="17FD9218" w14:textId="77777777" w:rsidTr="00A3558D">
        <w:tc>
          <w:tcPr>
            <w:tcW w:w="2215" w:type="pct"/>
            <w:shd w:val="clear" w:color="auto" w:fill="A6A6A6" w:themeFill="background1" w:themeFillShade="A6"/>
          </w:tcPr>
          <w:p w14:paraId="2C46898F" w14:textId="10EB7CFB" w:rsidR="00771748" w:rsidRPr="00A3558D" w:rsidRDefault="00771748" w:rsidP="00A3558D">
            <w:pPr>
              <w:pStyle w:val="TableHeading"/>
              <w:rPr>
                <w:bCs/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 xml:space="preserve">AS </w:t>
            </w:r>
            <w:r w:rsidR="00A327BF" w:rsidRPr="00A327BF">
              <w:rPr>
                <w:color w:val="auto"/>
                <w:sz w:val="18"/>
                <w:szCs w:val="18"/>
              </w:rPr>
              <w:t xml:space="preserve">sieve size </w:t>
            </w:r>
            <w:r w:rsidRPr="00A3558D">
              <w:rPr>
                <w:color w:val="auto"/>
                <w:sz w:val="18"/>
                <w:szCs w:val="18"/>
              </w:rPr>
              <w:t>(mm)</w:t>
            </w:r>
          </w:p>
        </w:tc>
        <w:tc>
          <w:tcPr>
            <w:tcW w:w="2785" w:type="pct"/>
            <w:shd w:val="clear" w:color="auto" w:fill="A6A6A6" w:themeFill="background1" w:themeFillShade="A6"/>
          </w:tcPr>
          <w:p w14:paraId="2917FACF" w14:textId="287B1E33" w:rsidR="00771748" w:rsidRPr="00A3558D" w:rsidRDefault="00771748" w:rsidP="00A3558D">
            <w:pPr>
              <w:pStyle w:val="TableHeading"/>
              <w:rPr>
                <w:bCs/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>Percent passing by mass (AS 1141.11)</w:t>
            </w:r>
          </w:p>
        </w:tc>
      </w:tr>
      <w:tr w:rsidR="00771748" w:rsidRPr="00A74CAD" w14:paraId="11921D0E" w14:textId="77777777" w:rsidTr="00A3558D">
        <w:tc>
          <w:tcPr>
            <w:tcW w:w="2215" w:type="pct"/>
            <w:shd w:val="clear" w:color="auto" w:fill="D9D9D9" w:themeFill="background1" w:themeFillShade="D9"/>
          </w:tcPr>
          <w:p w14:paraId="75DA73B7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26.5</w:t>
            </w:r>
          </w:p>
        </w:tc>
        <w:tc>
          <w:tcPr>
            <w:tcW w:w="2785" w:type="pct"/>
            <w:shd w:val="clear" w:color="auto" w:fill="D9D9D9" w:themeFill="background1" w:themeFillShade="D9"/>
          </w:tcPr>
          <w:p w14:paraId="58961AE1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100</w:t>
            </w:r>
          </w:p>
        </w:tc>
      </w:tr>
      <w:tr w:rsidR="00771748" w:rsidRPr="00A74CAD" w14:paraId="0529726F" w14:textId="77777777" w:rsidTr="00A3558D">
        <w:tc>
          <w:tcPr>
            <w:tcW w:w="2215" w:type="pct"/>
            <w:shd w:val="clear" w:color="auto" w:fill="D9D9D9" w:themeFill="background1" w:themeFillShade="D9"/>
          </w:tcPr>
          <w:p w14:paraId="2D716A78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19.0</w:t>
            </w:r>
          </w:p>
        </w:tc>
        <w:tc>
          <w:tcPr>
            <w:tcW w:w="2785" w:type="pct"/>
            <w:shd w:val="clear" w:color="auto" w:fill="D9D9D9" w:themeFill="background1" w:themeFillShade="D9"/>
          </w:tcPr>
          <w:p w14:paraId="730E42E6" w14:textId="2526997F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90-100</w:t>
            </w:r>
          </w:p>
        </w:tc>
      </w:tr>
      <w:tr w:rsidR="00771748" w:rsidRPr="00A74CAD" w14:paraId="4970D637" w14:textId="77777777" w:rsidTr="00A3558D">
        <w:tc>
          <w:tcPr>
            <w:tcW w:w="2215" w:type="pct"/>
            <w:shd w:val="clear" w:color="auto" w:fill="D9D9D9" w:themeFill="background1" w:themeFillShade="D9"/>
          </w:tcPr>
          <w:p w14:paraId="2217CFFD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13.2</w:t>
            </w:r>
          </w:p>
        </w:tc>
        <w:tc>
          <w:tcPr>
            <w:tcW w:w="2785" w:type="pct"/>
            <w:shd w:val="clear" w:color="auto" w:fill="D9D9D9" w:themeFill="background1" w:themeFillShade="D9"/>
          </w:tcPr>
          <w:p w14:paraId="0692D137" w14:textId="26D8B3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70-90</w:t>
            </w:r>
          </w:p>
        </w:tc>
      </w:tr>
      <w:tr w:rsidR="00771748" w:rsidRPr="00A74CAD" w14:paraId="5ED18594" w14:textId="77777777" w:rsidTr="00A3558D">
        <w:tc>
          <w:tcPr>
            <w:tcW w:w="2215" w:type="pct"/>
            <w:shd w:val="clear" w:color="auto" w:fill="D9D9D9" w:themeFill="background1" w:themeFillShade="D9"/>
          </w:tcPr>
          <w:p w14:paraId="08D6CE68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6.7</w:t>
            </w:r>
          </w:p>
        </w:tc>
        <w:tc>
          <w:tcPr>
            <w:tcW w:w="2785" w:type="pct"/>
            <w:shd w:val="clear" w:color="auto" w:fill="D9D9D9" w:themeFill="background1" w:themeFillShade="D9"/>
          </w:tcPr>
          <w:p w14:paraId="33B917C4" w14:textId="23482173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50-70</w:t>
            </w:r>
          </w:p>
        </w:tc>
      </w:tr>
      <w:tr w:rsidR="00771748" w:rsidRPr="00A74CAD" w14:paraId="787640AE" w14:textId="77777777" w:rsidTr="00A3558D">
        <w:tc>
          <w:tcPr>
            <w:tcW w:w="2215" w:type="pct"/>
            <w:shd w:val="clear" w:color="auto" w:fill="D9D9D9" w:themeFill="background1" w:themeFillShade="D9"/>
          </w:tcPr>
          <w:p w14:paraId="26FE74A1" w14:textId="77777777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2.36</w:t>
            </w:r>
          </w:p>
        </w:tc>
        <w:tc>
          <w:tcPr>
            <w:tcW w:w="2785" w:type="pct"/>
            <w:shd w:val="clear" w:color="auto" w:fill="D9D9D9" w:themeFill="background1" w:themeFillShade="D9"/>
          </w:tcPr>
          <w:p w14:paraId="0ACD139E" w14:textId="35167B92" w:rsidR="00771748" w:rsidRPr="00A3558D" w:rsidRDefault="00771748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30-45</w:t>
            </w:r>
          </w:p>
        </w:tc>
      </w:tr>
    </w:tbl>
    <w:p w14:paraId="0BE5B7B9" w14:textId="77777777" w:rsidR="00A74CAD" w:rsidRPr="00A74CAD" w:rsidRDefault="00A74CAD" w:rsidP="000C3C91">
      <w:pPr>
        <w:pStyle w:val="Heading2"/>
      </w:pPr>
      <w:bookmarkStart w:id="44" w:name="_Toc183614522"/>
      <w:r w:rsidRPr="00A74CAD">
        <w:t>Water</w:t>
      </w:r>
      <w:bookmarkEnd w:id="40"/>
      <w:bookmarkEnd w:id="44"/>
    </w:p>
    <w:p w14:paraId="7816AF46" w14:textId="63833E8F" w:rsidR="006F5A41" w:rsidRDefault="006F5A41" w:rsidP="006F5A41">
      <w:pPr>
        <w:pStyle w:val="Bodynumbered1"/>
        <w:rPr>
          <w:lang w:bidi="en-US"/>
        </w:rPr>
      </w:pPr>
      <w:bookmarkStart w:id="45" w:name="_Ref64039931"/>
      <w:r>
        <w:rPr>
          <w:lang w:bidi="en-US"/>
        </w:rPr>
        <w:t xml:space="preserve">Water must be free from amounts of materials </w:t>
      </w:r>
      <w:r w:rsidR="00C74784">
        <w:rPr>
          <w:lang w:bidi="en-US"/>
        </w:rPr>
        <w:t xml:space="preserve">that </w:t>
      </w:r>
      <w:r>
        <w:rPr>
          <w:lang w:bidi="en-US"/>
        </w:rPr>
        <w:t xml:space="preserve">are injurious to the </w:t>
      </w:r>
      <w:r w:rsidR="00A2465C">
        <w:rPr>
          <w:lang w:bidi="en-US"/>
        </w:rPr>
        <w:t>R</w:t>
      </w:r>
      <w:r>
        <w:rPr>
          <w:lang w:bidi="en-US"/>
        </w:rPr>
        <w:t xml:space="preserve">oller </w:t>
      </w:r>
      <w:r w:rsidR="00A2465C">
        <w:rPr>
          <w:lang w:bidi="en-US"/>
        </w:rPr>
        <w:t>C</w:t>
      </w:r>
      <w:r>
        <w:rPr>
          <w:lang w:bidi="en-US"/>
        </w:rPr>
        <w:t xml:space="preserve">ompacted </w:t>
      </w:r>
      <w:r w:rsidR="00A2465C">
        <w:rPr>
          <w:lang w:bidi="en-US"/>
        </w:rPr>
        <w:t>C</w:t>
      </w:r>
      <w:r>
        <w:rPr>
          <w:lang w:bidi="en-US"/>
        </w:rPr>
        <w:t xml:space="preserve">oncrete such as oils, salts, acids, alkalis and vegetable substances. Water taken from </w:t>
      </w:r>
      <w:r w:rsidR="00C74784">
        <w:rPr>
          <w:lang w:bidi="en-US"/>
        </w:rPr>
        <w:t xml:space="preserve">somewhere </w:t>
      </w:r>
      <w:r>
        <w:rPr>
          <w:lang w:bidi="en-US"/>
        </w:rPr>
        <w:t>other than a town water supply system must not contain more than:</w:t>
      </w:r>
    </w:p>
    <w:p w14:paraId="194F0DCA" w14:textId="2329666F" w:rsidR="006F5A41" w:rsidRDefault="006F5A41" w:rsidP="00A3558D">
      <w:pPr>
        <w:pStyle w:val="Bodynumbered2"/>
        <w:numPr>
          <w:ilvl w:val="0"/>
          <w:numId w:val="58"/>
        </w:numPr>
        <w:rPr>
          <w:lang w:bidi="en-US"/>
        </w:rPr>
      </w:pPr>
      <w:r>
        <w:rPr>
          <w:lang w:bidi="en-US"/>
        </w:rPr>
        <w:t>600 parts per million of chloride ion</w:t>
      </w:r>
      <w:r w:rsidR="004D1008">
        <w:rPr>
          <w:lang w:bidi="en-US"/>
        </w:rPr>
        <w:t>,</w:t>
      </w:r>
      <w:r>
        <w:rPr>
          <w:lang w:bidi="en-US"/>
        </w:rPr>
        <w:t xml:space="preserve"> in accordance with </w:t>
      </w:r>
      <w:proofErr w:type="spellStart"/>
      <w:r>
        <w:rPr>
          <w:lang w:bidi="en-US"/>
        </w:rPr>
        <w:t>TfNSW</w:t>
      </w:r>
      <w:proofErr w:type="spellEnd"/>
      <w:r>
        <w:rPr>
          <w:lang w:bidi="en-US"/>
        </w:rPr>
        <w:t xml:space="preserve"> T1004;</w:t>
      </w:r>
    </w:p>
    <w:p w14:paraId="08D0AD84" w14:textId="34FEB480" w:rsidR="006F5A41" w:rsidRDefault="006F5A41" w:rsidP="00A3558D">
      <w:pPr>
        <w:pStyle w:val="Bodynumbered2"/>
        <w:rPr>
          <w:lang w:bidi="en-US"/>
        </w:rPr>
      </w:pPr>
      <w:r>
        <w:rPr>
          <w:lang w:bidi="en-US"/>
        </w:rPr>
        <w:t>400 parts per million of sulphate ion</w:t>
      </w:r>
      <w:r w:rsidR="004D1008">
        <w:rPr>
          <w:lang w:bidi="en-US"/>
        </w:rPr>
        <w:t>,</w:t>
      </w:r>
      <w:r>
        <w:rPr>
          <w:lang w:bidi="en-US"/>
        </w:rPr>
        <w:t xml:space="preserve"> in accordance with </w:t>
      </w:r>
      <w:proofErr w:type="spellStart"/>
      <w:r>
        <w:rPr>
          <w:lang w:bidi="en-US"/>
        </w:rPr>
        <w:t>TfNSW</w:t>
      </w:r>
      <w:proofErr w:type="spellEnd"/>
      <w:r>
        <w:rPr>
          <w:lang w:bidi="en-US"/>
        </w:rPr>
        <w:t xml:space="preserve"> T1014</w:t>
      </w:r>
      <w:r w:rsidRPr="006F5A41">
        <w:rPr>
          <w:lang w:bidi="en-US"/>
        </w:rPr>
        <w:t xml:space="preserve"> </w:t>
      </w:r>
      <w:r>
        <w:rPr>
          <w:lang w:bidi="en-US"/>
        </w:rPr>
        <w:t xml:space="preserve">or </w:t>
      </w:r>
      <w:r w:rsidRPr="00A74CAD">
        <w:rPr>
          <w:lang w:bidi="en-US"/>
        </w:rPr>
        <w:t>AS 1289.4.2.1</w:t>
      </w:r>
      <w:r>
        <w:rPr>
          <w:lang w:bidi="en-US"/>
        </w:rPr>
        <w:t>; and</w:t>
      </w:r>
    </w:p>
    <w:p w14:paraId="379939EA" w14:textId="19825A48" w:rsidR="006F5A41" w:rsidRDefault="006F5A41" w:rsidP="00A3558D">
      <w:pPr>
        <w:pStyle w:val="Bodynumbered2"/>
        <w:rPr>
          <w:lang w:bidi="en-US"/>
        </w:rPr>
      </w:pPr>
      <w:r>
        <w:rPr>
          <w:lang w:bidi="en-US"/>
        </w:rPr>
        <w:t>1% by mass of undissolved solids</w:t>
      </w:r>
      <w:r w:rsidR="004D1008">
        <w:rPr>
          <w:lang w:bidi="en-US"/>
        </w:rPr>
        <w:t>,</w:t>
      </w:r>
      <w:r>
        <w:rPr>
          <w:lang w:bidi="en-US"/>
        </w:rPr>
        <w:t xml:space="preserve"> in accordance with AS 3550.4.</w:t>
      </w:r>
    </w:p>
    <w:p w14:paraId="179E6524" w14:textId="77777777" w:rsidR="00A74CAD" w:rsidRPr="00A74CAD" w:rsidRDefault="00A74CAD" w:rsidP="000C3C91">
      <w:pPr>
        <w:pStyle w:val="Heading2"/>
      </w:pPr>
      <w:bookmarkStart w:id="46" w:name="_Toc64271086"/>
      <w:bookmarkStart w:id="47" w:name="_Toc183614523"/>
      <w:bookmarkEnd w:id="45"/>
      <w:r w:rsidRPr="00A74CAD">
        <w:t>Admixtures</w:t>
      </w:r>
      <w:bookmarkEnd w:id="46"/>
      <w:bookmarkEnd w:id="47"/>
    </w:p>
    <w:p w14:paraId="329ACAD4" w14:textId="77777777" w:rsidR="00A74CAD" w:rsidRPr="00A74CAD" w:rsidRDefault="00A74CAD" w:rsidP="00A74CAD">
      <w:pPr>
        <w:pStyle w:val="Bodynumbered1"/>
        <w:rPr>
          <w:lang w:bidi="en-US"/>
        </w:rPr>
      </w:pPr>
      <w:bookmarkStart w:id="48" w:name="_Ref64271869"/>
      <w:r w:rsidRPr="00A74CAD">
        <w:rPr>
          <w:lang w:bidi="en-US"/>
        </w:rPr>
        <w:t xml:space="preserve">Chemical admixtures and their use must comply with AS 1478, but they must not contain calcium chloride, calcium </w:t>
      </w:r>
      <w:proofErr w:type="spellStart"/>
      <w:r w:rsidRPr="00A74CAD">
        <w:rPr>
          <w:lang w:bidi="en-US"/>
        </w:rPr>
        <w:t>formate</w:t>
      </w:r>
      <w:proofErr w:type="spellEnd"/>
      <w:r w:rsidRPr="00A74CAD">
        <w:rPr>
          <w:lang w:bidi="en-US"/>
        </w:rPr>
        <w:t>, triethanolamine or any other accelerator, unless approved in writing by the Principal.</w:t>
      </w:r>
      <w:bookmarkEnd w:id="48"/>
    </w:p>
    <w:p w14:paraId="3F9E8190" w14:textId="77777777" w:rsidR="00AB1237" w:rsidRPr="00AB1237" w:rsidRDefault="00AB1237" w:rsidP="00AB1237">
      <w:pPr>
        <w:pStyle w:val="Heading1"/>
      </w:pPr>
      <w:bookmarkStart w:id="49" w:name="_Toc183614524"/>
      <w:bookmarkStart w:id="50" w:name="_Ref15469889"/>
      <w:bookmarkStart w:id="51" w:name="_Hlk9598492"/>
      <w:r w:rsidRPr="00AB1237">
        <w:lastRenderedPageBreak/>
        <w:t>Design Requirements</w:t>
      </w:r>
      <w:bookmarkEnd w:id="49"/>
    </w:p>
    <w:p w14:paraId="67025956" w14:textId="77777777" w:rsidR="008C765A" w:rsidRDefault="008C765A" w:rsidP="0043002D">
      <w:pPr>
        <w:pStyle w:val="Heading2"/>
      </w:pPr>
      <w:bookmarkStart w:id="52" w:name="_Toc183614525"/>
      <w:r>
        <w:t>Drying Shrinkage</w:t>
      </w:r>
      <w:bookmarkEnd w:id="52"/>
      <w:r>
        <w:t xml:space="preserve"> </w:t>
      </w:r>
    </w:p>
    <w:p w14:paraId="602A2A35" w14:textId="2D37E54A" w:rsidR="008C765A" w:rsidRDefault="008C765A" w:rsidP="008C765A">
      <w:pPr>
        <w:pStyle w:val="Bodynumbered1"/>
      </w:pPr>
      <w:r>
        <w:t>The drying shrinkage after 21 days</w:t>
      </w:r>
      <w:r w:rsidR="002A6F75">
        <w:t xml:space="preserve"> of</w:t>
      </w:r>
      <w:r>
        <w:t xml:space="preserve"> air drying must not exceed 550 </w:t>
      </w:r>
      <w:proofErr w:type="spellStart"/>
      <w:r>
        <w:t>microstrain</w:t>
      </w:r>
      <w:proofErr w:type="spellEnd"/>
      <w:r>
        <w:t>. Testing must be undertaken in accordance with AS 1012.13 with compaction by external vibration.</w:t>
      </w:r>
    </w:p>
    <w:p w14:paraId="4CA217A8" w14:textId="4D40BE03" w:rsidR="008C765A" w:rsidRDefault="008C765A" w:rsidP="0043002D">
      <w:pPr>
        <w:pStyle w:val="Heading2"/>
      </w:pPr>
      <w:bookmarkStart w:id="53" w:name="_Toc183614526"/>
      <w:r>
        <w:t>Compressive Strength</w:t>
      </w:r>
      <w:bookmarkEnd w:id="53"/>
    </w:p>
    <w:p w14:paraId="01727129" w14:textId="519E74ED" w:rsidR="00C878E1" w:rsidRDefault="008C765A" w:rsidP="008C765A">
      <w:pPr>
        <w:pStyle w:val="Bodynumbered1"/>
      </w:pPr>
      <w:bookmarkStart w:id="54" w:name="_Ref167278433"/>
      <w:r>
        <w:t>Test specimens must be mo</w:t>
      </w:r>
      <w:r w:rsidR="00FD5F37">
        <w:t>u</w:t>
      </w:r>
      <w:r>
        <w:t>lded and cured in accordance with AS 1012.8.1. The compressive strength must be in accordance with Table 6.2 for the nominated grade specified in the Contract documents.</w:t>
      </w:r>
      <w:bookmarkEnd w:id="54"/>
    </w:p>
    <w:p w14:paraId="1E6BDF4E" w14:textId="1DA4CEEE" w:rsidR="008C765A" w:rsidRPr="00CE1086" w:rsidRDefault="008C765A" w:rsidP="00A3558D">
      <w:pPr>
        <w:pStyle w:val="Caption"/>
      </w:pPr>
      <w:r w:rsidRPr="00CE1086">
        <w:t>Table 6.2</w:t>
      </w:r>
      <w:r w:rsidR="00B45AB6">
        <w:t>:</w:t>
      </w:r>
      <w:r w:rsidR="00B45AB6">
        <w:tab/>
      </w:r>
      <w:r w:rsidRPr="00CE1086">
        <w:t xml:space="preserve">Compressive </w:t>
      </w:r>
      <w:r w:rsidR="00B45AB6" w:rsidRPr="00CE1086">
        <w:t>strength grades</w:t>
      </w:r>
    </w:p>
    <w:tbl>
      <w:tblPr>
        <w:tblW w:w="4698" w:type="pct"/>
        <w:tblInd w:w="5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2985"/>
        <w:gridCol w:w="2822"/>
        <w:gridCol w:w="3119"/>
      </w:tblGrid>
      <w:tr w:rsidR="00B042F8" w:rsidRPr="00A3558D" w14:paraId="19D35035" w14:textId="77777777" w:rsidTr="00A3558D">
        <w:tc>
          <w:tcPr>
            <w:tcW w:w="1672" w:type="pct"/>
            <w:vMerge w:val="restart"/>
            <w:shd w:val="clear" w:color="auto" w:fill="BFBFBF" w:themeFill="background1" w:themeFillShade="BF"/>
            <w:vAlign w:val="center"/>
          </w:tcPr>
          <w:p w14:paraId="3E3B363E" w14:textId="77777777" w:rsidR="00CE1086" w:rsidRPr="00A3558D" w:rsidRDefault="00CE1086" w:rsidP="00A3558D">
            <w:pPr>
              <w:pStyle w:val="TableHeading"/>
              <w:rPr>
                <w:bCs/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>Grade</w:t>
            </w:r>
          </w:p>
        </w:tc>
        <w:tc>
          <w:tcPr>
            <w:tcW w:w="3328" w:type="pct"/>
            <w:gridSpan w:val="2"/>
            <w:shd w:val="clear" w:color="auto" w:fill="BFBFBF" w:themeFill="background1" w:themeFillShade="BF"/>
          </w:tcPr>
          <w:p w14:paraId="009CC8E3" w14:textId="0838B8AC" w:rsidR="00CE1086" w:rsidRPr="00A3558D" w:rsidRDefault="00CE1086" w:rsidP="00A3558D">
            <w:pPr>
              <w:pStyle w:val="TableHeading"/>
              <w:rPr>
                <w:bCs/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 xml:space="preserve">Compressive </w:t>
            </w:r>
            <w:r w:rsidR="00B45AB6" w:rsidRPr="00B45AB6">
              <w:rPr>
                <w:color w:val="auto"/>
                <w:sz w:val="18"/>
                <w:szCs w:val="18"/>
              </w:rPr>
              <w:t xml:space="preserve">strength </w:t>
            </w:r>
            <w:r w:rsidRPr="00A3558D">
              <w:rPr>
                <w:color w:val="auto"/>
                <w:sz w:val="18"/>
                <w:szCs w:val="18"/>
              </w:rPr>
              <w:t>at 28 days (AS 1012.9)</w:t>
            </w:r>
          </w:p>
        </w:tc>
      </w:tr>
      <w:tr w:rsidR="00B042F8" w:rsidRPr="00A3558D" w14:paraId="7F68DC43" w14:textId="77777777" w:rsidTr="00A3558D">
        <w:tc>
          <w:tcPr>
            <w:tcW w:w="1672" w:type="pct"/>
            <w:vMerge/>
            <w:shd w:val="clear" w:color="auto" w:fill="BFBFBF" w:themeFill="background1" w:themeFillShade="BF"/>
          </w:tcPr>
          <w:p w14:paraId="5AB8CD62" w14:textId="77777777" w:rsidR="00CE1086" w:rsidRPr="00A3558D" w:rsidRDefault="00CE1086" w:rsidP="00A3558D">
            <w:pPr>
              <w:pStyle w:val="TableHeading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81" w:type="pct"/>
            <w:shd w:val="clear" w:color="auto" w:fill="BFBFBF" w:themeFill="background1" w:themeFillShade="BF"/>
          </w:tcPr>
          <w:p w14:paraId="7EABFC8E" w14:textId="067F24D2" w:rsidR="00CE1086" w:rsidRPr="00A3558D" w:rsidRDefault="00CE1086" w:rsidP="00A3558D">
            <w:pPr>
              <w:pStyle w:val="TableHeading"/>
              <w:rPr>
                <w:bCs/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 xml:space="preserve">Nominated </w:t>
            </w:r>
            <w:r w:rsidR="00B45AB6" w:rsidRPr="00B45AB6">
              <w:rPr>
                <w:color w:val="auto"/>
                <w:sz w:val="18"/>
                <w:szCs w:val="18"/>
              </w:rPr>
              <w:t>mix</w:t>
            </w:r>
          </w:p>
        </w:tc>
        <w:tc>
          <w:tcPr>
            <w:tcW w:w="1747" w:type="pct"/>
            <w:shd w:val="clear" w:color="auto" w:fill="BFBFBF" w:themeFill="background1" w:themeFillShade="BF"/>
          </w:tcPr>
          <w:p w14:paraId="2704D4EA" w14:textId="1934A8EE" w:rsidR="00CE1086" w:rsidRPr="00A3558D" w:rsidRDefault="00CE1086" w:rsidP="00A3558D">
            <w:pPr>
              <w:pStyle w:val="TableHeading"/>
              <w:rPr>
                <w:bCs/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 xml:space="preserve">Production </w:t>
            </w:r>
            <w:r w:rsidR="00B45AB6" w:rsidRPr="00B45AB6">
              <w:rPr>
                <w:color w:val="auto"/>
                <w:sz w:val="18"/>
                <w:szCs w:val="18"/>
              </w:rPr>
              <w:t>mix</w:t>
            </w:r>
          </w:p>
        </w:tc>
      </w:tr>
      <w:tr w:rsidR="00CE1086" w:rsidRPr="00CE1086" w14:paraId="6D77AD12" w14:textId="77777777" w:rsidTr="00A3558D">
        <w:tc>
          <w:tcPr>
            <w:tcW w:w="1672" w:type="pct"/>
            <w:shd w:val="clear" w:color="auto" w:fill="D9D9D9" w:themeFill="background1" w:themeFillShade="D9"/>
          </w:tcPr>
          <w:p w14:paraId="74D6EC93" w14:textId="77777777" w:rsidR="00CE1086" w:rsidRPr="00A3558D" w:rsidRDefault="00CE1086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RCC5</w:t>
            </w:r>
          </w:p>
        </w:tc>
        <w:tc>
          <w:tcPr>
            <w:tcW w:w="1581" w:type="pct"/>
            <w:shd w:val="clear" w:color="auto" w:fill="D9D9D9" w:themeFill="background1" w:themeFillShade="D9"/>
          </w:tcPr>
          <w:p w14:paraId="743EB584" w14:textId="56A33F2D" w:rsidR="00CE1086" w:rsidRPr="00A3558D" w:rsidRDefault="00CE1086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sym w:font="Symbol" w:char="F0B3"/>
            </w:r>
            <w:r w:rsidRPr="00A3558D">
              <w:rPr>
                <w:sz w:val="18"/>
                <w:szCs w:val="18"/>
              </w:rPr>
              <w:t>6 MPa</w:t>
            </w:r>
          </w:p>
        </w:tc>
        <w:tc>
          <w:tcPr>
            <w:tcW w:w="1747" w:type="pct"/>
            <w:shd w:val="clear" w:color="auto" w:fill="D9D9D9" w:themeFill="background1" w:themeFillShade="D9"/>
          </w:tcPr>
          <w:p w14:paraId="24C67B5F" w14:textId="4FBB7C76" w:rsidR="00CE1086" w:rsidRPr="00A3558D" w:rsidRDefault="00CE1086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sym w:font="Symbol" w:char="F0B3"/>
            </w:r>
            <w:r w:rsidRPr="00A3558D">
              <w:rPr>
                <w:sz w:val="18"/>
                <w:szCs w:val="18"/>
              </w:rPr>
              <w:t>5 MPa</w:t>
            </w:r>
          </w:p>
        </w:tc>
      </w:tr>
      <w:tr w:rsidR="00CE1086" w:rsidRPr="00CE1086" w14:paraId="70BFE366" w14:textId="77777777" w:rsidTr="00A3558D">
        <w:tc>
          <w:tcPr>
            <w:tcW w:w="1672" w:type="pct"/>
            <w:shd w:val="clear" w:color="auto" w:fill="D9D9D9" w:themeFill="background1" w:themeFillShade="D9"/>
          </w:tcPr>
          <w:p w14:paraId="23378945" w14:textId="77777777" w:rsidR="00CE1086" w:rsidRPr="00A3558D" w:rsidRDefault="00CE1086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RCC10</w:t>
            </w:r>
          </w:p>
        </w:tc>
        <w:tc>
          <w:tcPr>
            <w:tcW w:w="1581" w:type="pct"/>
            <w:shd w:val="clear" w:color="auto" w:fill="D9D9D9" w:themeFill="background1" w:themeFillShade="D9"/>
          </w:tcPr>
          <w:p w14:paraId="2499EE1D" w14:textId="66A28FE9" w:rsidR="00CE1086" w:rsidRPr="00A3558D" w:rsidRDefault="00CE1086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sym w:font="Symbol" w:char="F0B3"/>
            </w:r>
            <w:r w:rsidRPr="00A3558D">
              <w:rPr>
                <w:sz w:val="18"/>
                <w:szCs w:val="18"/>
              </w:rPr>
              <w:t>12 MPa</w:t>
            </w:r>
          </w:p>
        </w:tc>
        <w:tc>
          <w:tcPr>
            <w:tcW w:w="1747" w:type="pct"/>
            <w:shd w:val="clear" w:color="auto" w:fill="D9D9D9" w:themeFill="background1" w:themeFillShade="D9"/>
          </w:tcPr>
          <w:p w14:paraId="4050A467" w14:textId="0577BDB5" w:rsidR="00CE1086" w:rsidRPr="00A3558D" w:rsidRDefault="00CE1086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sym w:font="Symbol" w:char="F0B3"/>
            </w:r>
            <w:r w:rsidRPr="00A3558D">
              <w:rPr>
                <w:sz w:val="18"/>
                <w:szCs w:val="18"/>
              </w:rPr>
              <w:t>10 MPa</w:t>
            </w:r>
          </w:p>
        </w:tc>
      </w:tr>
      <w:tr w:rsidR="00CE1086" w:rsidRPr="00CE1086" w14:paraId="77C27BD6" w14:textId="77777777" w:rsidTr="00A3558D">
        <w:tc>
          <w:tcPr>
            <w:tcW w:w="1672" w:type="pct"/>
            <w:shd w:val="clear" w:color="auto" w:fill="D9D9D9" w:themeFill="background1" w:themeFillShade="D9"/>
          </w:tcPr>
          <w:p w14:paraId="0C83B40C" w14:textId="77777777" w:rsidR="00CE1086" w:rsidRPr="00A3558D" w:rsidRDefault="00CE1086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RCC20</w:t>
            </w:r>
          </w:p>
        </w:tc>
        <w:tc>
          <w:tcPr>
            <w:tcW w:w="1581" w:type="pct"/>
            <w:shd w:val="clear" w:color="auto" w:fill="D9D9D9" w:themeFill="background1" w:themeFillShade="D9"/>
          </w:tcPr>
          <w:p w14:paraId="339EEABB" w14:textId="5DB576FC" w:rsidR="00CE1086" w:rsidRPr="00A3558D" w:rsidRDefault="00CE1086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sym w:font="Symbol" w:char="F0B3"/>
            </w:r>
            <w:r w:rsidRPr="00A3558D">
              <w:rPr>
                <w:sz w:val="18"/>
                <w:szCs w:val="18"/>
              </w:rPr>
              <w:t>22 MPa</w:t>
            </w:r>
          </w:p>
        </w:tc>
        <w:tc>
          <w:tcPr>
            <w:tcW w:w="1747" w:type="pct"/>
            <w:shd w:val="clear" w:color="auto" w:fill="D9D9D9" w:themeFill="background1" w:themeFillShade="D9"/>
          </w:tcPr>
          <w:p w14:paraId="729FCE83" w14:textId="15A27E29" w:rsidR="00CE1086" w:rsidRPr="00A3558D" w:rsidRDefault="00CE1086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sym w:font="Symbol" w:char="F0B3"/>
            </w:r>
            <w:r w:rsidRPr="00A3558D">
              <w:rPr>
                <w:sz w:val="18"/>
                <w:szCs w:val="18"/>
              </w:rPr>
              <w:t>20 MPa</w:t>
            </w:r>
          </w:p>
        </w:tc>
      </w:tr>
    </w:tbl>
    <w:p w14:paraId="5A5E93FD" w14:textId="77777777" w:rsidR="008C765A" w:rsidRDefault="008C765A" w:rsidP="00142918">
      <w:pPr>
        <w:pStyle w:val="Heading2"/>
      </w:pPr>
      <w:bookmarkStart w:id="55" w:name="_Toc183614527"/>
      <w:proofErr w:type="spellStart"/>
      <w:r>
        <w:t>Compactibility</w:t>
      </w:r>
      <w:proofErr w:type="spellEnd"/>
      <w:r>
        <w:t xml:space="preserve"> Index</w:t>
      </w:r>
      <w:bookmarkEnd w:id="55"/>
    </w:p>
    <w:p w14:paraId="79602EDE" w14:textId="77777777" w:rsidR="008C765A" w:rsidRDefault="008C765A" w:rsidP="008C765A">
      <w:pPr>
        <w:pStyle w:val="Bodynumbered1"/>
      </w:pPr>
      <w:r>
        <w:t xml:space="preserve">The Supplier must nominate the required </w:t>
      </w:r>
      <w:proofErr w:type="spellStart"/>
      <w:r>
        <w:t>Compactibility</w:t>
      </w:r>
      <w:proofErr w:type="spellEnd"/>
      <w:r>
        <w:t xml:space="preserve"> Index at the point of discharge.</w:t>
      </w:r>
    </w:p>
    <w:p w14:paraId="79F2F24E" w14:textId="7779E2F8" w:rsidR="008C765A" w:rsidRDefault="008C765A" w:rsidP="00384D4C">
      <w:pPr>
        <w:pStyle w:val="Bodynumbered1"/>
      </w:pPr>
      <w:r>
        <w:t xml:space="preserve">The </w:t>
      </w:r>
      <w:proofErr w:type="spellStart"/>
      <w:r>
        <w:t>Compactibility</w:t>
      </w:r>
      <w:proofErr w:type="spellEnd"/>
      <w:r>
        <w:t xml:space="preserve"> Index of the </w:t>
      </w:r>
      <w:r w:rsidR="00384D4C" w:rsidRPr="00384D4C">
        <w:t>Roller Compacted Concrete</w:t>
      </w:r>
      <w:r>
        <w:t xml:space="preserve"> must be </w:t>
      </w:r>
      <w:r w:rsidR="00706405">
        <w:t>determined in</w:t>
      </w:r>
      <w:r>
        <w:t xml:space="preserve"> accordance with AS 1012.3.4, except for the timing of the test, which must be at the point of discharge.</w:t>
      </w:r>
    </w:p>
    <w:p w14:paraId="78469DAF" w14:textId="77777777" w:rsidR="008C765A" w:rsidRDefault="008C765A" w:rsidP="00142918">
      <w:pPr>
        <w:pStyle w:val="Heading2"/>
      </w:pPr>
      <w:bookmarkStart w:id="56" w:name="_Toc183614528"/>
      <w:r>
        <w:t>Roller Compacted Concrete Nominated Mix Design</w:t>
      </w:r>
      <w:bookmarkEnd w:id="56"/>
    </w:p>
    <w:p w14:paraId="481C2C73" w14:textId="77777777" w:rsidR="008C765A" w:rsidRDefault="008C765A" w:rsidP="008C765A">
      <w:pPr>
        <w:pStyle w:val="Bodynumbered1"/>
      </w:pPr>
      <w:r>
        <w:t>The Supplier must:</w:t>
      </w:r>
    </w:p>
    <w:p w14:paraId="7BE20493" w14:textId="42D74093" w:rsidR="008C765A" w:rsidRDefault="008C765A" w:rsidP="00A3558D">
      <w:pPr>
        <w:pStyle w:val="Bodynumbered2"/>
        <w:numPr>
          <w:ilvl w:val="0"/>
          <w:numId w:val="60"/>
        </w:numPr>
      </w:pPr>
      <w:r>
        <w:t xml:space="preserve">produce a trial batch of the nominated mix to demonstrate that the proposed mix design conforms </w:t>
      </w:r>
      <w:r w:rsidR="00485901">
        <w:t xml:space="preserve">to </w:t>
      </w:r>
      <w:r>
        <w:t xml:space="preserve">the design requirements of this Specification </w:t>
      </w:r>
      <w:r w:rsidR="007E45F8">
        <w:t>(a</w:t>
      </w:r>
      <w:r>
        <w:t>ll specimens must be mo</w:t>
      </w:r>
      <w:r w:rsidR="007E45F8">
        <w:t>u</w:t>
      </w:r>
      <w:r>
        <w:t>lded from the same homogenous batch</w:t>
      </w:r>
      <w:r w:rsidR="007E45F8">
        <w:t>)</w:t>
      </w:r>
      <w:r>
        <w:t>;</w:t>
      </w:r>
    </w:p>
    <w:p w14:paraId="28D68293" w14:textId="0C4A8067" w:rsidR="008C765A" w:rsidRDefault="008C765A" w:rsidP="00A3558D">
      <w:pPr>
        <w:pStyle w:val="Bodynumbered2"/>
      </w:pPr>
      <w:r>
        <w:t xml:space="preserve">certify that the constituents of the nominated mix conform </w:t>
      </w:r>
      <w:r w:rsidR="00BD14CB">
        <w:t xml:space="preserve">to </w:t>
      </w:r>
      <w:r>
        <w:t>the material requirements of this Specification;</w:t>
      </w:r>
    </w:p>
    <w:p w14:paraId="485C0EF4" w14:textId="6805EA1F" w:rsidR="008C765A" w:rsidRDefault="008C765A" w:rsidP="00A3558D">
      <w:pPr>
        <w:pStyle w:val="Bodynumbered2"/>
      </w:pPr>
      <w:r>
        <w:t xml:space="preserve">submit NATA </w:t>
      </w:r>
      <w:r w:rsidR="00700BB2">
        <w:t xml:space="preserve">or IANZ </w:t>
      </w:r>
      <w:r>
        <w:t>endorsed test certificates for all relevant test results;</w:t>
      </w:r>
      <w:r w:rsidR="00994CB4">
        <w:t xml:space="preserve"> and</w:t>
      </w:r>
    </w:p>
    <w:p w14:paraId="0A68E07D" w14:textId="14937559" w:rsidR="008C765A" w:rsidRDefault="008C765A" w:rsidP="00A3558D">
      <w:pPr>
        <w:pStyle w:val="Bodynumbered2"/>
      </w:pPr>
      <w:r>
        <w:t>submit the following details for each nominated mix:</w:t>
      </w:r>
    </w:p>
    <w:p w14:paraId="7478D28E" w14:textId="4784A59F" w:rsidR="008C765A" w:rsidRDefault="00BD14CB" w:rsidP="00A3558D">
      <w:pPr>
        <w:pStyle w:val="Bodynumbered3"/>
      </w:pPr>
      <w:r>
        <w:t>c</w:t>
      </w:r>
      <w:r w:rsidR="008C765A">
        <w:t xml:space="preserve">ement </w:t>
      </w:r>
      <w:r>
        <w:t>–</w:t>
      </w:r>
      <w:r w:rsidR="008C765A">
        <w:t xml:space="preserve"> brand, source, type and age of test certificate</w:t>
      </w:r>
      <w:r>
        <w:t>;</w:t>
      </w:r>
    </w:p>
    <w:p w14:paraId="5A3285CC" w14:textId="46D2A618" w:rsidR="008C765A" w:rsidRDefault="00BD14CB" w:rsidP="00A3558D">
      <w:pPr>
        <w:pStyle w:val="Bodynumbered3"/>
      </w:pPr>
      <w:r>
        <w:t>f</w:t>
      </w:r>
      <w:r w:rsidR="008C765A">
        <w:t xml:space="preserve">ly ash </w:t>
      </w:r>
      <w:r>
        <w:t>–</w:t>
      </w:r>
      <w:r w:rsidR="008C765A">
        <w:t xml:space="preserve"> powerhouse source and grade</w:t>
      </w:r>
      <w:r w:rsidR="00AB3521">
        <w:t>;</w:t>
      </w:r>
    </w:p>
    <w:p w14:paraId="5F43D8D2" w14:textId="1A3ABEB0" w:rsidR="008C765A" w:rsidRDefault="00AB3521" w:rsidP="00A3558D">
      <w:pPr>
        <w:pStyle w:val="Bodynumbered3"/>
      </w:pPr>
      <w:r>
        <w:t>n</w:t>
      </w:r>
      <w:r w:rsidR="008C765A">
        <w:t>ominated binder content expressed in kg/m</w:t>
      </w:r>
      <w:r w:rsidR="008C765A" w:rsidRPr="00A3558D">
        <w:rPr>
          <w:vertAlign w:val="superscript"/>
        </w:rPr>
        <w:t>3</w:t>
      </w:r>
      <w:r w:rsidR="008C765A">
        <w:t xml:space="preserve"> and as a percentage of the dry mass being bound</w:t>
      </w:r>
      <w:r>
        <w:t>;</w:t>
      </w:r>
    </w:p>
    <w:p w14:paraId="48E1D7D7" w14:textId="4970044B" w:rsidR="008C765A" w:rsidRDefault="00AB3521" w:rsidP="00A3558D">
      <w:pPr>
        <w:pStyle w:val="Bodynumbered3"/>
      </w:pPr>
      <w:r>
        <w:t>w</w:t>
      </w:r>
      <w:r w:rsidR="008C765A">
        <w:t xml:space="preserve">ater </w:t>
      </w:r>
      <w:r>
        <w:t>–</w:t>
      </w:r>
      <w:r w:rsidR="008C765A">
        <w:t xml:space="preserve"> source (for </w:t>
      </w:r>
      <w:r w:rsidR="000221F3">
        <w:t xml:space="preserve">sources </w:t>
      </w:r>
      <w:r w:rsidR="008C765A">
        <w:t>other than town water, provide the chloride ion</w:t>
      </w:r>
      <w:r w:rsidR="000221F3">
        <w:t xml:space="preserve">, </w:t>
      </w:r>
      <w:r w:rsidR="008C765A">
        <w:t>sulphate ion and undissolved solids content)</w:t>
      </w:r>
      <w:r w:rsidR="000221F3">
        <w:t>;</w:t>
      </w:r>
    </w:p>
    <w:p w14:paraId="1B222DFF" w14:textId="231AA4F5" w:rsidR="008C765A" w:rsidRDefault="000221F3" w:rsidP="00A3558D">
      <w:pPr>
        <w:pStyle w:val="Bodynumbered3"/>
      </w:pPr>
      <w:r>
        <w:t>a</w:t>
      </w:r>
      <w:r w:rsidR="008C765A">
        <w:t xml:space="preserve">dmixture(s) </w:t>
      </w:r>
      <w:r w:rsidR="00994CB4">
        <w:t>–</w:t>
      </w:r>
      <w:r w:rsidR="008C765A">
        <w:t xml:space="preserve"> proprietary source, type, name, dosage recommended by manufacturer(s), compatibility with other admixtures being used and changes to the type being used due to different seasons</w:t>
      </w:r>
      <w:r w:rsidR="009C7EA4">
        <w:t>;</w:t>
      </w:r>
    </w:p>
    <w:p w14:paraId="094B4FC7" w14:textId="165ED8B8" w:rsidR="008C765A" w:rsidRDefault="009C7EA4" w:rsidP="00AB375B">
      <w:pPr>
        <w:pStyle w:val="Bodynumbered3"/>
        <w:keepNext/>
      </w:pPr>
      <w:r>
        <w:lastRenderedPageBreak/>
        <w:t>a</w:t>
      </w:r>
      <w:r w:rsidR="008C765A">
        <w:t>ggregates</w:t>
      </w:r>
      <w:r w:rsidR="004359A1">
        <w:t>:</w:t>
      </w:r>
    </w:p>
    <w:p w14:paraId="29404B5A" w14:textId="4FACC1D7" w:rsidR="008C765A" w:rsidRDefault="009C7EA4" w:rsidP="00AB375B">
      <w:pPr>
        <w:pStyle w:val="Bodynumbered3"/>
        <w:keepNext/>
        <w:numPr>
          <w:ilvl w:val="0"/>
          <w:numId w:val="31"/>
        </w:numPr>
      </w:pPr>
      <w:r>
        <w:t>s</w:t>
      </w:r>
      <w:r w:rsidR="008C765A">
        <w:t>ource and geological type</w:t>
      </w:r>
      <w:r>
        <w:t>;</w:t>
      </w:r>
    </w:p>
    <w:p w14:paraId="22978F2B" w14:textId="31953B62" w:rsidR="008C765A" w:rsidRDefault="009C7EA4" w:rsidP="00DA7766">
      <w:pPr>
        <w:pStyle w:val="Bodynumbered3"/>
        <w:numPr>
          <w:ilvl w:val="0"/>
          <w:numId w:val="31"/>
        </w:numPr>
      </w:pPr>
      <w:r>
        <w:t>p</w:t>
      </w:r>
      <w:r w:rsidR="008C765A">
        <w:t>article size distribution in accordance with AS 1141.11</w:t>
      </w:r>
      <w:r>
        <w:t>;</w:t>
      </w:r>
    </w:p>
    <w:p w14:paraId="2B5C2570" w14:textId="4513F61E" w:rsidR="008C765A" w:rsidRDefault="009C7EA4" w:rsidP="00DA7766">
      <w:pPr>
        <w:pStyle w:val="Bodynumbered3"/>
        <w:numPr>
          <w:ilvl w:val="0"/>
          <w:numId w:val="31"/>
        </w:numPr>
      </w:pPr>
      <w:r>
        <w:t>c</w:t>
      </w:r>
      <w:r w:rsidR="008C765A">
        <w:t>onstituent quantities</w:t>
      </w:r>
      <w:r>
        <w:t>;</w:t>
      </w:r>
      <w:r w:rsidR="00C00845">
        <w:t xml:space="preserve"> and</w:t>
      </w:r>
    </w:p>
    <w:p w14:paraId="0914F1BD" w14:textId="12D9445B" w:rsidR="008C765A" w:rsidRDefault="009C7EA4" w:rsidP="00DA7766">
      <w:pPr>
        <w:pStyle w:val="Bodynumbered3"/>
        <w:numPr>
          <w:ilvl w:val="0"/>
          <w:numId w:val="31"/>
        </w:numPr>
      </w:pPr>
      <w:r>
        <w:t>p</w:t>
      </w:r>
      <w:r w:rsidR="008C765A">
        <w:t>roperties as listed in Table 5.2</w:t>
      </w:r>
      <w:r w:rsidR="00C00845">
        <w:t>;</w:t>
      </w:r>
    </w:p>
    <w:p w14:paraId="038A8E0B" w14:textId="4B18E8C3" w:rsidR="008C765A" w:rsidRPr="00933AC7" w:rsidRDefault="00086BF7" w:rsidP="00A3558D">
      <w:pPr>
        <w:pStyle w:val="Bodynumbered3"/>
      </w:pPr>
      <w:r>
        <w:t>m</w:t>
      </w:r>
      <w:r w:rsidR="008C765A" w:rsidRPr="00933AC7">
        <w:t xml:space="preserve">aximum dry density and optimum moisture content in accordance with </w:t>
      </w:r>
      <w:proofErr w:type="spellStart"/>
      <w:r w:rsidR="00933AC7" w:rsidRPr="00933AC7">
        <w:t>TfNSW</w:t>
      </w:r>
      <w:proofErr w:type="spellEnd"/>
      <w:r w:rsidR="00933AC7" w:rsidRPr="00933AC7">
        <w:t xml:space="preserve"> T130</w:t>
      </w:r>
      <w:r>
        <w:t>;</w:t>
      </w:r>
    </w:p>
    <w:p w14:paraId="7578002E" w14:textId="72C84041" w:rsidR="008C765A" w:rsidRDefault="00591AA3" w:rsidP="00A3558D">
      <w:pPr>
        <w:pStyle w:val="Bodynumbered3"/>
      </w:pPr>
      <w:r>
        <w:t>s</w:t>
      </w:r>
      <w:r w:rsidR="008C765A">
        <w:t>hrinkage in accordance with AS 1012.13 at 21 days</w:t>
      </w:r>
      <w:r>
        <w:t>;</w:t>
      </w:r>
    </w:p>
    <w:p w14:paraId="17ABC9CB" w14:textId="0755E2B2" w:rsidR="008C765A" w:rsidRDefault="008C765A" w:rsidP="00A3558D">
      <w:pPr>
        <w:pStyle w:val="Bodynumbered3"/>
      </w:pPr>
      <w:proofErr w:type="spellStart"/>
      <w:r>
        <w:t>Compactibility</w:t>
      </w:r>
      <w:proofErr w:type="spellEnd"/>
      <w:r>
        <w:t xml:space="preserve"> Index in accordance with AS 1012.3.4</w:t>
      </w:r>
      <w:r w:rsidR="00591AA3">
        <w:t>; and</w:t>
      </w:r>
    </w:p>
    <w:p w14:paraId="34692592" w14:textId="12488C53" w:rsidR="008C765A" w:rsidRDefault="000F0CC5" w:rsidP="00A3558D">
      <w:pPr>
        <w:pStyle w:val="Bodynumbered3"/>
      </w:pPr>
      <w:r>
        <w:t>c</w:t>
      </w:r>
      <w:r w:rsidR="008C765A">
        <w:t>ompressive strength at 7 and 28 days</w:t>
      </w:r>
      <w:r>
        <w:t>,</w:t>
      </w:r>
      <w:r w:rsidR="008C765A">
        <w:t xml:space="preserve"> in accordance with AS 1012.9</w:t>
      </w:r>
      <w:r>
        <w:t>,</w:t>
      </w:r>
      <w:r w:rsidR="008C765A">
        <w:t xml:space="preserve"> with samples prepared to AS 1012.8.1 using a steel rammer for compaction.</w:t>
      </w:r>
    </w:p>
    <w:p w14:paraId="40D32E0D" w14:textId="4B9CEC6F" w:rsidR="008C765A" w:rsidRDefault="008C765A" w:rsidP="008C765A">
      <w:pPr>
        <w:pStyle w:val="Bodynumbered1"/>
      </w:pPr>
      <w:bookmarkStart w:id="57" w:name="_Ref167278332"/>
      <w:r>
        <w:t xml:space="preserve">The date of testing must be within </w:t>
      </w:r>
      <w:r w:rsidR="00631C7D">
        <w:t>3</w:t>
      </w:r>
      <w:r w:rsidR="00981ACF">
        <w:t xml:space="preserve"> </w:t>
      </w:r>
      <w:r>
        <w:t>months prior to delivery to the work. If sufficient production mix results are available from within this period, the Principal may reduce the scope of the trial mix.</w:t>
      </w:r>
      <w:bookmarkEnd w:id="57"/>
    </w:p>
    <w:tbl>
      <w:tblPr>
        <w:tblStyle w:val="TMTable"/>
        <w:tblW w:w="4700" w:type="pct"/>
        <w:tblInd w:w="567" w:type="dxa"/>
        <w:tblLook w:val="04A0" w:firstRow="1" w:lastRow="0" w:firstColumn="1" w:lastColumn="0" w:noHBand="0" w:noVBand="1"/>
      </w:tblPr>
      <w:tblGrid>
        <w:gridCol w:w="2109"/>
        <w:gridCol w:w="6812"/>
      </w:tblGrid>
      <w:tr w:rsidR="009D2E92" w14:paraId="7EE93C9F" w14:textId="77777777" w:rsidTr="00A35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shd w:val="clear" w:color="auto" w:fill="004259"/>
            <w:hideMark/>
          </w:tcPr>
          <w:p w14:paraId="79CE6AEF" w14:textId="184A3ADE" w:rsidR="009D2E92" w:rsidRPr="00FB025A" w:rsidRDefault="009D2E92" w:rsidP="003C66B1">
            <w:pPr>
              <w:pStyle w:val="TableHeading"/>
              <w:rPr>
                <w:b/>
                <w:bCs/>
              </w:rPr>
            </w:pPr>
            <w:r w:rsidRPr="00FB025A">
              <w:rPr>
                <w:b/>
                <w:bCs/>
              </w:rPr>
              <w:t>HOLD POINT </w:t>
            </w:r>
            <w:r>
              <w:rPr>
                <w:b/>
                <w:bCs/>
              </w:rPr>
              <w:t>2</w:t>
            </w:r>
          </w:p>
        </w:tc>
      </w:tr>
      <w:tr w:rsidR="009D2E92" w14:paraId="023F85FC" w14:textId="77777777" w:rsidTr="00A3558D">
        <w:tc>
          <w:tcPr>
            <w:tcW w:w="1182" w:type="pct"/>
            <w:hideMark/>
          </w:tcPr>
          <w:p w14:paraId="54C78BE2" w14:textId="77777777" w:rsidR="009D2E92" w:rsidRPr="00FB025A" w:rsidRDefault="009D2E92" w:rsidP="003C66B1">
            <w:pPr>
              <w:pStyle w:val="TableBodyText"/>
            </w:pPr>
            <w:r w:rsidRPr="00FB025A">
              <w:t>Process Held</w:t>
            </w:r>
          </w:p>
        </w:tc>
        <w:tc>
          <w:tcPr>
            <w:tcW w:w="3818" w:type="pct"/>
            <w:hideMark/>
          </w:tcPr>
          <w:p w14:paraId="064E3B24" w14:textId="695FDFEC" w:rsidR="009D2E92" w:rsidRPr="00FB025A" w:rsidRDefault="009D2E92" w:rsidP="003C66B1">
            <w:pPr>
              <w:pStyle w:val="TableBodyText"/>
            </w:pPr>
            <w:r w:rsidRPr="009D2E92">
              <w:t xml:space="preserve">Delivery of </w:t>
            </w:r>
            <w:r w:rsidR="00391BEB" w:rsidRPr="00391BEB">
              <w:t>Roller Compacted Concrete</w:t>
            </w:r>
            <w:r w:rsidR="00601192">
              <w:t>.</w:t>
            </w:r>
          </w:p>
        </w:tc>
      </w:tr>
      <w:tr w:rsidR="009D2E92" w14:paraId="2019541F" w14:textId="77777777" w:rsidTr="00A3558D">
        <w:tc>
          <w:tcPr>
            <w:tcW w:w="1182" w:type="pct"/>
            <w:hideMark/>
          </w:tcPr>
          <w:p w14:paraId="5A03C6F9" w14:textId="77777777" w:rsidR="009D2E92" w:rsidRPr="00FB025A" w:rsidRDefault="009D2E92" w:rsidP="003C66B1">
            <w:pPr>
              <w:pStyle w:val="TableBodyText"/>
            </w:pPr>
            <w:r w:rsidRPr="00FB025A">
              <w:t>Submission Details</w:t>
            </w:r>
          </w:p>
        </w:tc>
        <w:tc>
          <w:tcPr>
            <w:tcW w:w="3818" w:type="pct"/>
            <w:hideMark/>
          </w:tcPr>
          <w:p w14:paraId="0E8C1805" w14:textId="0550E1B5" w:rsidR="002B31C9" w:rsidRDefault="002B31C9" w:rsidP="002B31C9">
            <w:pPr>
              <w:pStyle w:val="TableBodyText"/>
            </w:pPr>
            <w:r>
              <w:t>At least 5 working days before commencement of delivery, the following must be submitted to the Principal:</w:t>
            </w:r>
          </w:p>
          <w:p w14:paraId="2F8226F3" w14:textId="3982A607" w:rsidR="002B31C9" w:rsidRDefault="002B31C9" w:rsidP="00A3558D">
            <w:pPr>
              <w:pStyle w:val="Bodynumbered2"/>
              <w:numPr>
                <w:ilvl w:val="0"/>
                <w:numId w:val="56"/>
              </w:numPr>
            </w:pPr>
            <w:r>
              <w:t>all details, test results and certificates required under Clause 6.5; and</w:t>
            </w:r>
          </w:p>
          <w:p w14:paraId="5DF521AA" w14:textId="18FB8CAF" w:rsidR="009D2E92" w:rsidRPr="00FB025A" w:rsidRDefault="00081194" w:rsidP="00A3558D">
            <w:pPr>
              <w:pStyle w:val="Bodynumbered2"/>
            </w:pPr>
            <w:r>
              <w:t>a</w:t>
            </w:r>
            <w:r w:rsidR="002B31C9">
              <w:t xml:space="preserve"> statement that the Nominated Mix Design complies with all the requirements of this Specification</w:t>
            </w:r>
            <w:r>
              <w:t>.</w:t>
            </w:r>
          </w:p>
        </w:tc>
      </w:tr>
    </w:tbl>
    <w:p w14:paraId="48AFBBA8" w14:textId="77777777" w:rsidR="008C765A" w:rsidRDefault="008C765A" w:rsidP="002732F3">
      <w:pPr>
        <w:pStyle w:val="Heading1"/>
      </w:pPr>
      <w:bookmarkStart w:id="58" w:name="_Toc183614529"/>
      <w:r>
        <w:t>Production and Transport</w:t>
      </w:r>
      <w:bookmarkEnd w:id="58"/>
    </w:p>
    <w:p w14:paraId="18BEF486" w14:textId="77777777" w:rsidR="008C765A" w:rsidRDefault="008C765A" w:rsidP="0016629B">
      <w:pPr>
        <w:pStyle w:val="Heading2"/>
      </w:pPr>
      <w:bookmarkStart w:id="59" w:name="_Toc183614530"/>
      <w:r>
        <w:t>Production Plant</w:t>
      </w:r>
      <w:bookmarkEnd w:id="59"/>
    </w:p>
    <w:p w14:paraId="6F99D65E" w14:textId="77777777" w:rsidR="00895294" w:rsidRDefault="002165C3" w:rsidP="00391BEB">
      <w:pPr>
        <w:pStyle w:val="Bodynumbered1"/>
      </w:pPr>
      <w:bookmarkStart w:id="60" w:name="_Ref167279016"/>
      <w:r>
        <w:t>The Quality Plan must include</w:t>
      </w:r>
      <w:r w:rsidR="00895294">
        <w:t>:</w:t>
      </w:r>
    </w:p>
    <w:p w14:paraId="7BC1B879" w14:textId="157B4398" w:rsidR="00895294" w:rsidRDefault="00D50C59" w:rsidP="00A3558D">
      <w:pPr>
        <w:pStyle w:val="Bodynumbered2"/>
        <w:numPr>
          <w:ilvl w:val="0"/>
          <w:numId w:val="50"/>
        </w:numPr>
      </w:pPr>
      <w:r>
        <w:t>d</w:t>
      </w:r>
      <w:r w:rsidR="00895294">
        <w:t>etails of the type of mixing plant proposed and the operational and calibration procedures to be supplied, including:</w:t>
      </w:r>
    </w:p>
    <w:p w14:paraId="51CF028D" w14:textId="1BF4F8D0" w:rsidR="00895294" w:rsidRDefault="00D50C59" w:rsidP="00A3558D">
      <w:pPr>
        <w:pStyle w:val="Bodynumbered3"/>
        <w:numPr>
          <w:ilvl w:val="0"/>
          <w:numId w:val="51"/>
        </w:numPr>
      </w:pPr>
      <w:r>
        <w:t>s</w:t>
      </w:r>
      <w:r w:rsidR="00895294">
        <w:t xml:space="preserve">tationary </w:t>
      </w:r>
      <w:r>
        <w:t>m</w:t>
      </w:r>
      <w:r w:rsidR="00895294">
        <w:t xml:space="preserve">ixing </w:t>
      </w:r>
      <w:r>
        <w:t>p</w:t>
      </w:r>
      <w:r w:rsidR="00895294">
        <w:t>lant</w:t>
      </w:r>
      <w:r>
        <w:t>:</w:t>
      </w:r>
    </w:p>
    <w:p w14:paraId="0DA1BA29" w14:textId="785C7A72" w:rsidR="00895294" w:rsidRDefault="00D50C59" w:rsidP="002A5CAF">
      <w:pPr>
        <w:pStyle w:val="Bodynumbered3"/>
        <w:numPr>
          <w:ilvl w:val="0"/>
          <w:numId w:val="44"/>
        </w:numPr>
      </w:pPr>
      <w:r>
        <w:t>t</w:t>
      </w:r>
      <w:r w:rsidR="00895294">
        <w:t>ype;</w:t>
      </w:r>
    </w:p>
    <w:p w14:paraId="106F6FB2" w14:textId="0ED26512" w:rsidR="00895294" w:rsidRDefault="00D50C59" w:rsidP="002A5CAF">
      <w:pPr>
        <w:pStyle w:val="Bodynumbered3"/>
        <w:numPr>
          <w:ilvl w:val="0"/>
          <w:numId w:val="44"/>
        </w:numPr>
      </w:pPr>
      <w:r>
        <w:t>p</w:t>
      </w:r>
      <w:r w:rsidR="00895294">
        <w:t>roposed location;</w:t>
      </w:r>
    </w:p>
    <w:p w14:paraId="1E1CA701" w14:textId="387C2E8B" w:rsidR="00895294" w:rsidRDefault="00D50C59" w:rsidP="002A5CAF">
      <w:pPr>
        <w:pStyle w:val="Bodynumbered3"/>
        <w:numPr>
          <w:ilvl w:val="0"/>
          <w:numId w:val="44"/>
        </w:numPr>
      </w:pPr>
      <w:r>
        <w:t>o</w:t>
      </w:r>
      <w:r w:rsidR="00895294">
        <w:t>utput capacity;</w:t>
      </w:r>
      <w:r w:rsidR="009C513D">
        <w:t xml:space="preserve"> and</w:t>
      </w:r>
    </w:p>
    <w:p w14:paraId="4C3F92B3" w14:textId="4E9A74AF" w:rsidR="00895294" w:rsidRDefault="009C513D" w:rsidP="002A5CAF">
      <w:pPr>
        <w:pStyle w:val="Bodynumbered3"/>
        <w:numPr>
          <w:ilvl w:val="0"/>
          <w:numId w:val="44"/>
        </w:numPr>
      </w:pPr>
      <w:r>
        <w:t>c</w:t>
      </w:r>
      <w:r w:rsidR="00895294">
        <w:t>ontrol of binder content and moisture content (including methods to ensure uniformity)</w:t>
      </w:r>
      <w:r>
        <w:t>;</w:t>
      </w:r>
    </w:p>
    <w:p w14:paraId="3DEBC5DA" w14:textId="6CBF9346" w:rsidR="00895294" w:rsidRDefault="009C513D" w:rsidP="00A3558D">
      <w:pPr>
        <w:pStyle w:val="Bodynumbered3"/>
      </w:pPr>
      <w:r>
        <w:t>t</w:t>
      </w:r>
      <w:r w:rsidR="00895294">
        <w:t>he method of measuring the binder incorporated in the mix</w:t>
      </w:r>
      <w:r>
        <w:t>;</w:t>
      </w:r>
    </w:p>
    <w:p w14:paraId="19121A75" w14:textId="537AF4C6" w:rsidR="00895294" w:rsidRDefault="009C513D" w:rsidP="00A3558D">
      <w:pPr>
        <w:pStyle w:val="Bodynumbered3"/>
      </w:pPr>
      <w:r>
        <w:t>m</w:t>
      </w:r>
      <w:r w:rsidR="00895294">
        <w:t>ethod(s) and frequency of calibration</w:t>
      </w:r>
      <w:r>
        <w:t>; and</w:t>
      </w:r>
    </w:p>
    <w:p w14:paraId="668DC14F" w14:textId="7CD3ABA0" w:rsidR="00895294" w:rsidRDefault="009C513D" w:rsidP="00A3558D">
      <w:pPr>
        <w:pStyle w:val="Bodynumbered3"/>
      </w:pPr>
      <w:r>
        <w:t>materials handling:</w:t>
      </w:r>
    </w:p>
    <w:p w14:paraId="673DE67D" w14:textId="2F0D28F2" w:rsidR="00895294" w:rsidRDefault="009C513D" w:rsidP="002A5CAF">
      <w:pPr>
        <w:pStyle w:val="Bodynumbered3"/>
        <w:numPr>
          <w:ilvl w:val="0"/>
          <w:numId w:val="45"/>
        </w:numPr>
      </w:pPr>
      <w:r>
        <w:t>l</w:t>
      </w:r>
      <w:r w:rsidR="00895294">
        <w:t>oading of mixer;</w:t>
      </w:r>
      <w:r>
        <w:t xml:space="preserve"> and</w:t>
      </w:r>
    </w:p>
    <w:p w14:paraId="1A723BC7" w14:textId="750F618A" w:rsidR="00260974" w:rsidRDefault="009C513D" w:rsidP="002A5CAF">
      <w:pPr>
        <w:pStyle w:val="Bodynumbered3"/>
        <w:numPr>
          <w:ilvl w:val="0"/>
          <w:numId w:val="45"/>
        </w:numPr>
      </w:pPr>
      <w:r>
        <w:t>c</w:t>
      </w:r>
      <w:r w:rsidR="00260974">
        <w:t>ontrol of segregation during loading and mixing</w:t>
      </w:r>
      <w:r>
        <w:t>; and</w:t>
      </w:r>
    </w:p>
    <w:p w14:paraId="12F4BF28" w14:textId="0B648AE2" w:rsidR="00260974" w:rsidRDefault="00A7734C" w:rsidP="009A483D">
      <w:pPr>
        <w:pStyle w:val="Bodynumbered2"/>
        <w:keepNext/>
        <w:ind w:left="993" w:hanging="426"/>
      </w:pPr>
      <w:r>
        <w:lastRenderedPageBreak/>
        <w:t>d</w:t>
      </w:r>
      <w:r w:rsidR="00260974">
        <w:t>etails relating to the transportation of the material, including:</w:t>
      </w:r>
    </w:p>
    <w:p w14:paraId="52562830" w14:textId="77777777" w:rsidR="00260974" w:rsidRDefault="00260974" w:rsidP="009A483D">
      <w:pPr>
        <w:pStyle w:val="Bodynumbered3"/>
        <w:keepNext/>
        <w:numPr>
          <w:ilvl w:val="0"/>
          <w:numId w:val="52"/>
        </w:numPr>
      </w:pPr>
      <w:r>
        <w:t>the number, type and capacity of transport vehicles;</w:t>
      </w:r>
    </w:p>
    <w:p w14:paraId="4E509E4A" w14:textId="08CFED18" w:rsidR="00260974" w:rsidRDefault="00260974" w:rsidP="009A483D">
      <w:pPr>
        <w:pStyle w:val="Bodynumbered3"/>
        <w:keepNext/>
      </w:pPr>
      <w:r>
        <w:t>measures to prevent loss of moisture during transit;</w:t>
      </w:r>
      <w:r w:rsidR="00AD5385">
        <w:t xml:space="preserve"> and</w:t>
      </w:r>
    </w:p>
    <w:p w14:paraId="09970D59" w14:textId="05D56975" w:rsidR="00260974" w:rsidRDefault="00260974" w:rsidP="00A3558D">
      <w:pPr>
        <w:pStyle w:val="Bodynumbered3"/>
      </w:pPr>
      <w:r>
        <w:t>the time between completion of mixing and discharge into the paving machine.</w:t>
      </w:r>
    </w:p>
    <w:bookmarkEnd w:id="60"/>
    <w:p w14:paraId="70B78002" w14:textId="53500699" w:rsidR="008C765A" w:rsidRDefault="008C765A" w:rsidP="008C765A">
      <w:pPr>
        <w:pStyle w:val="Bodynumbered1"/>
      </w:pPr>
      <w:r>
        <w:t xml:space="preserve">The stationary mixing plant must be capable of providing measurements of the binder incorporated in the mix, for </w:t>
      </w:r>
      <w:r w:rsidR="00DC55A8">
        <w:t xml:space="preserve">every </w:t>
      </w:r>
      <w:r>
        <w:t>200 tonnes produced, to within ± 0.3% of the dry mass of the material before the binder addition.</w:t>
      </w:r>
    </w:p>
    <w:p w14:paraId="4AB6C9EE" w14:textId="77777777" w:rsidR="008C765A" w:rsidRDefault="008C765A" w:rsidP="008C765A">
      <w:pPr>
        <w:pStyle w:val="Bodynumbered1"/>
      </w:pPr>
      <w:r>
        <w:t>Calculations to verify conformity with the mix requirements must be provided to the Principal daily.</w:t>
      </w:r>
    </w:p>
    <w:p w14:paraId="616D9D61" w14:textId="68FF9C6C" w:rsidR="008C765A" w:rsidRDefault="008C765A" w:rsidP="008C765A">
      <w:pPr>
        <w:pStyle w:val="Bodynumbered1"/>
      </w:pPr>
      <w:r>
        <w:t>The plant must be operated in accordance with the manufacturer’s recommendations. The material, binder and water/admixture must be mixed to produce a moist, homogeneous material conforming to the requirements of this Specification.</w:t>
      </w:r>
    </w:p>
    <w:p w14:paraId="453B7DFC" w14:textId="77777777" w:rsidR="008C765A" w:rsidRDefault="008C765A" w:rsidP="0016629B">
      <w:pPr>
        <w:pStyle w:val="Heading2"/>
      </w:pPr>
      <w:bookmarkStart w:id="61" w:name="_Toc183614531"/>
      <w:r>
        <w:t>Production Mix</w:t>
      </w:r>
      <w:bookmarkEnd w:id="61"/>
    </w:p>
    <w:p w14:paraId="165D0E08" w14:textId="77777777" w:rsidR="008C765A" w:rsidRDefault="008C765A" w:rsidP="008C765A">
      <w:pPr>
        <w:pStyle w:val="Bodynumbered1"/>
      </w:pPr>
      <w:bookmarkStart w:id="62" w:name="_Ref167278477"/>
      <w:r>
        <w:t xml:space="preserve">The </w:t>
      </w:r>
      <w:proofErr w:type="spellStart"/>
      <w:r>
        <w:t>Compactibility</w:t>
      </w:r>
      <w:proofErr w:type="spellEnd"/>
      <w:r>
        <w:t xml:space="preserve"> Index of the production mix must conform to the nominated </w:t>
      </w:r>
      <w:proofErr w:type="spellStart"/>
      <w:r>
        <w:t>Compactibility</w:t>
      </w:r>
      <w:proofErr w:type="spellEnd"/>
      <w:r>
        <w:t xml:space="preserve"> Index, within a tolerance of ± 10.</w:t>
      </w:r>
      <w:bookmarkEnd w:id="62"/>
    </w:p>
    <w:p w14:paraId="0AF00873" w14:textId="54AEC7F0" w:rsidR="008C765A" w:rsidRDefault="008C765A" w:rsidP="008C765A">
      <w:pPr>
        <w:pStyle w:val="Bodynumbered1"/>
      </w:pPr>
      <w:bookmarkStart w:id="63" w:name="_Ref183000722"/>
      <w:r>
        <w:t xml:space="preserve">For the production mix, the nominated design particle size distribution and binder content must be targeted. The allowable tolerance on the aggregate particle size distribution is given in Table </w:t>
      </w:r>
      <w:r w:rsidR="00777DE3">
        <w:fldChar w:fldCharType="begin"/>
      </w:r>
      <w:r w:rsidR="00777DE3">
        <w:instrText xml:space="preserve"> REF _Ref183000722 \r \h </w:instrText>
      </w:r>
      <w:r w:rsidR="00777DE3">
        <w:fldChar w:fldCharType="separate"/>
      </w:r>
      <w:r w:rsidR="006544BA">
        <w:t>7.6</w:t>
      </w:r>
      <w:r w:rsidR="00777DE3">
        <w:fldChar w:fldCharType="end"/>
      </w:r>
      <w:r>
        <w:t>. The allowable tolerance on the binder content is ± 3% by mass.</w:t>
      </w:r>
      <w:bookmarkEnd w:id="63"/>
    </w:p>
    <w:p w14:paraId="3580D874" w14:textId="5039149C" w:rsidR="008C765A" w:rsidRPr="004C6EC4" w:rsidRDefault="008C765A" w:rsidP="00A3558D">
      <w:pPr>
        <w:pStyle w:val="Caption"/>
      </w:pPr>
      <w:r w:rsidRPr="004C6EC4">
        <w:t xml:space="preserve">Table </w:t>
      </w:r>
      <w:r w:rsidR="00FC44D7">
        <w:fldChar w:fldCharType="begin"/>
      </w:r>
      <w:r w:rsidR="00FC44D7">
        <w:instrText xml:space="preserve"> REF _Ref183000722 \r \h </w:instrText>
      </w:r>
      <w:r w:rsidR="007B0227">
        <w:instrText xml:space="preserve"> \* MERGEFORMAT </w:instrText>
      </w:r>
      <w:r w:rsidR="00FC44D7">
        <w:fldChar w:fldCharType="separate"/>
      </w:r>
      <w:r w:rsidR="006544BA">
        <w:t>7.6</w:t>
      </w:r>
      <w:r w:rsidR="00FC44D7">
        <w:fldChar w:fldCharType="end"/>
      </w:r>
      <w:r w:rsidR="00EA6816">
        <w:t>:</w:t>
      </w:r>
      <w:r w:rsidR="00EA6816">
        <w:tab/>
      </w:r>
      <w:r w:rsidRPr="004C6EC4">
        <w:t xml:space="preserve">Production </w:t>
      </w:r>
      <w:r w:rsidR="001531A0" w:rsidRPr="004C6EC4">
        <w:t xml:space="preserve">tolerances </w:t>
      </w:r>
      <w:r w:rsidRPr="004C6EC4">
        <w:t xml:space="preserve">on </w:t>
      </w:r>
      <w:r w:rsidR="001531A0" w:rsidRPr="004C6EC4">
        <w:t>particle size distribution</w:t>
      </w:r>
    </w:p>
    <w:tbl>
      <w:tblPr>
        <w:tblW w:w="4698" w:type="pct"/>
        <w:tblInd w:w="5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808080" w:themeFill="background1" w:themeFillShade="80"/>
        <w:tblLook w:val="0000" w:firstRow="0" w:lastRow="0" w:firstColumn="0" w:lastColumn="0" w:noHBand="0" w:noVBand="0"/>
      </w:tblPr>
      <w:tblGrid>
        <w:gridCol w:w="4463"/>
        <w:gridCol w:w="4463"/>
      </w:tblGrid>
      <w:tr w:rsidR="00197573" w:rsidRPr="00197573" w14:paraId="5B47CE8D" w14:textId="77777777" w:rsidTr="00A3558D">
        <w:tc>
          <w:tcPr>
            <w:tcW w:w="2500" w:type="pct"/>
            <w:shd w:val="clear" w:color="auto" w:fill="BFBFBF" w:themeFill="background1" w:themeFillShade="BF"/>
            <w:vAlign w:val="center"/>
          </w:tcPr>
          <w:p w14:paraId="346BBEF8" w14:textId="09B58DC8" w:rsidR="00197573" w:rsidRPr="00A3558D" w:rsidRDefault="00E03C71" w:rsidP="00A3558D">
            <w:pPr>
              <w:pStyle w:val="TableHeading"/>
              <w:rPr>
                <w:bCs/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>ISO 3310-1</w:t>
            </w:r>
            <w:r w:rsidR="00197573" w:rsidRPr="00A3558D">
              <w:rPr>
                <w:color w:val="auto"/>
                <w:sz w:val="18"/>
                <w:szCs w:val="18"/>
              </w:rPr>
              <w:t xml:space="preserve"> sieve size (mm)</w:t>
            </w:r>
          </w:p>
        </w:tc>
        <w:tc>
          <w:tcPr>
            <w:tcW w:w="2500" w:type="pct"/>
            <w:shd w:val="clear" w:color="auto" w:fill="BFBFBF" w:themeFill="background1" w:themeFillShade="BF"/>
            <w:vAlign w:val="center"/>
          </w:tcPr>
          <w:p w14:paraId="2489F34E" w14:textId="38D87705" w:rsidR="00197573" w:rsidRPr="00A3558D" w:rsidRDefault="00197573" w:rsidP="00A3558D">
            <w:pPr>
              <w:pStyle w:val="TableHeading"/>
              <w:rPr>
                <w:bCs/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 xml:space="preserve">Production </w:t>
            </w:r>
            <w:r w:rsidR="001531A0" w:rsidRPr="001531A0">
              <w:rPr>
                <w:color w:val="auto"/>
                <w:sz w:val="18"/>
                <w:szCs w:val="18"/>
              </w:rPr>
              <w:t xml:space="preserve">tolerance </w:t>
            </w:r>
            <w:r w:rsidRPr="00A3558D">
              <w:rPr>
                <w:color w:val="auto"/>
                <w:sz w:val="18"/>
                <w:szCs w:val="18"/>
              </w:rPr>
              <w:t>(% by mass)</w:t>
            </w:r>
          </w:p>
        </w:tc>
      </w:tr>
      <w:tr w:rsidR="00197573" w:rsidRPr="00197573" w14:paraId="4AA78288" w14:textId="77777777" w:rsidTr="00A3558D">
        <w:tc>
          <w:tcPr>
            <w:tcW w:w="2500" w:type="pct"/>
            <w:shd w:val="clear" w:color="auto" w:fill="D9D9D9" w:themeFill="background1" w:themeFillShade="D9"/>
          </w:tcPr>
          <w:p w14:paraId="6CCBE18B" w14:textId="77777777" w:rsidR="00197573" w:rsidRPr="00A3558D" w:rsidRDefault="00197573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19.0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4988808" w14:textId="77777777" w:rsidR="00197573" w:rsidRPr="00A3558D" w:rsidRDefault="00197573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sym w:font="Symbol" w:char="F0B1"/>
            </w:r>
            <w:r w:rsidRPr="00A3558D">
              <w:rPr>
                <w:sz w:val="18"/>
                <w:szCs w:val="18"/>
              </w:rPr>
              <w:t xml:space="preserve"> 5</w:t>
            </w:r>
          </w:p>
        </w:tc>
      </w:tr>
      <w:tr w:rsidR="00197573" w:rsidRPr="00197573" w14:paraId="2AEE60A4" w14:textId="77777777" w:rsidTr="00A3558D">
        <w:tc>
          <w:tcPr>
            <w:tcW w:w="2500" w:type="pct"/>
            <w:shd w:val="clear" w:color="auto" w:fill="D9D9D9" w:themeFill="background1" w:themeFillShade="D9"/>
          </w:tcPr>
          <w:p w14:paraId="17477D44" w14:textId="77777777" w:rsidR="00197573" w:rsidRPr="00A3558D" w:rsidRDefault="00197573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13.2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C9D55B9" w14:textId="77777777" w:rsidR="00197573" w:rsidRPr="00A3558D" w:rsidRDefault="00197573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sym w:font="Symbol" w:char="F0B1"/>
            </w:r>
            <w:r w:rsidRPr="00A3558D">
              <w:rPr>
                <w:sz w:val="18"/>
                <w:szCs w:val="18"/>
              </w:rPr>
              <w:t xml:space="preserve"> 10</w:t>
            </w:r>
          </w:p>
        </w:tc>
      </w:tr>
      <w:tr w:rsidR="00197573" w:rsidRPr="00197573" w14:paraId="572DBB51" w14:textId="77777777" w:rsidTr="00A3558D">
        <w:tc>
          <w:tcPr>
            <w:tcW w:w="2500" w:type="pct"/>
            <w:shd w:val="clear" w:color="auto" w:fill="D9D9D9" w:themeFill="background1" w:themeFillShade="D9"/>
          </w:tcPr>
          <w:p w14:paraId="15FE4388" w14:textId="77777777" w:rsidR="00197573" w:rsidRPr="00A3558D" w:rsidRDefault="00197573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6.7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5671649D" w14:textId="77777777" w:rsidR="00197573" w:rsidRPr="00A3558D" w:rsidRDefault="00197573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sym w:font="Symbol" w:char="F0B1"/>
            </w:r>
            <w:r w:rsidRPr="00A3558D">
              <w:rPr>
                <w:sz w:val="18"/>
                <w:szCs w:val="18"/>
              </w:rPr>
              <w:t xml:space="preserve"> 10</w:t>
            </w:r>
          </w:p>
        </w:tc>
      </w:tr>
      <w:tr w:rsidR="00197573" w:rsidRPr="00197573" w14:paraId="6FA3B569" w14:textId="77777777" w:rsidTr="00A3558D">
        <w:tc>
          <w:tcPr>
            <w:tcW w:w="2500" w:type="pct"/>
            <w:shd w:val="clear" w:color="auto" w:fill="D9D9D9" w:themeFill="background1" w:themeFillShade="D9"/>
          </w:tcPr>
          <w:p w14:paraId="1077FBEE" w14:textId="77777777" w:rsidR="00197573" w:rsidRPr="00A3558D" w:rsidRDefault="00197573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2.36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6088358" w14:textId="77777777" w:rsidR="00197573" w:rsidRPr="00A3558D" w:rsidRDefault="00197573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sym w:font="Symbol" w:char="F0B1"/>
            </w:r>
            <w:r w:rsidRPr="00A3558D">
              <w:rPr>
                <w:sz w:val="18"/>
                <w:szCs w:val="18"/>
              </w:rPr>
              <w:t xml:space="preserve"> 5</w:t>
            </w:r>
          </w:p>
        </w:tc>
      </w:tr>
    </w:tbl>
    <w:p w14:paraId="3A69B382" w14:textId="77777777" w:rsidR="008C765A" w:rsidRDefault="008C765A" w:rsidP="00665D5A">
      <w:pPr>
        <w:pStyle w:val="Heading2"/>
      </w:pPr>
      <w:bookmarkStart w:id="64" w:name="_Toc183614532"/>
      <w:r>
        <w:t>Transport</w:t>
      </w:r>
      <w:bookmarkEnd w:id="64"/>
    </w:p>
    <w:p w14:paraId="04185913" w14:textId="77777777" w:rsidR="008C765A" w:rsidRDefault="008C765A" w:rsidP="008C765A">
      <w:pPr>
        <w:pStyle w:val="Bodynumbered1"/>
      </w:pPr>
      <w:r>
        <w:t>Materials must be discharged from the mixer to a timed discharge hopper and not directly from conveyor belts into delivery vehicles.</w:t>
      </w:r>
    </w:p>
    <w:p w14:paraId="351DCF06" w14:textId="77777777" w:rsidR="008C765A" w:rsidRDefault="008C765A" w:rsidP="008C765A">
      <w:pPr>
        <w:pStyle w:val="Bodynumbered1"/>
      </w:pPr>
      <w:r>
        <w:t>Materials must be delivered in vehicles fitted and operated with covers made of suitable material to prevent loss of moisture during transport.</w:t>
      </w:r>
    </w:p>
    <w:p w14:paraId="539BD798" w14:textId="77777777" w:rsidR="008C765A" w:rsidRDefault="008C765A" w:rsidP="008C765A">
      <w:pPr>
        <w:pStyle w:val="Bodynumbered1"/>
      </w:pPr>
      <w:r>
        <w:t>Vehicles, where used for the delivery of materials to the hopper of a paving machine, must have bodies or discharge equipment that will enable the load to be discharged directly into the hopper without spillage on the road or segregation of material.</w:t>
      </w:r>
    </w:p>
    <w:p w14:paraId="1CAAC7D3" w14:textId="50E056BA" w:rsidR="009A483D" w:rsidRDefault="008C765A" w:rsidP="00391BEB">
      <w:pPr>
        <w:pStyle w:val="Bodynumbered1"/>
      </w:pPr>
      <w:r>
        <w:t>Sufficient delivery vehicles must be provided to ensure the delivery of</w:t>
      </w:r>
      <w:r w:rsidR="00391BEB" w:rsidRPr="00391BEB">
        <w:t xml:space="preserve"> Roller Compacted Concrete </w:t>
      </w:r>
      <w:r>
        <w:t>at a uniform rate that is compatible with the spreading and compacting rate.</w:t>
      </w:r>
    </w:p>
    <w:p w14:paraId="6F775AB9" w14:textId="266D6280" w:rsidR="008C765A" w:rsidRDefault="009A483D" w:rsidP="009A483D">
      <w:r>
        <w:br w:type="page"/>
      </w:r>
    </w:p>
    <w:p w14:paraId="5EC0A8D1" w14:textId="6B0A9878" w:rsidR="008C765A" w:rsidRDefault="008C765A" w:rsidP="00665D5A">
      <w:pPr>
        <w:pStyle w:val="Heading1"/>
      </w:pPr>
      <w:bookmarkStart w:id="65" w:name="_Toc183614533"/>
      <w:r>
        <w:lastRenderedPageBreak/>
        <w:t>Process Control</w:t>
      </w:r>
      <w:bookmarkEnd w:id="65"/>
    </w:p>
    <w:p w14:paraId="2019387D" w14:textId="77777777" w:rsidR="008C765A" w:rsidRDefault="008C765A" w:rsidP="00665D5A">
      <w:pPr>
        <w:pStyle w:val="Heading2"/>
      </w:pPr>
      <w:bookmarkStart w:id="66" w:name="_Toc183614534"/>
      <w:r>
        <w:t>Application of Binder and Admixtures</w:t>
      </w:r>
      <w:bookmarkEnd w:id="66"/>
    </w:p>
    <w:p w14:paraId="0298CFBB" w14:textId="77777777" w:rsidR="008C765A" w:rsidRDefault="008C765A" w:rsidP="008C765A">
      <w:pPr>
        <w:pStyle w:val="Bodynumbered1"/>
      </w:pPr>
      <w:bookmarkStart w:id="67" w:name="_Ref167278589"/>
      <w:r>
        <w:t>The following must be determined at the end of each day’s production:</w:t>
      </w:r>
      <w:bookmarkEnd w:id="67"/>
    </w:p>
    <w:p w14:paraId="3B65F4E0" w14:textId="77777777" w:rsidR="008C765A" w:rsidRDefault="008C765A" w:rsidP="00EA4169">
      <w:pPr>
        <w:pStyle w:val="Heading3"/>
        <w:ind w:left="567" w:firstLine="0"/>
      </w:pPr>
      <w:r>
        <w:t>Percentage of Binder</w:t>
      </w:r>
    </w:p>
    <w:p w14:paraId="51701B34" w14:textId="11F1DFCF" w:rsidR="008C765A" w:rsidRDefault="008C765A" w:rsidP="00EA4169">
      <w:pPr>
        <w:pStyle w:val="Bodynumbered1"/>
        <w:numPr>
          <w:ilvl w:val="0"/>
          <w:numId w:val="0"/>
        </w:numPr>
        <w:ind w:left="567"/>
      </w:pPr>
      <w:r>
        <w:t>Calculate the proportion of binder to one decimal place as a percentage of the dry mass of the material being bound from:</w:t>
      </w:r>
    </w:p>
    <w:p w14:paraId="54D084F6" w14:textId="4D4D93FB" w:rsidR="008C765A" w:rsidRDefault="008C765A" w:rsidP="00A3558D">
      <w:pPr>
        <w:pStyle w:val="Bodynumbered2"/>
        <w:numPr>
          <w:ilvl w:val="0"/>
          <w:numId w:val="57"/>
        </w:numPr>
      </w:pPr>
      <w:r>
        <w:t>the total mass of binder used that day (determined from delivery dockets, silo dips, batch records</w:t>
      </w:r>
      <w:r w:rsidR="004B3267">
        <w:t>,</w:t>
      </w:r>
      <w:r>
        <w:t xml:space="preserve"> etc</w:t>
      </w:r>
      <w:r w:rsidR="004B3267">
        <w:t>.</w:t>
      </w:r>
      <w:r>
        <w:t>)</w:t>
      </w:r>
      <w:r w:rsidR="004B3267">
        <w:t>;</w:t>
      </w:r>
      <w:r>
        <w:t xml:space="preserve"> and</w:t>
      </w:r>
    </w:p>
    <w:p w14:paraId="5E89C0DC" w14:textId="6A3E3D61" w:rsidR="008C765A" w:rsidRDefault="008C765A" w:rsidP="00A3558D">
      <w:pPr>
        <w:pStyle w:val="Bodynumbered2"/>
        <w:numPr>
          <w:ilvl w:val="0"/>
          <w:numId w:val="55"/>
        </w:numPr>
      </w:pPr>
      <w:r>
        <w:t>the total mass of material used in that day’s production.</w:t>
      </w:r>
    </w:p>
    <w:p w14:paraId="65B89C8C" w14:textId="77777777" w:rsidR="008C765A" w:rsidRDefault="008C765A" w:rsidP="00EA4169">
      <w:pPr>
        <w:pStyle w:val="Bodynumbered1"/>
        <w:numPr>
          <w:ilvl w:val="0"/>
          <w:numId w:val="0"/>
        </w:numPr>
        <w:ind w:left="567"/>
      </w:pPr>
      <w:r>
        <w:t>Where the calculated proportion of binder in the mix is less than the nominated proportion, the mix is nonconforming.</w:t>
      </w:r>
    </w:p>
    <w:p w14:paraId="0E74863D" w14:textId="4064AFC7" w:rsidR="008C765A" w:rsidRDefault="008C765A" w:rsidP="00EA4169">
      <w:pPr>
        <w:pStyle w:val="Heading3"/>
        <w:ind w:left="567" w:firstLine="0"/>
      </w:pPr>
      <w:r>
        <w:t>Percentage of Admixture</w:t>
      </w:r>
    </w:p>
    <w:p w14:paraId="274E89AF" w14:textId="77777777" w:rsidR="008C765A" w:rsidRDefault="008C765A" w:rsidP="00EA4169">
      <w:pPr>
        <w:pStyle w:val="Bodynumbered1"/>
        <w:numPr>
          <w:ilvl w:val="0"/>
          <w:numId w:val="0"/>
        </w:numPr>
        <w:ind w:left="567"/>
      </w:pPr>
      <w:r>
        <w:t>The total quantity of admixture used that day.</w:t>
      </w:r>
    </w:p>
    <w:p w14:paraId="0B04C8E8" w14:textId="77777777" w:rsidR="008C765A" w:rsidRDefault="008C765A" w:rsidP="008D45AE">
      <w:pPr>
        <w:pStyle w:val="Heading2"/>
      </w:pPr>
      <w:bookmarkStart w:id="68" w:name="_Toc183614535"/>
      <w:proofErr w:type="spellStart"/>
      <w:r>
        <w:t>Compactibility</w:t>
      </w:r>
      <w:proofErr w:type="spellEnd"/>
      <w:r>
        <w:t xml:space="preserve"> Index</w:t>
      </w:r>
      <w:bookmarkEnd w:id="68"/>
    </w:p>
    <w:p w14:paraId="519C26F3" w14:textId="6653591F" w:rsidR="008C765A" w:rsidRDefault="008C765A" w:rsidP="008C765A">
      <w:pPr>
        <w:pStyle w:val="Bodynumbered1"/>
      </w:pPr>
      <w:bookmarkStart w:id="69" w:name="_Ref167278537"/>
      <w:r>
        <w:t xml:space="preserve">Testing must be undertaken at the point of discharge, in accordance with AS 1012.3.4, with the exception that the test be carried out immediately prior to the </w:t>
      </w:r>
      <w:r w:rsidR="00A2465C">
        <w:t>R</w:t>
      </w:r>
      <w:r>
        <w:t xml:space="preserve">oller </w:t>
      </w:r>
      <w:r w:rsidR="00A2465C">
        <w:t>C</w:t>
      </w:r>
      <w:r>
        <w:t xml:space="preserve">ompacted </w:t>
      </w:r>
      <w:r w:rsidR="00A2465C">
        <w:t>C</w:t>
      </w:r>
      <w:r>
        <w:t xml:space="preserve">oncrete being incorporated into the </w:t>
      </w:r>
      <w:r w:rsidR="00C46450">
        <w:t>W</w:t>
      </w:r>
      <w:r>
        <w:t>orks.</w:t>
      </w:r>
      <w:bookmarkEnd w:id="69"/>
    </w:p>
    <w:p w14:paraId="6E8F1ABB" w14:textId="02DC3841" w:rsidR="008C765A" w:rsidRDefault="008C765A" w:rsidP="00391BEB">
      <w:pPr>
        <w:pStyle w:val="Bodynumbered1"/>
      </w:pPr>
      <w:r>
        <w:t>When transit mixers are used for the delivery of</w:t>
      </w:r>
      <w:r w:rsidR="00391BEB" w:rsidRPr="00391BEB">
        <w:t xml:space="preserve"> Roller Compacted Concrete</w:t>
      </w:r>
      <w:r>
        <w:t>, the first 0.5 m</w:t>
      </w:r>
      <w:r w:rsidRPr="00A3558D">
        <w:rPr>
          <w:vertAlign w:val="superscript"/>
        </w:rPr>
        <w:t>3</w:t>
      </w:r>
      <w:r>
        <w:t xml:space="preserve"> of discharge must be sampled.</w:t>
      </w:r>
    </w:p>
    <w:p w14:paraId="03016BB4" w14:textId="77777777" w:rsidR="008C765A" w:rsidRDefault="008C765A" w:rsidP="008D45AE">
      <w:pPr>
        <w:pStyle w:val="Heading2"/>
      </w:pPr>
      <w:bookmarkStart w:id="70" w:name="_Toc183614536"/>
      <w:r>
        <w:t>Cylinder Strength Testing</w:t>
      </w:r>
      <w:bookmarkEnd w:id="70"/>
    </w:p>
    <w:p w14:paraId="688D7DED" w14:textId="22BD9138" w:rsidR="008C765A" w:rsidRDefault="008C765A" w:rsidP="008C765A">
      <w:pPr>
        <w:pStyle w:val="Bodynumbered1"/>
      </w:pPr>
      <w:bookmarkStart w:id="71" w:name="_Ref167278561"/>
      <w:r>
        <w:t>Sampling must be undertaken at the point of discharge and the sample</w:t>
      </w:r>
      <w:r w:rsidR="00E55415">
        <w:t xml:space="preserve"> must be</w:t>
      </w:r>
      <w:r>
        <w:t xml:space="preserve"> mo</w:t>
      </w:r>
      <w:r w:rsidR="00E55415">
        <w:t>u</w:t>
      </w:r>
      <w:r>
        <w:t>lded in accordance with AS 1012.8.1 using a 100 mm diameter mould and steel rammer. The compressive strength must be determined in accordance with AS 1012.9.</w:t>
      </w:r>
      <w:bookmarkEnd w:id="71"/>
    </w:p>
    <w:p w14:paraId="185319B9" w14:textId="77777777" w:rsidR="00A07FEF" w:rsidRPr="0059043A" w:rsidRDefault="00A07FEF" w:rsidP="00751F63">
      <w:pPr>
        <w:pStyle w:val="AnnexureHeading"/>
        <w:ind w:left="1843" w:hanging="1843"/>
      </w:pPr>
      <w:bookmarkStart w:id="72" w:name="_Toc26182495"/>
      <w:bookmarkStart w:id="73" w:name="_Toc183614537"/>
      <w:bookmarkEnd w:id="27"/>
      <w:bookmarkEnd w:id="28"/>
      <w:bookmarkEnd w:id="29"/>
      <w:bookmarkEnd w:id="50"/>
      <w:bookmarkEnd w:id="51"/>
      <w:r w:rsidRPr="00751F63">
        <w:lastRenderedPageBreak/>
        <w:t>Annexure</w:t>
      </w:r>
      <w:r w:rsidRPr="0059043A">
        <w:t xml:space="preserve"> A:</w:t>
      </w:r>
      <w:r w:rsidRPr="0059043A">
        <w:tab/>
        <w:t>Summary of Hold Points, Witness Points and Records</w:t>
      </w:r>
      <w:bookmarkEnd w:id="72"/>
      <w:bookmarkEnd w:id="73"/>
    </w:p>
    <w:p w14:paraId="470E9D7B" w14:textId="680E4191" w:rsidR="00D3735D" w:rsidRPr="00AF622C" w:rsidRDefault="00CF24A6" w:rsidP="00D3735D">
      <w:pPr>
        <w:pStyle w:val="BodyText"/>
      </w:pPr>
      <w:r w:rsidRPr="00AF622C">
        <w:t xml:space="preserve">The following is a summary of the Witness Points/Hold Points that apply to this </w:t>
      </w:r>
      <w:r w:rsidR="000D56DB">
        <w:t>S</w:t>
      </w:r>
      <w:r w:rsidRPr="00AF622C">
        <w:t xml:space="preserve">pecification and the Records that the Contractor must submit to the Principal to demonstrate compliance with this </w:t>
      </w:r>
      <w:r w:rsidR="00274EEC">
        <w:t>S</w:t>
      </w:r>
      <w:r w:rsidRPr="00AF622C">
        <w:t>pecification.</w:t>
      </w:r>
    </w:p>
    <w:tbl>
      <w:tblPr>
        <w:tblStyle w:val="MainTableStyle"/>
        <w:tblW w:w="4999" w:type="pct"/>
        <w:tblInd w:w="-5" w:type="dxa"/>
        <w:tblBorders>
          <w:top w:val="none" w:sz="0" w:space="0" w:color="auto"/>
          <w:bottom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276"/>
        <w:gridCol w:w="2977"/>
        <w:gridCol w:w="2126"/>
        <w:gridCol w:w="3119"/>
      </w:tblGrid>
      <w:tr w:rsidR="00DB36DD" w:rsidRPr="00D05512" w14:paraId="4D2B7E75" w14:textId="77777777" w:rsidTr="00DB36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72" w:type="pct"/>
            <w:tcBorders>
              <w:top w:val="single" w:sz="4" w:space="0" w:color="FFFFFF" w:themeColor="background1"/>
            </w:tcBorders>
            <w:shd w:val="clear" w:color="auto" w:fill="004259"/>
          </w:tcPr>
          <w:p w14:paraId="16BC5845" w14:textId="77777777" w:rsidR="00A07FEF" w:rsidRPr="00A07FEF" w:rsidRDefault="00A07FEF" w:rsidP="00A07FEF">
            <w:pPr>
              <w:pStyle w:val="TableHeading"/>
              <w:rPr>
                <w:rFonts w:eastAsia="SimSun"/>
                <w:b/>
                <w:bCs/>
              </w:rPr>
            </w:pPr>
            <w:r w:rsidRPr="00A07FEF">
              <w:rPr>
                <w:rFonts w:eastAsia="SimSun"/>
                <w:b/>
                <w:bCs/>
              </w:rPr>
              <w:t>C</w:t>
            </w:r>
            <w:r w:rsidR="000B1E68">
              <w:rPr>
                <w:rFonts w:eastAsia="SimSun"/>
                <w:b/>
                <w:bCs/>
              </w:rPr>
              <w:t>lause</w:t>
            </w:r>
          </w:p>
        </w:tc>
        <w:tc>
          <w:tcPr>
            <w:tcW w:w="1567" w:type="pct"/>
            <w:tcBorders>
              <w:top w:val="single" w:sz="4" w:space="0" w:color="FFFFFF" w:themeColor="background1"/>
            </w:tcBorders>
            <w:shd w:val="clear" w:color="auto" w:fill="004259"/>
          </w:tcPr>
          <w:p w14:paraId="529307B6" w14:textId="7182EB86" w:rsidR="00A07FEF" w:rsidRPr="00A07FEF" w:rsidRDefault="00A07FEF" w:rsidP="00A07FEF">
            <w:pPr>
              <w:pStyle w:val="TableHeading"/>
              <w:rPr>
                <w:rFonts w:eastAsia="SimSun"/>
                <w:b/>
                <w:bCs/>
              </w:rPr>
            </w:pPr>
            <w:r w:rsidRPr="00A07FEF">
              <w:rPr>
                <w:rFonts w:eastAsia="SimSun"/>
                <w:b/>
                <w:bCs/>
              </w:rPr>
              <w:t>H</w:t>
            </w:r>
            <w:r w:rsidR="000B1E68">
              <w:rPr>
                <w:rFonts w:eastAsia="SimSun"/>
                <w:b/>
                <w:bCs/>
              </w:rPr>
              <w:t xml:space="preserve">old </w:t>
            </w:r>
            <w:r w:rsidR="001546F2">
              <w:rPr>
                <w:rFonts w:eastAsia="SimSun"/>
                <w:b/>
                <w:bCs/>
              </w:rPr>
              <w:t>P</w:t>
            </w:r>
            <w:r w:rsidR="000B1E68">
              <w:rPr>
                <w:rFonts w:eastAsia="SimSun"/>
                <w:b/>
                <w:bCs/>
              </w:rPr>
              <w:t>oint</w:t>
            </w:r>
          </w:p>
        </w:tc>
        <w:tc>
          <w:tcPr>
            <w:tcW w:w="1119" w:type="pct"/>
            <w:tcBorders>
              <w:top w:val="single" w:sz="4" w:space="0" w:color="FFFFFF" w:themeColor="background1"/>
            </w:tcBorders>
            <w:shd w:val="clear" w:color="auto" w:fill="004259"/>
          </w:tcPr>
          <w:p w14:paraId="6D9BB73E" w14:textId="2A9ADF36" w:rsidR="00A07FEF" w:rsidRPr="00A07FEF" w:rsidRDefault="000B1E68" w:rsidP="00A07FEF">
            <w:pPr>
              <w:pStyle w:val="TableHeading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 xml:space="preserve">Witness </w:t>
            </w:r>
            <w:r w:rsidR="001546F2">
              <w:rPr>
                <w:rFonts w:eastAsia="SimSun"/>
                <w:b/>
                <w:bCs/>
              </w:rPr>
              <w:t>P</w:t>
            </w:r>
            <w:r>
              <w:rPr>
                <w:rFonts w:eastAsia="SimSun"/>
                <w:b/>
                <w:bCs/>
              </w:rPr>
              <w:t>oint</w:t>
            </w:r>
          </w:p>
        </w:tc>
        <w:tc>
          <w:tcPr>
            <w:tcW w:w="1642" w:type="pct"/>
            <w:tcBorders>
              <w:top w:val="single" w:sz="4" w:space="0" w:color="FFFFFF" w:themeColor="background1"/>
            </w:tcBorders>
            <w:shd w:val="clear" w:color="auto" w:fill="004259"/>
          </w:tcPr>
          <w:p w14:paraId="09D1B578" w14:textId="77777777" w:rsidR="00A07FEF" w:rsidRPr="00A07FEF" w:rsidRDefault="000B1E68" w:rsidP="00A07FEF">
            <w:pPr>
              <w:pStyle w:val="TableHeading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Record</w:t>
            </w:r>
          </w:p>
        </w:tc>
      </w:tr>
      <w:tr w:rsidR="00DB36DD" w:rsidRPr="00F70927" w14:paraId="3FCE1BC8" w14:textId="77777777" w:rsidTr="00DB36DD">
        <w:tc>
          <w:tcPr>
            <w:tcW w:w="672" w:type="pct"/>
            <w:shd w:val="clear" w:color="auto" w:fill="D9D9D9" w:themeFill="background1" w:themeFillShade="D9"/>
          </w:tcPr>
          <w:p w14:paraId="189F1B62" w14:textId="76F88E8E" w:rsidR="00274EEC" w:rsidRPr="00F70927" w:rsidRDefault="00970B09" w:rsidP="00274EEC">
            <w:pPr>
              <w:pStyle w:val="TableBodyText"/>
            </w:pPr>
            <w:r>
              <w:fldChar w:fldCharType="begin"/>
            </w:r>
            <w:r>
              <w:instrText xml:space="preserve"> REF _Ref167280275 \r \h </w:instrText>
            </w:r>
            <w:r w:rsidR="00DB36DD">
              <w:instrText xml:space="preserve"> \* MERGEFORMAT </w:instrText>
            </w:r>
            <w:r>
              <w:fldChar w:fldCharType="separate"/>
            </w:r>
            <w:r w:rsidR="006544BA">
              <w:t>4.1</w:t>
            </w:r>
            <w:r>
              <w:fldChar w:fldCharType="end"/>
            </w:r>
          </w:p>
        </w:tc>
        <w:tc>
          <w:tcPr>
            <w:tcW w:w="1567" w:type="pct"/>
            <w:shd w:val="clear" w:color="auto" w:fill="D9D9D9" w:themeFill="background1" w:themeFillShade="D9"/>
          </w:tcPr>
          <w:p w14:paraId="2AEA4004" w14:textId="6159816D" w:rsidR="00274EEC" w:rsidRPr="00CF24A6" w:rsidRDefault="00274EEC" w:rsidP="009A1ACF">
            <w:pPr>
              <w:pStyle w:val="TableBodyText"/>
              <w:numPr>
                <w:ilvl w:val="0"/>
                <w:numId w:val="61"/>
              </w:numPr>
            </w:pPr>
            <w:r w:rsidRPr="0090566A">
              <w:t xml:space="preserve">Commencement of </w:t>
            </w:r>
            <w:r w:rsidR="00391BEB" w:rsidRPr="00391BEB">
              <w:t>Roller Compacted Concrete</w:t>
            </w:r>
            <w:r w:rsidRPr="0090566A">
              <w:t xml:space="preserve"> production </w:t>
            </w:r>
          </w:p>
        </w:tc>
        <w:tc>
          <w:tcPr>
            <w:tcW w:w="1119" w:type="pct"/>
            <w:shd w:val="clear" w:color="auto" w:fill="D9D9D9" w:themeFill="background1" w:themeFillShade="D9"/>
          </w:tcPr>
          <w:p w14:paraId="77A6A2E1" w14:textId="77777777" w:rsidR="00274EEC" w:rsidRPr="00F70927" w:rsidRDefault="00274EEC" w:rsidP="00274EEC">
            <w:pPr>
              <w:pStyle w:val="TableBodyText"/>
            </w:pPr>
          </w:p>
        </w:tc>
        <w:tc>
          <w:tcPr>
            <w:tcW w:w="1642" w:type="pct"/>
            <w:shd w:val="clear" w:color="auto" w:fill="D9D9D9" w:themeFill="background1" w:themeFillShade="D9"/>
          </w:tcPr>
          <w:p w14:paraId="4EC3923D" w14:textId="19B75F49" w:rsidR="00274EEC" w:rsidRPr="00CF24A6" w:rsidRDefault="00274EEC" w:rsidP="00274EEC">
            <w:pPr>
              <w:pStyle w:val="TableBodyText"/>
            </w:pPr>
            <w:r w:rsidRPr="0090566A">
              <w:t>Quality Plan</w:t>
            </w:r>
          </w:p>
        </w:tc>
      </w:tr>
      <w:tr w:rsidR="00DB36DD" w:rsidRPr="00F70927" w14:paraId="566E5C4E" w14:textId="77777777" w:rsidTr="00DB36DD">
        <w:tc>
          <w:tcPr>
            <w:tcW w:w="672" w:type="pct"/>
            <w:shd w:val="clear" w:color="auto" w:fill="D9D9D9" w:themeFill="background1" w:themeFillShade="D9"/>
          </w:tcPr>
          <w:p w14:paraId="610C9787" w14:textId="7684988A" w:rsidR="00274EEC" w:rsidRPr="00F70927" w:rsidRDefault="000F6C6F" w:rsidP="00274EEC">
            <w:pPr>
              <w:pStyle w:val="TableBodyText"/>
            </w:pPr>
            <w:r>
              <w:fldChar w:fldCharType="begin"/>
            </w:r>
            <w:r>
              <w:instrText xml:space="preserve"> REF _Ref167278332 \r \h </w:instrText>
            </w:r>
            <w:r>
              <w:fldChar w:fldCharType="separate"/>
            </w:r>
            <w:r w:rsidR="006544BA">
              <w:t>6.6</w:t>
            </w:r>
            <w:r>
              <w:fldChar w:fldCharType="end"/>
            </w:r>
          </w:p>
        </w:tc>
        <w:tc>
          <w:tcPr>
            <w:tcW w:w="1567" w:type="pct"/>
            <w:shd w:val="clear" w:color="auto" w:fill="D9D9D9" w:themeFill="background1" w:themeFillShade="D9"/>
          </w:tcPr>
          <w:p w14:paraId="3B1E0802" w14:textId="676CC664" w:rsidR="00274EEC" w:rsidRPr="00CF24A6" w:rsidRDefault="00274EEC" w:rsidP="009A1ACF">
            <w:pPr>
              <w:pStyle w:val="TableBodyText"/>
              <w:numPr>
                <w:ilvl w:val="0"/>
                <w:numId w:val="61"/>
              </w:numPr>
            </w:pPr>
            <w:r>
              <w:t>Delivery of</w:t>
            </w:r>
            <w:r w:rsidR="00391BEB">
              <w:rPr>
                <w:rFonts w:eastAsia="SimSun" w:cs="Arial"/>
              </w:rPr>
              <w:t xml:space="preserve"> </w:t>
            </w:r>
            <w:r w:rsidR="00391BEB" w:rsidRPr="00D3605F">
              <w:rPr>
                <w:rFonts w:eastAsia="SimSun" w:cs="Arial"/>
              </w:rPr>
              <w:t>Roller Compacted Concrete</w:t>
            </w:r>
          </w:p>
        </w:tc>
        <w:tc>
          <w:tcPr>
            <w:tcW w:w="1119" w:type="pct"/>
            <w:shd w:val="clear" w:color="auto" w:fill="D9D9D9" w:themeFill="background1" w:themeFillShade="D9"/>
          </w:tcPr>
          <w:p w14:paraId="0A261922" w14:textId="77777777" w:rsidR="00274EEC" w:rsidRPr="00F70927" w:rsidRDefault="00274EEC" w:rsidP="00274EEC">
            <w:pPr>
              <w:pStyle w:val="TableBodyText"/>
            </w:pPr>
          </w:p>
        </w:tc>
        <w:tc>
          <w:tcPr>
            <w:tcW w:w="1642" w:type="pct"/>
            <w:shd w:val="clear" w:color="auto" w:fill="D9D9D9" w:themeFill="background1" w:themeFillShade="D9"/>
          </w:tcPr>
          <w:p w14:paraId="729EF01C" w14:textId="17D3ACF6" w:rsidR="00274EEC" w:rsidRPr="00CF24A6" w:rsidRDefault="004306FF" w:rsidP="00274EEC">
            <w:pPr>
              <w:pStyle w:val="TableBodyText"/>
            </w:pPr>
            <w:r>
              <w:t>Mix design</w:t>
            </w:r>
            <w:r w:rsidR="009100FA">
              <w:t>, including d</w:t>
            </w:r>
            <w:r w:rsidR="00274EEC">
              <w:t>etails, test results and certificates</w:t>
            </w:r>
          </w:p>
        </w:tc>
      </w:tr>
    </w:tbl>
    <w:p w14:paraId="092B200E" w14:textId="6991F8DD" w:rsidR="00DB5724" w:rsidRDefault="00DB5724" w:rsidP="00A07FEF">
      <w:pPr>
        <w:ind w:left="851"/>
      </w:pPr>
    </w:p>
    <w:p w14:paraId="2005148C" w14:textId="77777777" w:rsidR="00DB5724" w:rsidRDefault="00DB5724">
      <w:r>
        <w:br w:type="page"/>
      </w:r>
    </w:p>
    <w:p w14:paraId="3E55CB3B" w14:textId="7A942EDC" w:rsidR="00DB5724" w:rsidRPr="00DB5724" w:rsidRDefault="00DB5724" w:rsidP="009A1ACF">
      <w:pPr>
        <w:pStyle w:val="AnnexureHeading"/>
        <w:ind w:left="1843" w:hanging="1843"/>
      </w:pPr>
      <w:bookmarkStart w:id="74" w:name="_Toc38013557"/>
      <w:bookmarkStart w:id="75" w:name="_Toc64271101"/>
      <w:r w:rsidRPr="00DB5724">
        <w:lastRenderedPageBreak/>
        <w:t xml:space="preserve">Annexure B: </w:t>
      </w:r>
      <w:r w:rsidRPr="00DB5724">
        <w:tab/>
      </w:r>
      <w:bookmarkEnd w:id="74"/>
      <w:r w:rsidR="00CA63FC" w:rsidRPr="002452DC">
        <w:t>Minimum Frequency of Testing</w:t>
      </w:r>
      <w:bookmarkEnd w:id="75"/>
    </w:p>
    <w:p w14:paraId="7C627AE9" w14:textId="77777777" w:rsidR="00DB5724" w:rsidRPr="00DB5724" w:rsidRDefault="00DB5724" w:rsidP="00DB5724">
      <w:pPr>
        <w:spacing w:before="240"/>
        <w:rPr>
          <w:rFonts w:ascii="Arial" w:hAnsi="Arial" w:cs="Arial"/>
          <w:b/>
          <w:bCs/>
          <w:color w:val="004259"/>
          <w:sz w:val="24"/>
          <w:szCs w:val="24"/>
        </w:rPr>
      </w:pP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44"/>
        <w:gridCol w:w="2654"/>
        <w:gridCol w:w="2744"/>
        <w:gridCol w:w="3158"/>
      </w:tblGrid>
      <w:tr w:rsidR="00DB5724" w:rsidRPr="00B8700D" w14:paraId="0D442A45" w14:textId="77777777" w:rsidTr="00A3558D">
        <w:tc>
          <w:tcPr>
            <w:tcW w:w="497" w:type="pct"/>
            <w:shd w:val="clear" w:color="auto" w:fill="A6A6A6" w:themeFill="background1" w:themeFillShade="A6"/>
            <w:vAlign w:val="center"/>
          </w:tcPr>
          <w:p w14:paraId="69122CBC" w14:textId="77777777" w:rsidR="00DB5724" w:rsidRPr="00A3558D" w:rsidRDefault="00DB5724" w:rsidP="00A3558D">
            <w:pPr>
              <w:pStyle w:val="TableHeading"/>
              <w:rPr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>Clause</w:t>
            </w:r>
          </w:p>
        </w:tc>
        <w:tc>
          <w:tcPr>
            <w:tcW w:w="1397" w:type="pct"/>
            <w:shd w:val="clear" w:color="auto" w:fill="A6A6A6" w:themeFill="background1" w:themeFillShade="A6"/>
            <w:vAlign w:val="center"/>
          </w:tcPr>
          <w:p w14:paraId="794B1E4E" w14:textId="7781DD4D" w:rsidR="00DB5724" w:rsidRPr="00A3558D" w:rsidRDefault="00DB5724" w:rsidP="00A3558D">
            <w:pPr>
              <w:pStyle w:val="TableHeading"/>
              <w:rPr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 xml:space="preserve">Characteristic </w:t>
            </w:r>
            <w:r w:rsidR="009F4835" w:rsidRPr="009F4835">
              <w:rPr>
                <w:color w:val="auto"/>
                <w:sz w:val="18"/>
                <w:szCs w:val="18"/>
              </w:rPr>
              <w:t>tested</w:t>
            </w:r>
          </w:p>
        </w:tc>
        <w:tc>
          <w:tcPr>
            <w:tcW w:w="1444" w:type="pct"/>
            <w:shd w:val="clear" w:color="auto" w:fill="A6A6A6" w:themeFill="background1" w:themeFillShade="A6"/>
            <w:vAlign w:val="center"/>
          </w:tcPr>
          <w:p w14:paraId="51D699C2" w14:textId="00FBA51F" w:rsidR="00DB5724" w:rsidRPr="00A3558D" w:rsidRDefault="00DB5724" w:rsidP="00A3558D">
            <w:pPr>
              <w:pStyle w:val="TableHeading"/>
              <w:rPr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>Test Method/Standard</w:t>
            </w:r>
          </w:p>
        </w:tc>
        <w:tc>
          <w:tcPr>
            <w:tcW w:w="1661" w:type="pct"/>
            <w:shd w:val="clear" w:color="auto" w:fill="A6A6A6" w:themeFill="background1" w:themeFillShade="A6"/>
            <w:vAlign w:val="center"/>
          </w:tcPr>
          <w:p w14:paraId="30D59865" w14:textId="553C927A" w:rsidR="00DB5724" w:rsidRPr="00A3558D" w:rsidRDefault="00DB5724" w:rsidP="00A3558D">
            <w:pPr>
              <w:pStyle w:val="TableHeading"/>
              <w:rPr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 xml:space="preserve">Minimum </w:t>
            </w:r>
            <w:r w:rsidR="009F4835" w:rsidRPr="009F4835">
              <w:rPr>
                <w:color w:val="auto"/>
                <w:sz w:val="18"/>
                <w:szCs w:val="18"/>
              </w:rPr>
              <w:t xml:space="preserve">frequency </w:t>
            </w:r>
            <w:r w:rsidRPr="00A3558D">
              <w:rPr>
                <w:color w:val="auto"/>
                <w:sz w:val="18"/>
                <w:szCs w:val="18"/>
              </w:rPr>
              <w:t xml:space="preserve">of </w:t>
            </w:r>
            <w:r w:rsidR="009F4835" w:rsidRPr="009F4835">
              <w:rPr>
                <w:color w:val="auto"/>
                <w:sz w:val="18"/>
                <w:szCs w:val="18"/>
              </w:rPr>
              <w:t>testing</w:t>
            </w:r>
          </w:p>
        </w:tc>
      </w:tr>
      <w:tr w:rsidR="00DB5724" w:rsidRPr="00B8700D" w14:paraId="70F388A2" w14:textId="77777777" w:rsidTr="00A3558D">
        <w:trPr>
          <w:cantSplit/>
        </w:trPr>
        <w:tc>
          <w:tcPr>
            <w:tcW w:w="5000" w:type="pct"/>
            <w:gridSpan w:val="4"/>
            <w:shd w:val="clear" w:color="auto" w:fill="A6A6A6" w:themeFill="background1" w:themeFillShade="A6"/>
          </w:tcPr>
          <w:p w14:paraId="0B1648CD" w14:textId="77777777" w:rsidR="00DB5724" w:rsidRPr="00A3558D" w:rsidRDefault="00DB5724" w:rsidP="00A3558D">
            <w:pPr>
              <w:pStyle w:val="TableHeading"/>
              <w:rPr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>Binder</w:t>
            </w:r>
          </w:p>
        </w:tc>
      </w:tr>
      <w:tr w:rsidR="00DB5724" w:rsidRPr="00B8700D" w14:paraId="60ACFA0A" w14:textId="77777777" w:rsidTr="00A3558D">
        <w:tc>
          <w:tcPr>
            <w:tcW w:w="497" w:type="pct"/>
            <w:shd w:val="clear" w:color="auto" w:fill="D9D9D9" w:themeFill="background1" w:themeFillShade="D9"/>
          </w:tcPr>
          <w:p w14:paraId="49CD967A" w14:textId="4C9AAFBC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fldChar w:fldCharType="begin"/>
            </w:r>
            <w:r w:rsidRPr="00A3558D">
              <w:rPr>
                <w:sz w:val="18"/>
                <w:szCs w:val="18"/>
              </w:rPr>
              <w:instrText xml:space="preserve"> REF _Ref64039644 \r \h </w:instrText>
            </w:r>
            <w:r w:rsidR="00B8700D" w:rsidRPr="00A3558D">
              <w:rPr>
                <w:sz w:val="18"/>
                <w:szCs w:val="18"/>
              </w:rPr>
              <w:instrText xml:space="preserve"> \* MERGEFORMAT </w:instrText>
            </w:r>
            <w:r w:rsidRPr="00A3558D">
              <w:rPr>
                <w:sz w:val="18"/>
                <w:szCs w:val="18"/>
              </w:rPr>
            </w:r>
            <w:r w:rsidRPr="00A3558D">
              <w:rPr>
                <w:sz w:val="18"/>
                <w:szCs w:val="18"/>
              </w:rPr>
              <w:fldChar w:fldCharType="separate"/>
            </w:r>
            <w:r w:rsidR="006544BA" w:rsidRPr="00A3558D">
              <w:rPr>
                <w:sz w:val="18"/>
                <w:szCs w:val="18"/>
              </w:rPr>
              <w:t>5.4</w:t>
            </w:r>
            <w:r w:rsidRPr="00A355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7" w:type="pct"/>
            <w:shd w:val="clear" w:color="auto" w:fill="D9D9D9" w:themeFill="background1" w:themeFillShade="D9"/>
          </w:tcPr>
          <w:p w14:paraId="6F12A840" w14:textId="77777777" w:rsidR="00DB5724" w:rsidRPr="00A3558D" w:rsidRDefault="00DB5724" w:rsidP="00A3558D">
            <w:pPr>
              <w:pStyle w:val="TableBodyText"/>
              <w:rPr>
                <w:strike/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Cementitious materials</w:t>
            </w:r>
          </w:p>
        </w:tc>
        <w:tc>
          <w:tcPr>
            <w:tcW w:w="1444" w:type="pct"/>
            <w:shd w:val="clear" w:color="auto" w:fill="D9D9D9" w:themeFill="background1" w:themeFillShade="D9"/>
          </w:tcPr>
          <w:p w14:paraId="39CD889A" w14:textId="2DD75EBB" w:rsidR="00DB5724" w:rsidRPr="00A3558D" w:rsidRDefault="00BA08A7" w:rsidP="00A3558D">
            <w:pPr>
              <w:pStyle w:val="TableBodyText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See</w:t>
            </w:r>
            <w:r w:rsidRPr="00A3558D">
              <w:rPr>
                <w:sz w:val="18"/>
                <w:szCs w:val="18"/>
              </w:rPr>
              <w:t xml:space="preserve"> </w:t>
            </w:r>
            <w:r w:rsidR="00DB5724" w:rsidRPr="00A3558D">
              <w:rPr>
                <w:sz w:val="18"/>
                <w:szCs w:val="18"/>
              </w:rPr>
              <w:t xml:space="preserve">Clause </w:t>
            </w:r>
            <w:r w:rsidR="00DB5724" w:rsidRPr="00A3558D">
              <w:rPr>
                <w:sz w:val="18"/>
                <w:szCs w:val="18"/>
              </w:rPr>
              <w:fldChar w:fldCharType="begin"/>
            </w:r>
            <w:r w:rsidR="00DB5724" w:rsidRPr="00A3558D">
              <w:rPr>
                <w:sz w:val="18"/>
                <w:szCs w:val="18"/>
              </w:rPr>
              <w:instrText xml:space="preserve"> REF _Ref64039644 \r \h </w:instrText>
            </w:r>
            <w:r w:rsidR="00B8700D" w:rsidRPr="00A3558D">
              <w:rPr>
                <w:sz w:val="18"/>
                <w:szCs w:val="18"/>
              </w:rPr>
              <w:instrText xml:space="preserve"> \* MERGEFORMAT </w:instrText>
            </w:r>
            <w:r w:rsidR="00DB5724" w:rsidRPr="00A3558D">
              <w:rPr>
                <w:sz w:val="18"/>
                <w:szCs w:val="18"/>
              </w:rPr>
            </w:r>
            <w:r w:rsidR="00DB5724" w:rsidRPr="00A3558D">
              <w:rPr>
                <w:sz w:val="18"/>
                <w:szCs w:val="18"/>
              </w:rPr>
              <w:fldChar w:fldCharType="separate"/>
            </w:r>
            <w:r w:rsidR="006544BA" w:rsidRPr="00A3558D">
              <w:rPr>
                <w:sz w:val="18"/>
                <w:szCs w:val="18"/>
              </w:rPr>
              <w:t>5.4</w:t>
            </w:r>
            <w:r w:rsidR="00DB5724" w:rsidRPr="00A3558D">
              <w:rPr>
                <w:sz w:val="18"/>
                <w:szCs w:val="18"/>
              </w:rPr>
              <w:fldChar w:fldCharType="end"/>
            </w:r>
            <w:r w:rsidR="00DB5724" w:rsidRPr="00A355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1" w:type="pct"/>
            <w:shd w:val="clear" w:color="auto" w:fill="D9D9D9" w:themeFill="background1" w:themeFillShade="D9"/>
          </w:tcPr>
          <w:p w14:paraId="1CFE3E69" w14:textId="50FA4FE2" w:rsidR="00DB5724" w:rsidRPr="00A3558D" w:rsidRDefault="00BA08A7" w:rsidP="00A3558D">
            <w:pPr>
              <w:pStyle w:val="TableBodyText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See</w:t>
            </w:r>
            <w:r w:rsidRPr="00A3558D">
              <w:rPr>
                <w:sz w:val="18"/>
                <w:szCs w:val="18"/>
              </w:rPr>
              <w:t xml:space="preserve"> </w:t>
            </w:r>
            <w:r w:rsidR="00DB5724" w:rsidRPr="00A3558D">
              <w:rPr>
                <w:sz w:val="18"/>
                <w:szCs w:val="18"/>
              </w:rPr>
              <w:t xml:space="preserve">Clause </w:t>
            </w:r>
            <w:r w:rsidR="00DB5724" w:rsidRPr="00A3558D">
              <w:rPr>
                <w:sz w:val="18"/>
                <w:szCs w:val="18"/>
              </w:rPr>
              <w:fldChar w:fldCharType="begin"/>
            </w:r>
            <w:r w:rsidR="00DB5724" w:rsidRPr="00A3558D">
              <w:rPr>
                <w:sz w:val="18"/>
                <w:szCs w:val="18"/>
              </w:rPr>
              <w:instrText xml:space="preserve"> REF _Ref64039644 \r \h </w:instrText>
            </w:r>
            <w:r w:rsidR="00B8700D" w:rsidRPr="00A3558D">
              <w:rPr>
                <w:sz w:val="18"/>
                <w:szCs w:val="18"/>
              </w:rPr>
              <w:instrText xml:space="preserve"> \* MERGEFORMAT </w:instrText>
            </w:r>
            <w:r w:rsidR="00DB5724" w:rsidRPr="00A3558D">
              <w:rPr>
                <w:sz w:val="18"/>
                <w:szCs w:val="18"/>
              </w:rPr>
            </w:r>
            <w:r w:rsidR="00DB5724" w:rsidRPr="00A3558D">
              <w:rPr>
                <w:sz w:val="18"/>
                <w:szCs w:val="18"/>
              </w:rPr>
              <w:fldChar w:fldCharType="separate"/>
            </w:r>
            <w:r w:rsidR="006544BA" w:rsidRPr="00A3558D">
              <w:rPr>
                <w:sz w:val="18"/>
                <w:szCs w:val="18"/>
              </w:rPr>
              <w:t>5.4</w:t>
            </w:r>
            <w:r w:rsidR="00DB5724" w:rsidRPr="00A3558D">
              <w:rPr>
                <w:sz w:val="18"/>
                <w:szCs w:val="18"/>
              </w:rPr>
              <w:fldChar w:fldCharType="end"/>
            </w:r>
            <w:r w:rsidR="00DB5724" w:rsidRPr="00A3558D">
              <w:rPr>
                <w:sz w:val="18"/>
                <w:szCs w:val="18"/>
              </w:rPr>
              <w:t xml:space="preserve"> </w:t>
            </w:r>
          </w:p>
        </w:tc>
      </w:tr>
      <w:tr w:rsidR="00DB5724" w:rsidRPr="00B8700D" w14:paraId="35D33144" w14:textId="77777777" w:rsidTr="00A3558D">
        <w:trPr>
          <w:cantSplit/>
        </w:trPr>
        <w:tc>
          <w:tcPr>
            <w:tcW w:w="5000" w:type="pct"/>
            <w:gridSpan w:val="4"/>
            <w:shd w:val="clear" w:color="auto" w:fill="A6A6A6" w:themeFill="background1" w:themeFillShade="A6"/>
          </w:tcPr>
          <w:p w14:paraId="67013ECD" w14:textId="77777777" w:rsidR="00DB5724" w:rsidRPr="00A3558D" w:rsidRDefault="00DB5724" w:rsidP="00A3558D">
            <w:pPr>
              <w:pStyle w:val="TableHeading"/>
              <w:rPr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>Aggregates</w:t>
            </w:r>
          </w:p>
        </w:tc>
      </w:tr>
      <w:tr w:rsidR="00DB5724" w:rsidRPr="00B8700D" w14:paraId="3E7BB736" w14:textId="77777777" w:rsidTr="00A3558D">
        <w:tc>
          <w:tcPr>
            <w:tcW w:w="497" w:type="pct"/>
            <w:shd w:val="clear" w:color="auto" w:fill="D9D9D9" w:themeFill="background1" w:themeFillShade="D9"/>
          </w:tcPr>
          <w:p w14:paraId="0215BBAC" w14:textId="0F957928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fldChar w:fldCharType="begin"/>
            </w:r>
            <w:r w:rsidRPr="00A3558D">
              <w:rPr>
                <w:sz w:val="18"/>
                <w:szCs w:val="18"/>
              </w:rPr>
              <w:instrText xml:space="preserve"> REF _Ref64044197 \r \h </w:instrText>
            </w:r>
            <w:r w:rsidR="00293CE1" w:rsidRPr="00A3558D">
              <w:rPr>
                <w:sz w:val="18"/>
                <w:szCs w:val="18"/>
              </w:rPr>
              <w:instrText xml:space="preserve"> \* MERGEFORMAT </w:instrText>
            </w:r>
            <w:r w:rsidRPr="00A3558D">
              <w:rPr>
                <w:sz w:val="18"/>
                <w:szCs w:val="18"/>
              </w:rPr>
            </w:r>
            <w:r w:rsidRPr="00A3558D">
              <w:rPr>
                <w:sz w:val="18"/>
                <w:szCs w:val="18"/>
              </w:rPr>
              <w:fldChar w:fldCharType="separate"/>
            </w:r>
            <w:r w:rsidR="006544BA" w:rsidRPr="00A3558D">
              <w:rPr>
                <w:sz w:val="18"/>
                <w:szCs w:val="18"/>
              </w:rPr>
              <w:t>5.12</w:t>
            </w:r>
            <w:r w:rsidRPr="00A355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7" w:type="pct"/>
            <w:shd w:val="clear" w:color="auto" w:fill="D9D9D9" w:themeFill="background1" w:themeFillShade="D9"/>
          </w:tcPr>
          <w:p w14:paraId="16CD7148" w14:textId="77777777" w:rsidR="00DB5724" w:rsidRPr="00A3558D" w:rsidRDefault="00DB5724" w:rsidP="00A3558D">
            <w:pPr>
              <w:pStyle w:val="TableBodyText"/>
              <w:rPr>
                <w:b/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Unit Mass (Bulk Density)</w:t>
            </w:r>
          </w:p>
        </w:tc>
        <w:tc>
          <w:tcPr>
            <w:tcW w:w="1444" w:type="pct"/>
            <w:shd w:val="clear" w:color="auto" w:fill="D9D9D9" w:themeFill="background1" w:themeFillShade="D9"/>
          </w:tcPr>
          <w:p w14:paraId="627F88AF" w14:textId="7777777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AS 1141.4</w:t>
            </w:r>
          </w:p>
        </w:tc>
        <w:tc>
          <w:tcPr>
            <w:tcW w:w="1661" w:type="pct"/>
            <w:shd w:val="clear" w:color="auto" w:fill="D9D9D9" w:themeFill="background1" w:themeFillShade="D9"/>
          </w:tcPr>
          <w:p w14:paraId="51AB94E3" w14:textId="0D4E3340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One (</w:t>
            </w:r>
            <w:r w:rsidR="009F0F49">
              <w:rPr>
                <w:sz w:val="18"/>
                <w:szCs w:val="18"/>
              </w:rPr>
              <w:t>t</w:t>
            </w:r>
            <w:r w:rsidRPr="00A3558D">
              <w:rPr>
                <w:sz w:val="18"/>
                <w:szCs w:val="18"/>
              </w:rPr>
              <w:t>rial mix only)</w:t>
            </w:r>
          </w:p>
        </w:tc>
      </w:tr>
      <w:tr w:rsidR="00DB5724" w:rsidRPr="00B8700D" w14:paraId="077C49FD" w14:textId="77777777" w:rsidTr="00A3558D">
        <w:tc>
          <w:tcPr>
            <w:tcW w:w="497" w:type="pct"/>
            <w:shd w:val="clear" w:color="auto" w:fill="D9D9D9" w:themeFill="background1" w:themeFillShade="D9"/>
          </w:tcPr>
          <w:p w14:paraId="2B3057ED" w14:textId="1508E87F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fldChar w:fldCharType="begin"/>
            </w:r>
            <w:r w:rsidRPr="00A3558D">
              <w:rPr>
                <w:sz w:val="18"/>
                <w:szCs w:val="18"/>
              </w:rPr>
              <w:instrText xml:space="preserve"> REF _Ref64044197 \r \h </w:instrText>
            </w:r>
            <w:r w:rsidR="00293CE1" w:rsidRPr="00A3558D">
              <w:rPr>
                <w:sz w:val="18"/>
                <w:szCs w:val="18"/>
              </w:rPr>
              <w:instrText xml:space="preserve"> \* MERGEFORMAT </w:instrText>
            </w:r>
            <w:r w:rsidRPr="00A3558D">
              <w:rPr>
                <w:sz w:val="18"/>
                <w:szCs w:val="18"/>
              </w:rPr>
            </w:r>
            <w:r w:rsidRPr="00A3558D">
              <w:rPr>
                <w:sz w:val="18"/>
                <w:szCs w:val="18"/>
              </w:rPr>
              <w:fldChar w:fldCharType="separate"/>
            </w:r>
            <w:r w:rsidR="006544BA" w:rsidRPr="00A3558D">
              <w:rPr>
                <w:sz w:val="18"/>
                <w:szCs w:val="18"/>
              </w:rPr>
              <w:t>5.12</w:t>
            </w:r>
            <w:r w:rsidRPr="00A355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7" w:type="pct"/>
            <w:shd w:val="clear" w:color="auto" w:fill="D9D9D9" w:themeFill="background1" w:themeFillShade="D9"/>
          </w:tcPr>
          <w:p w14:paraId="78A9F99C" w14:textId="77777777" w:rsidR="00DB5724" w:rsidRPr="00A3558D" w:rsidRDefault="00DB5724" w:rsidP="00A3558D">
            <w:pPr>
              <w:pStyle w:val="TableBodyText"/>
              <w:rPr>
                <w:b/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Water Absorption</w:t>
            </w:r>
          </w:p>
        </w:tc>
        <w:tc>
          <w:tcPr>
            <w:tcW w:w="1444" w:type="pct"/>
            <w:shd w:val="clear" w:color="auto" w:fill="D9D9D9" w:themeFill="background1" w:themeFillShade="D9"/>
          </w:tcPr>
          <w:p w14:paraId="2BD9BFB2" w14:textId="40D5B81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AS 1141.5/AS 1141.6.1</w:t>
            </w:r>
          </w:p>
        </w:tc>
        <w:tc>
          <w:tcPr>
            <w:tcW w:w="1661" w:type="pct"/>
            <w:shd w:val="clear" w:color="auto" w:fill="D9D9D9" w:themeFill="background1" w:themeFillShade="D9"/>
          </w:tcPr>
          <w:p w14:paraId="5B9BEA67" w14:textId="7777777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Once within 12 months prior</w:t>
            </w:r>
          </w:p>
        </w:tc>
      </w:tr>
      <w:tr w:rsidR="00DB5724" w:rsidRPr="00B8700D" w14:paraId="2CC3A7D9" w14:textId="77777777" w:rsidTr="00A3558D">
        <w:tc>
          <w:tcPr>
            <w:tcW w:w="497" w:type="pct"/>
            <w:shd w:val="clear" w:color="auto" w:fill="D9D9D9" w:themeFill="background1" w:themeFillShade="D9"/>
          </w:tcPr>
          <w:p w14:paraId="462F16D9" w14:textId="5C121FEE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fldChar w:fldCharType="begin"/>
            </w:r>
            <w:r w:rsidRPr="00A3558D">
              <w:rPr>
                <w:sz w:val="18"/>
                <w:szCs w:val="18"/>
              </w:rPr>
              <w:instrText xml:space="preserve"> REF _Ref64044197 \r \h </w:instrText>
            </w:r>
            <w:r w:rsidR="00293CE1" w:rsidRPr="00A3558D">
              <w:rPr>
                <w:sz w:val="18"/>
                <w:szCs w:val="18"/>
              </w:rPr>
              <w:instrText xml:space="preserve"> \* MERGEFORMAT </w:instrText>
            </w:r>
            <w:r w:rsidRPr="00A3558D">
              <w:rPr>
                <w:sz w:val="18"/>
                <w:szCs w:val="18"/>
              </w:rPr>
            </w:r>
            <w:r w:rsidRPr="00A3558D">
              <w:rPr>
                <w:sz w:val="18"/>
                <w:szCs w:val="18"/>
              </w:rPr>
              <w:fldChar w:fldCharType="separate"/>
            </w:r>
            <w:r w:rsidR="006544BA" w:rsidRPr="00A3558D">
              <w:rPr>
                <w:sz w:val="18"/>
                <w:szCs w:val="18"/>
              </w:rPr>
              <w:t>5.12</w:t>
            </w:r>
            <w:r w:rsidRPr="00A355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7" w:type="pct"/>
            <w:shd w:val="clear" w:color="auto" w:fill="D9D9D9" w:themeFill="background1" w:themeFillShade="D9"/>
          </w:tcPr>
          <w:p w14:paraId="178C558E" w14:textId="77777777" w:rsidR="00DB5724" w:rsidRPr="00A3558D" w:rsidRDefault="00DB5724" w:rsidP="00A3558D">
            <w:pPr>
              <w:pStyle w:val="TableBodyText"/>
              <w:rPr>
                <w:b/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Soundness for Fine Aggregate</w:t>
            </w:r>
          </w:p>
        </w:tc>
        <w:tc>
          <w:tcPr>
            <w:tcW w:w="1444" w:type="pct"/>
            <w:shd w:val="clear" w:color="auto" w:fill="D9D9D9" w:themeFill="background1" w:themeFillShade="D9"/>
          </w:tcPr>
          <w:p w14:paraId="7DBAF070" w14:textId="7777777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AS 1141.24</w:t>
            </w:r>
          </w:p>
        </w:tc>
        <w:tc>
          <w:tcPr>
            <w:tcW w:w="1661" w:type="pct"/>
            <w:shd w:val="clear" w:color="auto" w:fill="D9D9D9" w:themeFill="background1" w:themeFillShade="D9"/>
          </w:tcPr>
          <w:p w14:paraId="07A70050" w14:textId="3A59F1C4" w:rsidR="00DB5724" w:rsidRPr="00A3558D" w:rsidRDefault="00092BD7" w:rsidP="00A3558D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</w:t>
            </w:r>
            <w:r w:rsidR="00DB5724" w:rsidRPr="00A3558D">
              <w:rPr>
                <w:sz w:val="18"/>
                <w:szCs w:val="18"/>
              </w:rPr>
              <w:t xml:space="preserve"> per 4000 tonnes</w:t>
            </w:r>
          </w:p>
        </w:tc>
      </w:tr>
      <w:tr w:rsidR="00DB5724" w:rsidRPr="00B8700D" w14:paraId="3DA16B9E" w14:textId="77777777" w:rsidTr="00A3558D">
        <w:tc>
          <w:tcPr>
            <w:tcW w:w="497" w:type="pct"/>
            <w:shd w:val="clear" w:color="auto" w:fill="D9D9D9" w:themeFill="background1" w:themeFillShade="D9"/>
          </w:tcPr>
          <w:p w14:paraId="690AFECE" w14:textId="7AC12E6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fldChar w:fldCharType="begin"/>
            </w:r>
            <w:r w:rsidRPr="00A3558D">
              <w:rPr>
                <w:sz w:val="18"/>
                <w:szCs w:val="18"/>
              </w:rPr>
              <w:instrText xml:space="preserve"> REF _Ref64044197 \r \h </w:instrText>
            </w:r>
            <w:r w:rsidR="00293CE1" w:rsidRPr="00A3558D">
              <w:rPr>
                <w:sz w:val="18"/>
                <w:szCs w:val="18"/>
              </w:rPr>
              <w:instrText xml:space="preserve"> \* MERGEFORMAT </w:instrText>
            </w:r>
            <w:r w:rsidRPr="00A3558D">
              <w:rPr>
                <w:sz w:val="18"/>
                <w:szCs w:val="18"/>
              </w:rPr>
            </w:r>
            <w:r w:rsidRPr="00A3558D">
              <w:rPr>
                <w:sz w:val="18"/>
                <w:szCs w:val="18"/>
              </w:rPr>
              <w:fldChar w:fldCharType="separate"/>
            </w:r>
            <w:r w:rsidR="006544BA" w:rsidRPr="00A3558D">
              <w:rPr>
                <w:sz w:val="18"/>
                <w:szCs w:val="18"/>
              </w:rPr>
              <w:t>5.12</w:t>
            </w:r>
            <w:r w:rsidRPr="00A355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7" w:type="pct"/>
            <w:shd w:val="clear" w:color="auto" w:fill="D9D9D9" w:themeFill="background1" w:themeFillShade="D9"/>
          </w:tcPr>
          <w:p w14:paraId="65DE0FE8" w14:textId="7777777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 xml:space="preserve">Material finer than 2 </w:t>
            </w:r>
            <w:r w:rsidRPr="00A3558D">
              <w:rPr>
                <w:sz w:val="18"/>
                <w:szCs w:val="18"/>
              </w:rPr>
              <w:sym w:font="Symbol" w:char="F06D"/>
            </w:r>
            <w:r w:rsidRPr="00A3558D">
              <w:rPr>
                <w:sz w:val="18"/>
                <w:szCs w:val="18"/>
              </w:rPr>
              <w:t>m</w:t>
            </w:r>
          </w:p>
        </w:tc>
        <w:tc>
          <w:tcPr>
            <w:tcW w:w="1444" w:type="pct"/>
            <w:shd w:val="clear" w:color="auto" w:fill="D9D9D9" w:themeFill="background1" w:themeFillShade="D9"/>
          </w:tcPr>
          <w:p w14:paraId="131526C7" w14:textId="7777777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AS 1141.13</w:t>
            </w:r>
          </w:p>
        </w:tc>
        <w:tc>
          <w:tcPr>
            <w:tcW w:w="1661" w:type="pct"/>
            <w:shd w:val="clear" w:color="auto" w:fill="D9D9D9" w:themeFill="background1" w:themeFillShade="D9"/>
          </w:tcPr>
          <w:p w14:paraId="2D7D5E8F" w14:textId="7777777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One per 4000 tonnes</w:t>
            </w:r>
          </w:p>
        </w:tc>
      </w:tr>
      <w:tr w:rsidR="00DB5724" w:rsidRPr="00B8700D" w14:paraId="2E255CBA" w14:textId="77777777" w:rsidTr="00A3558D">
        <w:tc>
          <w:tcPr>
            <w:tcW w:w="497" w:type="pct"/>
            <w:shd w:val="clear" w:color="auto" w:fill="D9D9D9" w:themeFill="background1" w:themeFillShade="D9"/>
          </w:tcPr>
          <w:p w14:paraId="74AA53CD" w14:textId="7C547C02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fldChar w:fldCharType="begin"/>
            </w:r>
            <w:r w:rsidRPr="00A3558D">
              <w:rPr>
                <w:sz w:val="18"/>
                <w:szCs w:val="18"/>
              </w:rPr>
              <w:instrText xml:space="preserve"> REF _Ref64044197 \r \h </w:instrText>
            </w:r>
            <w:r w:rsidR="00293CE1" w:rsidRPr="00A3558D">
              <w:rPr>
                <w:sz w:val="18"/>
                <w:szCs w:val="18"/>
              </w:rPr>
              <w:instrText xml:space="preserve"> \* MERGEFORMAT </w:instrText>
            </w:r>
            <w:r w:rsidRPr="00A3558D">
              <w:rPr>
                <w:sz w:val="18"/>
                <w:szCs w:val="18"/>
              </w:rPr>
            </w:r>
            <w:r w:rsidRPr="00A3558D">
              <w:rPr>
                <w:sz w:val="18"/>
                <w:szCs w:val="18"/>
              </w:rPr>
              <w:fldChar w:fldCharType="separate"/>
            </w:r>
            <w:r w:rsidR="006544BA" w:rsidRPr="00A3558D">
              <w:rPr>
                <w:sz w:val="18"/>
                <w:szCs w:val="18"/>
              </w:rPr>
              <w:t>5.12</w:t>
            </w:r>
            <w:r w:rsidRPr="00A355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7" w:type="pct"/>
            <w:shd w:val="clear" w:color="auto" w:fill="D9D9D9" w:themeFill="background1" w:themeFillShade="D9"/>
          </w:tcPr>
          <w:p w14:paraId="455DE3A5" w14:textId="7777777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 xml:space="preserve">Material finer than 75 </w:t>
            </w:r>
            <w:r w:rsidRPr="00A3558D">
              <w:rPr>
                <w:sz w:val="18"/>
                <w:szCs w:val="18"/>
              </w:rPr>
              <w:sym w:font="Symbol" w:char="F06D"/>
            </w:r>
            <w:r w:rsidRPr="00A3558D">
              <w:rPr>
                <w:sz w:val="18"/>
                <w:szCs w:val="18"/>
              </w:rPr>
              <w:t>m</w:t>
            </w:r>
          </w:p>
        </w:tc>
        <w:tc>
          <w:tcPr>
            <w:tcW w:w="1444" w:type="pct"/>
            <w:shd w:val="clear" w:color="auto" w:fill="D9D9D9" w:themeFill="background1" w:themeFillShade="D9"/>
          </w:tcPr>
          <w:p w14:paraId="3DF31AAA" w14:textId="7777777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AS 1141.12</w:t>
            </w:r>
          </w:p>
        </w:tc>
        <w:tc>
          <w:tcPr>
            <w:tcW w:w="1661" w:type="pct"/>
            <w:shd w:val="clear" w:color="auto" w:fill="D9D9D9" w:themeFill="background1" w:themeFillShade="D9"/>
          </w:tcPr>
          <w:p w14:paraId="3252D0EA" w14:textId="7777777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One per 4000 tonnes</w:t>
            </w:r>
          </w:p>
        </w:tc>
      </w:tr>
      <w:tr w:rsidR="00DB5724" w:rsidRPr="00B8700D" w14:paraId="0434BB41" w14:textId="77777777" w:rsidTr="00A3558D">
        <w:tc>
          <w:tcPr>
            <w:tcW w:w="497" w:type="pct"/>
            <w:shd w:val="clear" w:color="auto" w:fill="D9D9D9" w:themeFill="background1" w:themeFillShade="D9"/>
          </w:tcPr>
          <w:p w14:paraId="6A631C7E" w14:textId="6C08BECB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fldChar w:fldCharType="begin"/>
            </w:r>
            <w:r w:rsidRPr="00A3558D">
              <w:rPr>
                <w:sz w:val="18"/>
                <w:szCs w:val="18"/>
              </w:rPr>
              <w:instrText xml:space="preserve"> REF _Ref64044197 \r \h </w:instrText>
            </w:r>
            <w:r w:rsidR="00293CE1" w:rsidRPr="00A3558D">
              <w:rPr>
                <w:sz w:val="18"/>
                <w:szCs w:val="18"/>
              </w:rPr>
              <w:instrText xml:space="preserve"> \* MERGEFORMAT </w:instrText>
            </w:r>
            <w:r w:rsidRPr="00A3558D">
              <w:rPr>
                <w:sz w:val="18"/>
                <w:szCs w:val="18"/>
              </w:rPr>
            </w:r>
            <w:r w:rsidRPr="00A3558D">
              <w:rPr>
                <w:sz w:val="18"/>
                <w:szCs w:val="18"/>
              </w:rPr>
              <w:fldChar w:fldCharType="separate"/>
            </w:r>
            <w:r w:rsidR="006544BA" w:rsidRPr="00A3558D">
              <w:rPr>
                <w:sz w:val="18"/>
                <w:szCs w:val="18"/>
              </w:rPr>
              <w:t>5.12</w:t>
            </w:r>
            <w:r w:rsidRPr="00A355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7" w:type="pct"/>
            <w:shd w:val="clear" w:color="auto" w:fill="D9D9D9" w:themeFill="background1" w:themeFillShade="D9"/>
          </w:tcPr>
          <w:p w14:paraId="7748EE34" w14:textId="7777777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Wet Strength</w:t>
            </w:r>
          </w:p>
        </w:tc>
        <w:tc>
          <w:tcPr>
            <w:tcW w:w="1444" w:type="pct"/>
            <w:shd w:val="clear" w:color="auto" w:fill="D9D9D9" w:themeFill="background1" w:themeFillShade="D9"/>
          </w:tcPr>
          <w:p w14:paraId="43E73854" w14:textId="3DE2F573" w:rsidR="00DB5724" w:rsidRPr="00A3558D" w:rsidRDefault="0077622D" w:rsidP="00A3558D">
            <w:pPr>
              <w:pStyle w:val="TableBodyText"/>
              <w:rPr>
                <w:sz w:val="18"/>
                <w:szCs w:val="18"/>
              </w:rPr>
            </w:pPr>
            <w:proofErr w:type="spellStart"/>
            <w:r w:rsidRPr="00A3558D">
              <w:rPr>
                <w:sz w:val="18"/>
                <w:szCs w:val="18"/>
              </w:rPr>
              <w:t>TfNSW</w:t>
            </w:r>
            <w:proofErr w:type="spellEnd"/>
            <w:r w:rsidRPr="00A3558D">
              <w:rPr>
                <w:sz w:val="18"/>
                <w:szCs w:val="18"/>
              </w:rPr>
              <w:t xml:space="preserve"> T215</w:t>
            </w:r>
          </w:p>
        </w:tc>
        <w:tc>
          <w:tcPr>
            <w:tcW w:w="1661" w:type="pct"/>
            <w:shd w:val="clear" w:color="auto" w:fill="D9D9D9" w:themeFill="background1" w:themeFillShade="D9"/>
          </w:tcPr>
          <w:p w14:paraId="1868B6AD" w14:textId="279CD122" w:rsidR="00DB5724" w:rsidRPr="00A3558D" w:rsidRDefault="00092BD7" w:rsidP="00A3558D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</w:t>
            </w:r>
            <w:r w:rsidR="00DB5724" w:rsidRPr="00A3558D">
              <w:rPr>
                <w:sz w:val="18"/>
                <w:szCs w:val="18"/>
              </w:rPr>
              <w:t xml:space="preserve"> per 2000 tonnes or part thereof</w:t>
            </w:r>
          </w:p>
        </w:tc>
      </w:tr>
      <w:tr w:rsidR="00DB5724" w:rsidRPr="00B8700D" w14:paraId="54FE64AE" w14:textId="77777777" w:rsidTr="00A3558D">
        <w:tc>
          <w:tcPr>
            <w:tcW w:w="497" w:type="pct"/>
            <w:shd w:val="clear" w:color="auto" w:fill="D9D9D9" w:themeFill="background1" w:themeFillShade="D9"/>
          </w:tcPr>
          <w:p w14:paraId="76006D20" w14:textId="70C099DA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fldChar w:fldCharType="begin"/>
            </w:r>
            <w:r w:rsidRPr="00A3558D">
              <w:rPr>
                <w:sz w:val="18"/>
                <w:szCs w:val="18"/>
              </w:rPr>
              <w:instrText xml:space="preserve"> REF _Ref64044197 \r \h </w:instrText>
            </w:r>
            <w:r w:rsidR="00293CE1" w:rsidRPr="00A3558D">
              <w:rPr>
                <w:sz w:val="18"/>
                <w:szCs w:val="18"/>
              </w:rPr>
              <w:instrText xml:space="preserve"> \* MERGEFORMAT </w:instrText>
            </w:r>
            <w:r w:rsidRPr="00A3558D">
              <w:rPr>
                <w:sz w:val="18"/>
                <w:szCs w:val="18"/>
              </w:rPr>
            </w:r>
            <w:r w:rsidRPr="00A3558D">
              <w:rPr>
                <w:sz w:val="18"/>
                <w:szCs w:val="18"/>
              </w:rPr>
              <w:fldChar w:fldCharType="separate"/>
            </w:r>
            <w:r w:rsidR="006544BA" w:rsidRPr="00A3558D">
              <w:rPr>
                <w:sz w:val="18"/>
                <w:szCs w:val="18"/>
              </w:rPr>
              <w:t>5.12</w:t>
            </w:r>
            <w:r w:rsidRPr="00A355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7" w:type="pct"/>
            <w:shd w:val="clear" w:color="auto" w:fill="D9D9D9" w:themeFill="background1" w:themeFillShade="D9"/>
          </w:tcPr>
          <w:p w14:paraId="09674D87" w14:textId="7777777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Wet/Dry Strength Variation</w:t>
            </w:r>
          </w:p>
        </w:tc>
        <w:tc>
          <w:tcPr>
            <w:tcW w:w="1444" w:type="pct"/>
            <w:shd w:val="clear" w:color="auto" w:fill="D9D9D9" w:themeFill="background1" w:themeFillShade="D9"/>
          </w:tcPr>
          <w:p w14:paraId="5B15F2E8" w14:textId="14349CF5" w:rsidR="00DB5724" w:rsidRPr="00A3558D" w:rsidRDefault="0077622D" w:rsidP="00A3558D">
            <w:pPr>
              <w:pStyle w:val="TableBodyText"/>
              <w:rPr>
                <w:sz w:val="18"/>
                <w:szCs w:val="18"/>
              </w:rPr>
            </w:pPr>
            <w:proofErr w:type="spellStart"/>
            <w:r w:rsidRPr="00A3558D">
              <w:rPr>
                <w:sz w:val="18"/>
                <w:szCs w:val="18"/>
              </w:rPr>
              <w:t>TfNSW</w:t>
            </w:r>
            <w:proofErr w:type="spellEnd"/>
            <w:r w:rsidRPr="00A3558D">
              <w:rPr>
                <w:sz w:val="18"/>
                <w:szCs w:val="18"/>
              </w:rPr>
              <w:t xml:space="preserve"> T215</w:t>
            </w:r>
          </w:p>
        </w:tc>
        <w:tc>
          <w:tcPr>
            <w:tcW w:w="1661" w:type="pct"/>
            <w:shd w:val="clear" w:color="auto" w:fill="D9D9D9" w:themeFill="background1" w:themeFillShade="D9"/>
          </w:tcPr>
          <w:p w14:paraId="74149754" w14:textId="460FD287" w:rsidR="00DB5724" w:rsidRPr="00A3558D" w:rsidRDefault="00171A05" w:rsidP="00A3558D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</w:t>
            </w:r>
            <w:r w:rsidR="00DB5724" w:rsidRPr="00A3558D">
              <w:rPr>
                <w:sz w:val="18"/>
                <w:szCs w:val="18"/>
              </w:rPr>
              <w:t xml:space="preserve"> per 2000 tonnes or part thereof</w:t>
            </w:r>
          </w:p>
        </w:tc>
      </w:tr>
      <w:tr w:rsidR="00DB5724" w:rsidRPr="00B8700D" w14:paraId="3C9DB9FF" w14:textId="77777777" w:rsidTr="00A3558D">
        <w:tc>
          <w:tcPr>
            <w:tcW w:w="497" w:type="pct"/>
            <w:shd w:val="clear" w:color="auto" w:fill="D9D9D9" w:themeFill="background1" w:themeFillShade="D9"/>
          </w:tcPr>
          <w:p w14:paraId="3E694818" w14:textId="206504D6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fldChar w:fldCharType="begin"/>
            </w:r>
            <w:r w:rsidRPr="00A3558D">
              <w:rPr>
                <w:sz w:val="18"/>
                <w:szCs w:val="18"/>
              </w:rPr>
              <w:instrText xml:space="preserve"> REF _Ref64044197 \r \h </w:instrText>
            </w:r>
            <w:r w:rsidR="00293CE1" w:rsidRPr="00A3558D">
              <w:rPr>
                <w:sz w:val="18"/>
                <w:szCs w:val="18"/>
              </w:rPr>
              <w:instrText xml:space="preserve"> \* MERGEFORMAT </w:instrText>
            </w:r>
            <w:r w:rsidRPr="00A3558D">
              <w:rPr>
                <w:sz w:val="18"/>
                <w:szCs w:val="18"/>
              </w:rPr>
            </w:r>
            <w:r w:rsidRPr="00A3558D">
              <w:rPr>
                <w:sz w:val="18"/>
                <w:szCs w:val="18"/>
              </w:rPr>
              <w:fldChar w:fldCharType="separate"/>
            </w:r>
            <w:r w:rsidR="006544BA" w:rsidRPr="00A3558D">
              <w:rPr>
                <w:sz w:val="18"/>
                <w:szCs w:val="18"/>
              </w:rPr>
              <w:t>5.12</w:t>
            </w:r>
            <w:r w:rsidRPr="00A355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7" w:type="pct"/>
            <w:shd w:val="clear" w:color="auto" w:fill="D9D9D9" w:themeFill="background1" w:themeFillShade="D9"/>
          </w:tcPr>
          <w:p w14:paraId="67FF953C" w14:textId="7777777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Particle shape</w:t>
            </w:r>
          </w:p>
        </w:tc>
        <w:tc>
          <w:tcPr>
            <w:tcW w:w="1444" w:type="pct"/>
            <w:shd w:val="clear" w:color="auto" w:fill="D9D9D9" w:themeFill="background1" w:themeFillShade="D9"/>
          </w:tcPr>
          <w:p w14:paraId="530D1ACD" w14:textId="7777777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AS 1141.14</w:t>
            </w:r>
          </w:p>
        </w:tc>
        <w:tc>
          <w:tcPr>
            <w:tcW w:w="1661" w:type="pct"/>
            <w:shd w:val="clear" w:color="auto" w:fill="D9D9D9" w:themeFill="background1" w:themeFillShade="D9"/>
          </w:tcPr>
          <w:p w14:paraId="38CA1BEA" w14:textId="680C6254" w:rsidR="00DB5724" w:rsidRPr="00A3558D" w:rsidRDefault="00171A05" w:rsidP="00A3558D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</w:t>
            </w:r>
            <w:r w:rsidR="00DB5724" w:rsidRPr="00A3558D">
              <w:rPr>
                <w:sz w:val="18"/>
                <w:szCs w:val="18"/>
              </w:rPr>
              <w:t xml:space="preserve"> per 2000 tonnes or part thereof</w:t>
            </w:r>
          </w:p>
        </w:tc>
      </w:tr>
      <w:tr w:rsidR="00DB5724" w:rsidRPr="00B8700D" w14:paraId="22548109" w14:textId="77777777" w:rsidTr="00A3558D">
        <w:trPr>
          <w:cantSplit/>
        </w:trPr>
        <w:tc>
          <w:tcPr>
            <w:tcW w:w="5000" w:type="pct"/>
            <w:gridSpan w:val="4"/>
            <w:shd w:val="clear" w:color="auto" w:fill="A6A6A6" w:themeFill="background1" w:themeFillShade="A6"/>
          </w:tcPr>
          <w:p w14:paraId="09F54B40" w14:textId="056BD728" w:rsidR="00DB5724" w:rsidRPr="00A3558D" w:rsidRDefault="00DB5724" w:rsidP="00A3558D">
            <w:pPr>
              <w:pStyle w:val="TableHeading"/>
              <w:rPr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 xml:space="preserve">Water and </w:t>
            </w:r>
            <w:r w:rsidR="00171A05" w:rsidRPr="00171A05">
              <w:rPr>
                <w:color w:val="auto"/>
                <w:sz w:val="18"/>
                <w:szCs w:val="18"/>
              </w:rPr>
              <w:t xml:space="preserve">admixtures </w:t>
            </w:r>
          </w:p>
        </w:tc>
      </w:tr>
      <w:tr w:rsidR="00DB5724" w:rsidRPr="00B8700D" w14:paraId="65458495" w14:textId="77777777" w:rsidTr="00A3558D">
        <w:tc>
          <w:tcPr>
            <w:tcW w:w="497" w:type="pct"/>
            <w:shd w:val="clear" w:color="auto" w:fill="D9D9D9" w:themeFill="background1" w:themeFillShade="D9"/>
          </w:tcPr>
          <w:p w14:paraId="1EE7053F" w14:textId="226FE1C3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fldChar w:fldCharType="begin"/>
            </w:r>
            <w:r w:rsidRPr="00A3558D">
              <w:rPr>
                <w:sz w:val="18"/>
                <w:szCs w:val="18"/>
              </w:rPr>
              <w:instrText xml:space="preserve"> REF _Ref64039931 \r \h </w:instrText>
            </w:r>
            <w:r w:rsidR="00293CE1" w:rsidRPr="00A3558D">
              <w:rPr>
                <w:sz w:val="18"/>
                <w:szCs w:val="18"/>
              </w:rPr>
              <w:instrText xml:space="preserve"> \* MERGEFORMAT </w:instrText>
            </w:r>
            <w:r w:rsidRPr="00A3558D">
              <w:rPr>
                <w:sz w:val="18"/>
                <w:szCs w:val="18"/>
              </w:rPr>
            </w:r>
            <w:r w:rsidRPr="00A3558D">
              <w:rPr>
                <w:sz w:val="18"/>
                <w:szCs w:val="18"/>
              </w:rPr>
              <w:fldChar w:fldCharType="separate"/>
            </w:r>
            <w:r w:rsidR="006544BA" w:rsidRPr="00A3558D">
              <w:rPr>
                <w:sz w:val="18"/>
                <w:szCs w:val="18"/>
              </w:rPr>
              <w:t>5.14</w:t>
            </w:r>
            <w:r w:rsidRPr="00A355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7" w:type="pct"/>
            <w:shd w:val="clear" w:color="auto" w:fill="D9D9D9" w:themeFill="background1" w:themeFillShade="D9"/>
          </w:tcPr>
          <w:p w14:paraId="1FC10699" w14:textId="1F4BD7E0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 xml:space="preserve">Water </w:t>
            </w:r>
          </w:p>
        </w:tc>
        <w:tc>
          <w:tcPr>
            <w:tcW w:w="1444" w:type="pct"/>
            <w:shd w:val="clear" w:color="auto" w:fill="D9D9D9" w:themeFill="background1" w:themeFillShade="D9"/>
          </w:tcPr>
          <w:p w14:paraId="42D9BD0E" w14:textId="365FF4BA" w:rsidR="00DB5724" w:rsidRPr="00A3558D" w:rsidRDefault="00171A05" w:rsidP="00A3558D">
            <w:pPr>
              <w:pStyle w:val="TableBodyText"/>
              <w:rPr>
                <w:sz w:val="18"/>
                <w:szCs w:val="18"/>
                <w:lang w:val="fi-FI"/>
              </w:rPr>
            </w:pPr>
            <w:r>
              <w:rPr>
                <w:sz w:val="18"/>
                <w:szCs w:val="18"/>
                <w:lang w:val="fi-FI"/>
              </w:rPr>
              <w:t>See</w:t>
            </w:r>
            <w:r w:rsidRPr="00A3558D">
              <w:rPr>
                <w:sz w:val="18"/>
                <w:szCs w:val="18"/>
                <w:lang w:val="fi-FI"/>
              </w:rPr>
              <w:t xml:space="preserve"> </w:t>
            </w:r>
            <w:r w:rsidR="004C570B" w:rsidRPr="00A3558D">
              <w:rPr>
                <w:sz w:val="18"/>
                <w:szCs w:val="18"/>
                <w:lang w:val="fi-FI"/>
              </w:rPr>
              <w:t>Cl</w:t>
            </w:r>
            <w:r w:rsidR="008D6A8F" w:rsidRPr="00A3558D">
              <w:rPr>
                <w:sz w:val="18"/>
                <w:szCs w:val="18"/>
                <w:lang w:val="fi-FI"/>
              </w:rPr>
              <w:t xml:space="preserve">ause </w:t>
            </w:r>
            <w:r w:rsidR="008D6A8F" w:rsidRPr="00A3558D">
              <w:rPr>
                <w:sz w:val="18"/>
                <w:szCs w:val="18"/>
                <w:lang w:val="fi-FI"/>
              </w:rPr>
              <w:fldChar w:fldCharType="begin"/>
            </w:r>
            <w:r w:rsidR="008D6A8F" w:rsidRPr="00A3558D">
              <w:rPr>
                <w:sz w:val="18"/>
                <w:szCs w:val="18"/>
                <w:lang w:val="fi-FI"/>
              </w:rPr>
              <w:instrText xml:space="preserve"> REF _Ref64039931 \r \h </w:instrText>
            </w:r>
            <w:r w:rsidR="00293CE1" w:rsidRPr="00A3558D">
              <w:rPr>
                <w:sz w:val="18"/>
                <w:szCs w:val="18"/>
                <w:lang w:val="fi-FI"/>
              </w:rPr>
              <w:instrText xml:space="preserve"> \* MERGEFORMAT </w:instrText>
            </w:r>
            <w:r w:rsidR="008D6A8F" w:rsidRPr="00A3558D">
              <w:rPr>
                <w:sz w:val="18"/>
                <w:szCs w:val="18"/>
                <w:lang w:val="fi-FI"/>
              </w:rPr>
            </w:r>
            <w:r w:rsidR="008D6A8F" w:rsidRPr="00A3558D">
              <w:rPr>
                <w:sz w:val="18"/>
                <w:szCs w:val="18"/>
                <w:lang w:val="fi-FI"/>
              </w:rPr>
              <w:fldChar w:fldCharType="separate"/>
            </w:r>
            <w:r w:rsidR="006544BA" w:rsidRPr="00A3558D">
              <w:rPr>
                <w:sz w:val="18"/>
                <w:szCs w:val="18"/>
                <w:lang w:val="fi-FI"/>
              </w:rPr>
              <w:t>5.14</w:t>
            </w:r>
            <w:r w:rsidR="008D6A8F" w:rsidRPr="00A3558D">
              <w:rPr>
                <w:sz w:val="18"/>
                <w:szCs w:val="18"/>
                <w:lang w:val="fi-FI"/>
              </w:rPr>
              <w:fldChar w:fldCharType="end"/>
            </w:r>
          </w:p>
        </w:tc>
        <w:tc>
          <w:tcPr>
            <w:tcW w:w="1661" w:type="pct"/>
            <w:shd w:val="clear" w:color="auto" w:fill="D9D9D9" w:themeFill="background1" w:themeFillShade="D9"/>
          </w:tcPr>
          <w:p w14:paraId="3636897E" w14:textId="7778E640" w:rsidR="00DB5724" w:rsidRPr="00A3558D" w:rsidRDefault="00171A05" w:rsidP="00A3558D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</w:t>
            </w:r>
            <w:r w:rsidR="00DB5724" w:rsidRPr="00A3558D">
              <w:rPr>
                <w:sz w:val="18"/>
                <w:szCs w:val="18"/>
              </w:rPr>
              <w:t xml:space="preserve"> per Contract per source</w:t>
            </w:r>
          </w:p>
        </w:tc>
      </w:tr>
      <w:tr w:rsidR="00DB5724" w:rsidRPr="00B8700D" w14:paraId="6E092C64" w14:textId="77777777" w:rsidTr="00A3558D">
        <w:tc>
          <w:tcPr>
            <w:tcW w:w="497" w:type="pct"/>
            <w:shd w:val="clear" w:color="auto" w:fill="D9D9D9" w:themeFill="background1" w:themeFillShade="D9"/>
          </w:tcPr>
          <w:p w14:paraId="36FC31DB" w14:textId="333E6D01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fldChar w:fldCharType="begin"/>
            </w:r>
            <w:r w:rsidRPr="00A3558D">
              <w:rPr>
                <w:sz w:val="18"/>
                <w:szCs w:val="18"/>
              </w:rPr>
              <w:instrText xml:space="preserve"> REF _Ref64271869 \r \h </w:instrText>
            </w:r>
            <w:r w:rsidR="00293CE1" w:rsidRPr="00A3558D">
              <w:rPr>
                <w:sz w:val="18"/>
                <w:szCs w:val="18"/>
              </w:rPr>
              <w:instrText xml:space="preserve"> \* MERGEFORMAT </w:instrText>
            </w:r>
            <w:r w:rsidRPr="00A3558D">
              <w:rPr>
                <w:sz w:val="18"/>
                <w:szCs w:val="18"/>
              </w:rPr>
            </w:r>
            <w:r w:rsidRPr="00A3558D">
              <w:rPr>
                <w:sz w:val="18"/>
                <w:szCs w:val="18"/>
              </w:rPr>
              <w:fldChar w:fldCharType="separate"/>
            </w:r>
            <w:r w:rsidR="006544BA" w:rsidRPr="00A3558D">
              <w:rPr>
                <w:sz w:val="18"/>
                <w:szCs w:val="18"/>
              </w:rPr>
              <w:t>5.17</w:t>
            </w:r>
            <w:r w:rsidRPr="00A355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7" w:type="pct"/>
            <w:shd w:val="clear" w:color="auto" w:fill="D9D9D9" w:themeFill="background1" w:themeFillShade="D9"/>
          </w:tcPr>
          <w:p w14:paraId="04115D5A" w14:textId="7777777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Admixtures</w:t>
            </w:r>
          </w:p>
        </w:tc>
        <w:tc>
          <w:tcPr>
            <w:tcW w:w="1444" w:type="pct"/>
            <w:shd w:val="clear" w:color="auto" w:fill="D9D9D9" w:themeFill="background1" w:themeFillShade="D9"/>
          </w:tcPr>
          <w:p w14:paraId="2937016A" w14:textId="7777777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 xml:space="preserve">Compliance with AS 1478 </w:t>
            </w:r>
            <w:r w:rsidRPr="00A3558D">
              <w:rPr>
                <w:sz w:val="18"/>
                <w:szCs w:val="18"/>
              </w:rPr>
              <w:br/>
              <w:t xml:space="preserve">(or other standard appropriate to the </w:t>
            </w:r>
            <w:proofErr w:type="gramStart"/>
            <w:r w:rsidRPr="00A3558D">
              <w:rPr>
                <w:sz w:val="18"/>
                <w:szCs w:val="18"/>
              </w:rPr>
              <w:t>particular admixture</w:t>
            </w:r>
            <w:proofErr w:type="gramEnd"/>
            <w:r w:rsidRPr="00A3558D">
              <w:rPr>
                <w:sz w:val="18"/>
                <w:szCs w:val="18"/>
              </w:rPr>
              <w:t>)</w:t>
            </w:r>
          </w:p>
        </w:tc>
        <w:tc>
          <w:tcPr>
            <w:tcW w:w="1661" w:type="pct"/>
            <w:shd w:val="clear" w:color="auto" w:fill="D9D9D9" w:themeFill="background1" w:themeFillShade="D9"/>
          </w:tcPr>
          <w:p w14:paraId="3E3E106E" w14:textId="19AFED1F" w:rsidR="00DB5724" w:rsidRPr="00A3558D" w:rsidRDefault="00377F36" w:rsidP="00A3558D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</w:t>
            </w:r>
            <w:r w:rsidR="00DB5724" w:rsidRPr="00A3558D">
              <w:rPr>
                <w:sz w:val="18"/>
                <w:szCs w:val="18"/>
              </w:rPr>
              <w:t xml:space="preserve"> per Contract</w:t>
            </w:r>
          </w:p>
        </w:tc>
      </w:tr>
      <w:tr w:rsidR="00DB5724" w:rsidRPr="00B8700D" w14:paraId="1912FA5D" w14:textId="77777777" w:rsidTr="00A3558D">
        <w:trPr>
          <w:cantSplit/>
        </w:trPr>
        <w:tc>
          <w:tcPr>
            <w:tcW w:w="5000" w:type="pct"/>
            <w:gridSpan w:val="4"/>
            <w:shd w:val="clear" w:color="auto" w:fill="A6A6A6" w:themeFill="background1" w:themeFillShade="A6"/>
          </w:tcPr>
          <w:p w14:paraId="70F8EFC3" w14:textId="77777777" w:rsidR="00DB5724" w:rsidRPr="00A3558D" w:rsidRDefault="00DB5724" w:rsidP="00A3558D">
            <w:pPr>
              <w:pStyle w:val="TableHeading"/>
              <w:rPr>
                <w:color w:val="auto"/>
                <w:sz w:val="18"/>
                <w:szCs w:val="18"/>
              </w:rPr>
            </w:pPr>
            <w:r w:rsidRPr="00A3558D">
              <w:rPr>
                <w:color w:val="auto"/>
                <w:sz w:val="18"/>
                <w:szCs w:val="18"/>
              </w:rPr>
              <w:t>Delivery of Roller Compacted Concrete</w:t>
            </w:r>
          </w:p>
        </w:tc>
      </w:tr>
      <w:tr w:rsidR="00DB5724" w:rsidRPr="00B8700D" w14:paraId="53AB58A3" w14:textId="77777777" w:rsidTr="00A3558D">
        <w:tc>
          <w:tcPr>
            <w:tcW w:w="497" w:type="pct"/>
            <w:shd w:val="clear" w:color="auto" w:fill="D9D9D9" w:themeFill="background1" w:themeFillShade="D9"/>
          </w:tcPr>
          <w:p w14:paraId="081B7244" w14:textId="00EB8158" w:rsidR="00DB5724" w:rsidRPr="00A3558D" w:rsidRDefault="00E945D1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fldChar w:fldCharType="begin"/>
            </w:r>
            <w:r w:rsidRPr="00A3558D">
              <w:rPr>
                <w:sz w:val="18"/>
                <w:szCs w:val="18"/>
              </w:rPr>
              <w:instrText xml:space="preserve"> REF _Ref167278589 \r \h </w:instrText>
            </w:r>
            <w:r w:rsidR="006F46F3" w:rsidRPr="00A3558D">
              <w:rPr>
                <w:sz w:val="18"/>
                <w:szCs w:val="18"/>
              </w:rPr>
              <w:instrText xml:space="preserve"> \* MERGEFORMAT </w:instrText>
            </w:r>
            <w:r w:rsidRPr="00A3558D">
              <w:rPr>
                <w:sz w:val="18"/>
                <w:szCs w:val="18"/>
              </w:rPr>
            </w:r>
            <w:r w:rsidRPr="00A3558D">
              <w:rPr>
                <w:sz w:val="18"/>
                <w:szCs w:val="18"/>
              </w:rPr>
              <w:fldChar w:fldCharType="separate"/>
            </w:r>
            <w:r w:rsidR="006544BA" w:rsidRPr="00A3558D">
              <w:rPr>
                <w:sz w:val="18"/>
                <w:szCs w:val="18"/>
              </w:rPr>
              <w:t>8.1</w:t>
            </w:r>
            <w:r w:rsidRPr="00A355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7" w:type="pct"/>
            <w:shd w:val="clear" w:color="auto" w:fill="D9D9D9" w:themeFill="background1" w:themeFillShade="D9"/>
          </w:tcPr>
          <w:p w14:paraId="1FFB6230" w14:textId="7777777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Percentage of binder</w:t>
            </w:r>
            <w:r w:rsidRPr="00A3558D">
              <w:rPr>
                <w:sz w:val="18"/>
                <w:szCs w:val="18"/>
              </w:rPr>
              <w:br/>
              <w:t>Percentage of admixture</w:t>
            </w:r>
          </w:p>
        </w:tc>
        <w:tc>
          <w:tcPr>
            <w:tcW w:w="1444" w:type="pct"/>
            <w:shd w:val="clear" w:color="auto" w:fill="D9D9D9" w:themeFill="background1" w:themeFillShade="D9"/>
          </w:tcPr>
          <w:p w14:paraId="09F289DB" w14:textId="7777777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</w:p>
        </w:tc>
        <w:tc>
          <w:tcPr>
            <w:tcW w:w="1661" w:type="pct"/>
            <w:shd w:val="clear" w:color="auto" w:fill="D9D9D9" w:themeFill="background1" w:themeFillShade="D9"/>
          </w:tcPr>
          <w:p w14:paraId="389F55CD" w14:textId="633B95DB" w:rsidR="00DB5724" w:rsidRPr="00A3558D" w:rsidRDefault="00071E2D" w:rsidP="00A3558D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</w:t>
            </w:r>
            <w:r w:rsidR="00DB5724" w:rsidRPr="00A3558D">
              <w:rPr>
                <w:sz w:val="18"/>
                <w:szCs w:val="18"/>
              </w:rPr>
              <w:t xml:space="preserve"> per day for the day’s production</w:t>
            </w:r>
            <w:r w:rsidR="00DB5724" w:rsidRPr="00A3558D" w:rsidDel="00573A02">
              <w:rPr>
                <w:sz w:val="18"/>
                <w:szCs w:val="18"/>
              </w:rPr>
              <w:t xml:space="preserve"> </w:t>
            </w:r>
            <w:r w:rsidR="00DB5724" w:rsidRPr="00A3558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One</w:t>
            </w:r>
            <w:r w:rsidR="00DB5724" w:rsidRPr="00A3558D">
              <w:rPr>
                <w:sz w:val="18"/>
                <w:szCs w:val="18"/>
              </w:rPr>
              <w:t xml:space="preserve"> per day for the day’s production</w:t>
            </w:r>
          </w:p>
        </w:tc>
      </w:tr>
      <w:tr w:rsidR="00DB5724" w:rsidRPr="00B8700D" w14:paraId="2C35D544" w14:textId="77777777" w:rsidTr="00A3558D">
        <w:tc>
          <w:tcPr>
            <w:tcW w:w="497" w:type="pct"/>
            <w:shd w:val="clear" w:color="auto" w:fill="D9D9D9" w:themeFill="background1" w:themeFillShade="D9"/>
          </w:tcPr>
          <w:p w14:paraId="6F7443C6" w14:textId="21E6A0E2" w:rsidR="00DB5724" w:rsidRPr="00A3558D" w:rsidRDefault="00E74A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fldChar w:fldCharType="begin"/>
            </w:r>
            <w:r w:rsidRPr="00A3558D">
              <w:rPr>
                <w:sz w:val="18"/>
                <w:szCs w:val="18"/>
              </w:rPr>
              <w:instrText xml:space="preserve"> REF _Ref167278537 \r \h </w:instrText>
            </w:r>
            <w:r w:rsidR="006F46F3" w:rsidRPr="00A3558D">
              <w:rPr>
                <w:sz w:val="18"/>
                <w:szCs w:val="18"/>
              </w:rPr>
              <w:instrText xml:space="preserve"> \* MERGEFORMAT </w:instrText>
            </w:r>
            <w:r w:rsidRPr="00A3558D">
              <w:rPr>
                <w:sz w:val="18"/>
                <w:szCs w:val="18"/>
              </w:rPr>
            </w:r>
            <w:r w:rsidRPr="00A3558D">
              <w:rPr>
                <w:sz w:val="18"/>
                <w:szCs w:val="18"/>
              </w:rPr>
              <w:fldChar w:fldCharType="separate"/>
            </w:r>
            <w:r w:rsidR="006544BA" w:rsidRPr="00A3558D">
              <w:rPr>
                <w:sz w:val="18"/>
                <w:szCs w:val="18"/>
              </w:rPr>
              <w:t>8.2</w:t>
            </w:r>
            <w:r w:rsidRPr="00A355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7" w:type="pct"/>
            <w:shd w:val="clear" w:color="auto" w:fill="D9D9D9" w:themeFill="background1" w:themeFillShade="D9"/>
          </w:tcPr>
          <w:p w14:paraId="5A58E59C" w14:textId="7777777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proofErr w:type="spellStart"/>
            <w:r w:rsidRPr="00A3558D">
              <w:rPr>
                <w:sz w:val="18"/>
                <w:szCs w:val="18"/>
              </w:rPr>
              <w:t>Compactibility</w:t>
            </w:r>
            <w:proofErr w:type="spellEnd"/>
            <w:r w:rsidRPr="00A3558D">
              <w:rPr>
                <w:sz w:val="18"/>
                <w:szCs w:val="18"/>
              </w:rPr>
              <w:t xml:space="preserve"> Index</w:t>
            </w:r>
          </w:p>
        </w:tc>
        <w:tc>
          <w:tcPr>
            <w:tcW w:w="1444" w:type="pct"/>
            <w:shd w:val="clear" w:color="auto" w:fill="D9D9D9" w:themeFill="background1" w:themeFillShade="D9"/>
          </w:tcPr>
          <w:p w14:paraId="1F6D740E" w14:textId="7777777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AS 1012.3.4</w:t>
            </w:r>
            <w:r w:rsidRPr="00A3558D">
              <w:rPr>
                <w:sz w:val="18"/>
                <w:szCs w:val="18"/>
              </w:rPr>
              <w:br/>
              <w:t xml:space="preserve">(except timing at </w:t>
            </w:r>
            <w:r w:rsidRPr="00A3558D">
              <w:rPr>
                <w:sz w:val="18"/>
                <w:szCs w:val="18"/>
              </w:rPr>
              <w:br/>
              <w:t>point of discharge)</w:t>
            </w:r>
          </w:p>
        </w:tc>
        <w:tc>
          <w:tcPr>
            <w:tcW w:w="1661" w:type="pct"/>
            <w:shd w:val="clear" w:color="auto" w:fill="D9D9D9" w:themeFill="background1" w:themeFillShade="D9"/>
          </w:tcPr>
          <w:p w14:paraId="450A0385" w14:textId="7FF0E917" w:rsidR="00DB5724" w:rsidRPr="00A3558D" w:rsidRDefault="00071E2D" w:rsidP="00A3558D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</w:t>
            </w:r>
            <w:r w:rsidR="00DB5724" w:rsidRPr="00A3558D">
              <w:rPr>
                <w:sz w:val="18"/>
                <w:szCs w:val="18"/>
              </w:rPr>
              <w:t xml:space="preserve"> per 50 tonnes or part thereof</w:t>
            </w:r>
          </w:p>
        </w:tc>
      </w:tr>
      <w:tr w:rsidR="00DB5724" w:rsidRPr="00B8700D" w14:paraId="5B926D62" w14:textId="77777777" w:rsidTr="00A3558D">
        <w:tc>
          <w:tcPr>
            <w:tcW w:w="497" w:type="pct"/>
            <w:shd w:val="clear" w:color="auto" w:fill="D9D9D9" w:themeFill="background1" w:themeFillShade="D9"/>
          </w:tcPr>
          <w:p w14:paraId="28436447" w14:textId="2787E3C6" w:rsidR="00DB5724" w:rsidRPr="00A3558D" w:rsidRDefault="00E74A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fldChar w:fldCharType="begin"/>
            </w:r>
            <w:r w:rsidRPr="00A3558D">
              <w:rPr>
                <w:sz w:val="18"/>
                <w:szCs w:val="18"/>
              </w:rPr>
              <w:instrText xml:space="preserve"> REF _Ref167278561 \r \h </w:instrText>
            </w:r>
            <w:r w:rsidR="006F46F3" w:rsidRPr="00A3558D">
              <w:rPr>
                <w:sz w:val="18"/>
                <w:szCs w:val="18"/>
              </w:rPr>
              <w:instrText xml:space="preserve"> \* MERGEFORMAT </w:instrText>
            </w:r>
            <w:r w:rsidRPr="00A3558D">
              <w:rPr>
                <w:sz w:val="18"/>
                <w:szCs w:val="18"/>
              </w:rPr>
            </w:r>
            <w:r w:rsidRPr="00A3558D">
              <w:rPr>
                <w:sz w:val="18"/>
                <w:szCs w:val="18"/>
              </w:rPr>
              <w:fldChar w:fldCharType="separate"/>
            </w:r>
            <w:r w:rsidR="006544BA" w:rsidRPr="00A3558D">
              <w:rPr>
                <w:sz w:val="18"/>
                <w:szCs w:val="18"/>
              </w:rPr>
              <w:t>8.4</w:t>
            </w:r>
            <w:r w:rsidRPr="00A355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397" w:type="pct"/>
            <w:shd w:val="clear" w:color="auto" w:fill="D9D9D9" w:themeFill="background1" w:themeFillShade="D9"/>
          </w:tcPr>
          <w:p w14:paraId="3C6AB1B7" w14:textId="2A297D25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 xml:space="preserve">Compressive </w:t>
            </w:r>
            <w:r w:rsidR="007F144F" w:rsidRPr="007F144F">
              <w:rPr>
                <w:sz w:val="18"/>
                <w:szCs w:val="18"/>
              </w:rPr>
              <w:t>strength</w:t>
            </w:r>
          </w:p>
        </w:tc>
        <w:tc>
          <w:tcPr>
            <w:tcW w:w="1444" w:type="pct"/>
            <w:shd w:val="clear" w:color="auto" w:fill="D9D9D9" w:themeFill="background1" w:themeFillShade="D9"/>
          </w:tcPr>
          <w:p w14:paraId="64307C9D" w14:textId="77777777" w:rsidR="00DB5724" w:rsidRPr="00A3558D" w:rsidRDefault="00DB5724" w:rsidP="00A3558D">
            <w:pPr>
              <w:pStyle w:val="TableBodyText"/>
              <w:rPr>
                <w:sz w:val="18"/>
                <w:szCs w:val="18"/>
              </w:rPr>
            </w:pPr>
            <w:r w:rsidRPr="00A3558D">
              <w:rPr>
                <w:sz w:val="18"/>
                <w:szCs w:val="18"/>
              </w:rPr>
              <w:t>AS 1012.8.1 and AS 1012.9</w:t>
            </w:r>
          </w:p>
        </w:tc>
        <w:tc>
          <w:tcPr>
            <w:tcW w:w="1661" w:type="pct"/>
            <w:shd w:val="clear" w:color="auto" w:fill="D9D9D9" w:themeFill="background1" w:themeFillShade="D9"/>
          </w:tcPr>
          <w:p w14:paraId="332989A6" w14:textId="582B2532" w:rsidR="00DB5724" w:rsidRPr="00A3558D" w:rsidRDefault="00B472F6" w:rsidP="00A3558D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</w:t>
            </w:r>
            <w:r w:rsidR="00DB5724" w:rsidRPr="00A3558D">
              <w:rPr>
                <w:sz w:val="18"/>
                <w:szCs w:val="18"/>
              </w:rPr>
              <w:t xml:space="preserve"> per 50 tonnes or part thereof</w:t>
            </w:r>
          </w:p>
        </w:tc>
      </w:tr>
    </w:tbl>
    <w:p w14:paraId="5AFAFB92" w14:textId="77777777" w:rsidR="00A07FEF" w:rsidRDefault="00A07FEF" w:rsidP="00A3558D"/>
    <w:p w14:paraId="56796A9D" w14:textId="77777777" w:rsidR="00AF1D72" w:rsidRPr="008C101C" w:rsidRDefault="00AF1D72" w:rsidP="00C668F6">
      <w:pPr>
        <w:pStyle w:val="Heading1nonumber"/>
        <w:pageBreakBefore/>
      </w:pPr>
      <w:r w:rsidRPr="008C101C">
        <w:lastRenderedPageBreak/>
        <w:t>Amendment Record</w:t>
      </w:r>
    </w:p>
    <w:tbl>
      <w:tblPr>
        <w:tblStyle w:val="TMTable"/>
        <w:tblW w:w="5000" w:type="pct"/>
        <w:tblLook w:val="01E0" w:firstRow="1" w:lastRow="1" w:firstColumn="1" w:lastColumn="1" w:noHBand="0" w:noVBand="0"/>
      </w:tblPr>
      <w:tblGrid>
        <w:gridCol w:w="1833"/>
        <w:gridCol w:w="4587"/>
        <w:gridCol w:w="1367"/>
        <w:gridCol w:w="1703"/>
      </w:tblGrid>
      <w:tr w:rsidR="00AF1D72" w:rsidRPr="00731EA0" w14:paraId="17022A7E" w14:textId="77777777" w:rsidTr="009A1A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6" w:type="pct"/>
          </w:tcPr>
          <w:p w14:paraId="0AFBE55A" w14:textId="77777777" w:rsidR="00AF1D72" w:rsidRPr="001B7F72" w:rsidRDefault="00AF1D72" w:rsidP="001B7F72">
            <w:pPr>
              <w:pStyle w:val="TableBodyText"/>
            </w:pPr>
            <w:r w:rsidRPr="001B7F72">
              <w:t>Amendment no.</w:t>
            </w:r>
          </w:p>
        </w:tc>
        <w:tc>
          <w:tcPr>
            <w:tcW w:w="2417" w:type="pct"/>
          </w:tcPr>
          <w:p w14:paraId="7C9A58C7" w14:textId="77777777" w:rsidR="00AF1D72" w:rsidRPr="001B7F72" w:rsidRDefault="00AF1D72" w:rsidP="001B7F72">
            <w:pPr>
              <w:pStyle w:val="TableBodyText"/>
            </w:pPr>
            <w:r w:rsidRPr="001B7F72">
              <w:t>Clauses amended</w:t>
            </w:r>
          </w:p>
        </w:tc>
        <w:tc>
          <w:tcPr>
            <w:tcW w:w="720" w:type="pct"/>
          </w:tcPr>
          <w:p w14:paraId="484CB524" w14:textId="77777777" w:rsidR="00AF1D72" w:rsidRPr="001B7F72" w:rsidRDefault="00AF1D72" w:rsidP="001B7F72">
            <w:pPr>
              <w:pStyle w:val="TableBodyText"/>
            </w:pPr>
            <w:r w:rsidRPr="001B7F72">
              <w:t>Action</w:t>
            </w:r>
          </w:p>
        </w:tc>
        <w:tc>
          <w:tcPr>
            <w:tcW w:w="897" w:type="pct"/>
          </w:tcPr>
          <w:p w14:paraId="41CE00D1" w14:textId="77777777" w:rsidR="00AF1D72" w:rsidRPr="001B7F72" w:rsidRDefault="00AF1D72" w:rsidP="001B7F72">
            <w:pPr>
              <w:pStyle w:val="TableBodyText"/>
            </w:pPr>
            <w:r w:rsidRPr="001B7F72">
              <w:t>Date</w:t>
            </w:r>
          </w:p>
        </w:tc>
      </w:tr>
      <w:tr w:rsidR="00AF1D72" w14:paraId="76EFF80C" w14:textId="77777777" w:rsidTr="009A1ACF">
        <w:trPr>
          <w:trHeight w:val="349"/>
        </w:trPr>
        <w:tc>
          <w:tcPr>
            <w:tcW w:w="966" w:type="pct"/>
            <w:vAlign w:val="center"/>
          </w:tcPr>
          <w:p w14:paraId="4924F213" w14:textId="77777777" w:rsidR="00AF1D72" w:rsidRPr="00B23DC4" w:rsidRDefault="00C668F6" w:rsidP="00FB1221">
            <w:pPr>
              <w:pStyle w:val="Table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17" w:type="pct"/>
            <w:vAlign w:val="center"/>
          </w:tcPr>
          <w:p w14:paraId="296795A0" w14:textId="7781A341" w:rsidR="00AF1D72" w:rsidRPr="00B23DC4" w:rsidRDefault="00B23DC4" w:rsidP="00FB1221">
            <w:pPr>
              <w:pStyle w:val="TableBodyText"/>
              <w:rPr>
                <w:sz w:val="18"/>
                <w:szCs w:val="18"/>
              </w:rPr>
            </w:pPr>
            <w:r w:rsidRPr="00B23DC4">
              <w:rPr>
                <w:sz w:val="18"/>
                <w:szCs w:val="18"/>
              </w:rPr>
              <w:t>New specification</w:t>
            </w:r>
          </w:p>
        </w:tc>
        <w:tc>
          <w:tcPr>
            <w:tcW w:w="720" w:type="pct"/>
            <w:vAlign w:val="center"/>
          </w:tcPr>
          <w:p w14:paraId="05E3E2FC" w14:textId="77777777" w:rsidR="00AF1D72" w:rsidRPr="00B23DC4" w:rsidRDefault="00C668F6" w:rsidP="00FB1221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</w:t>
            </w:r>
          </w:p>
        </w:tc>
        <w:tc>
          <w:tcPr>
            <w:tcW w:w="897" w:type="pct"/>
            <w:vAlign w:val="center"/>
          </w:tcPr>
          <w:p w14:paraId="12879872" w14:textId="6F8F718A" w:rsidR="00AF1D72" w:rsidRPr="00B23DC4" w:rsidRDefault="00DB36DD" w:rsidP="00FB1221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February </w:t>
            </w:r>
            <w:r w:rsidR="00834BB0">
              <w:rPr>
                <w:sz w:val="18"/>
                <w:szCs w:val="18"/>
              </w:rPr>
              <w:t>2025</w:t>
            </w:r>
          </w:p>
        </w:tc>
      </w:tr>
      <w:tr w:rsidR="00AF1D72" w14:paraId="484FCB03" w14:textId="77777777" w:rsidTr="009A1ACF">
        <w:tc>
          <w:tcPr>
            <w:tcW w:w="966" w:type="pct"/>
            <w:vAlign w:val="center"/>
          </w:tcPr>
          <w:p w14:paraId="6F0BCBC2" w14:textId="77777777" w:rsidR="00AF1D72" w:rsidRPr="00AF45E6" w:rsidRDefault="00AF1D72" w:rsidP="00FB1221">
            <w:pPr>
              <w:pStyle w:val="TableFigureCenter"/>
            </w:pPr>
          </w:p>
        </w:tc>
        <w:tc>
          <w:tcPr>
            <w:tcW w:w="2417" w:type="pct"/>
            <w:vAlign w:val="center"/>
          </w:tcPr>
          <w:p w14:paraId="3294C4CB" w14:textId="77777777" w:rsidR="00AF1D72" w:rsidRPr="00F6126C" w:rsidRDefault="00AF1D72" w:rsidP="00FB1221">
            <w:pPr>
              <w:pStyle w:val="TableFigureLeft"/>
            </w:pPr>
          </w:p>
        </w:tc>
        <w:tc>
          <w:tcPr>
            <w:tcW w:w="720" w:type="pct"/>
            <w:vAlign w:val="center"/>
          </w:tcPr>
          <w:p w14:paraId="104E6834" w14:textId="77777777" w:rsidR="00AF1D72" w:rsidRPr="008049FA" w:rsidRDefault="00AF1D72" w:rsidP="00FB1221">
            <w:pPr>
              <w:pStyle w:val="TableFigureCenter"/>
              <w:jc w:val="left"/>
            </w:pPr>
          </w:p>
        </w:tc>
        <w:tc>
          <w:tcPr>
            <w:tcW w:w="897" w:type="pct"/>
            <w:vAlign w:val="center"/>
          </w:tcPr>
          <w:p w14:paraId="2B005F2B" w14:textId="77777777" w:rsidR="00AF1D72" w:rsidRPr="00AF45E6" w:rsidRDefault="00AF1D72" w:rsidP="00FB1221">
            <w:pPr>
              <w:pStyle w:val="TableFigureCenter"/>
              <w:jc w:val="left"/>
            </w:pPr>
          </w:p>
        </w:tc>
      </w:tr>
    </w:tbl>
    <w:p w14:paraId="382C1C7D" w14:textId="77777777" w:rsidR="00AF1D72" w:rsidRDefault="00AF1D72" w:rsidP="00FB1221">
      <w:pPr>
        <w:pStyle w:val="Paragraph"/>
        <w:numPr>
          <w:ilvl w:val="0"/>
          <w:numId w:val="10"/>
        </w:numPr>
        <w:jc w:val="left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290"/>
        <w:gridCol w:w="8220"/>
      </w:tblGrid>
      <w:tr w:rsidR="00AF1D72" w14:paraId="2E66A410" w14:textId="77777777" w:rsidTr="00A3558D">
        <w:trPr>
          <w:trHeight w:val="427"/>
        </w:trPr>
        <w:tc>
          <w:tcPr>
            <w:tcW w:w="678" w:type="pct"/>
            <w:shd w:val="clear" w:color="auto" w:fill="auto"/>
          </w:tcPr>
          <w:p w14:paraId="0F4DBE8E" w14:textId="77777777" w:rsidR="00AF1D72" w:rsidRPr="001B7F72" w:rsidRDefault="00AF1D72" w:rsidP="00FB1221">
            <w:pPr>
              <w:pStyle w:val="TableBodyText"/>
              <w:spacing w:before="0"/>
              <w:rPr>
                <w:b/>
                <w:bCs w:val="0"/>
                <w:sz w:val="16"/>
              </w:rPr>
            </w:pPr>
            <w:r w:rsidRPr="001B7F72">
              <w:rPr>
                <w:b/>
                <w:bCs w:val="0"/>
              </w:rPr>
              <w:t>Key</w:t>
            </w:r>
          </w:p>
        </w:tc>
        <w:tc>
          <w:tcPr>
            <w:tcW w:w="4322" w:type="pct"/>
            <w:shd w:val="clear" w:color="auto" w:fill="auto"/>
          </w:tcPr>
          <w:p w14:paraId="34940A94" w14:textId="77777777" w:rsidR="00AF1D72" w:rsidRPr="0095718B" w:rsidRDefault="00AF1D72" w:rsidP="00FB1221">
            <w:pPr>
              <w:pStyle w:val="TableBodyText"/>
              <w:spacing w:before="0"/>
            </w:pPr>
          </w:p>
        </w:tc>
      </w:tr>
      <w:tr w:rsidR="00AF1D72" w14:paraId="0D6174A0" w14:textId="77777777" w:rsidTr="00A3558D">
        <w:tc>
          <w:tcPr>
            <w:tcW w:w="678" w:type="pct"/>
            <w:shd w:val="clear" w:color="auto" w:fill="auto"/>
          </w:tcPr>
          <w:p w14:paraId="32B0BA8D" w14:textId="77777777" w:rsidR="00AF1D72" w:rsidRPr="00E6543E" w:rsidRDefault="00AF1D72" w:rsidP="00FB1221">
            <w:pPr>
              <w:pStyle w:val="TableBodyText"/>
              <w:spacing w:before="0"/>
            </w:pPr>
            <w:r w:rsidRPr="00E6543E">
              <w:t>Format</w:t>
            </w:r>
          </w:p>
        </w:tc>
        <w:tc>
          <w:tcPr>
            <w:tcW w:w="4322" w:type="pct"/>
            <w:shd w:val="clear" w:color="auto" w:fill="auto"/>
          </w:tcPr>
          <w:p w14:paraId="40F18AAA" w14:textId="77777777" w:rsidR="00AF1D72" w:rsidRPr="00E6543E" w:rsidRDefault="00AF1D72" w:rsidP="00FB1221">
            <w:pPr>
              <w:pStyle w:val="TableBodyText"/>
              <w:spacing w:before="0"/>
            </w:pPr>
            <w:r w:rsidRPr="00E6543E">
              <w:t>Change in format</w:t>
            </w:r>
          </w:p>
        </w:tc>
      </w:tr>
      <w:tr w:rsidR="00AF1D72" w14:paraId="2B2EFCF4" w14:textId="77777777" w:rsidTr="00A3558D">
        <w:tc>
          <w:tcPr>
            <w:tcW w:w="678" w:type="pct"/>
            <w:shd w:val="clear" w:color="auto" w:fill="auto"/>
          </w:tcPr>
          <w:p w14:paraId="6EC3E1EF" w14:textId="77777777" w:rsidR="00AF1D72" w:rsidRPr="00E6543E" w:rsidRDefault="00AF1D72" w:rsidP="00FB1221">
            <w:pPr>
              <w:pStyle w:val="TableBodyText"/>
              <w:spacing w:before="0"/>
            </w:pPr>
            <w:r w:rsidRPr="00E6543E">
              <w:t>Substitution</w:t>
            </w:r>
          </w:p>
        </w:tc>
        <w:tc>
          <w:tcPr>
            <w:tcW w:w="4322" w:type="pct"/>
            <w:shd w:val="clear" w:color="auto" w:fill="auto"/>
          </w:tcPr>
          <w:p w14:paraId="6BBF766C" w14:textId="77777777" w:rsidR="00AF1D72" w:rsidRPr="00E6543E" w:rsidRDefault="00AF1D72" w:rsidP="00FB1221">
            <w:pPr>
              <w:pStyle w:val="TableBodyText"/>
              <w:spacing w:before="0"/>
            </w:pPr>
            <w:r w:rsidRPr="00E6543E">
              <w:t>Old clause removed and replaced with new clause</w:t>
            </w:r>
          </w:p>
        </w:tc>
      </w:tr>
      <w:tr w:rsidR="00AF1D72" w14:paraId="5C997C11" w14:textId="77777777" w:rsidTr="00A3558D">
        <w:tc>
          <w:tcPr>
            <w:tcW w:w="678" w:type="pct"/>
            <w:shd w:val="clear" w:color="auto" w:fill="auto"/>
          </w:tcPr>
          <w:p w14:paraId="44AAEFE3" w14:textId="77777777" w:rsidR="00AF1D72" w:rsidRPr="00E6543E" w:rsidRDefault="00AF1D72" w:rsidP="00FB1221">
            <w:pPr>
              <w:pStyle w:val="TableBodyText"/>
              <w:spacing w:before="0"/>
            </w:pPr>
            <w:r w:rsidRPr="00E6543E">
              <w:t>New</w:t>
            </w:r>
          </w:p>
        </w:tc>
        <w:tc>
          <w:tcPr>
            <w:tcW w:w="4322" w:type="pct"/>
            <w:shd w:val="clear" w:color="auto" w:fill="auto"/>
          </w:tcPr>
          <w:p w14:paraId="6CC1A9BC" w14:textId="77777777" w:rsidR="00AF1D72" w:rsidRPr="00E6543E" w:rsidRDefault="00AF1D72" w:rsidP="00FB1221">
            <w:pPr>
              <w:pStyle w:val="TableBodyText"/>
              <w:spacing w:before="0"/>
            </w:pPr>
            <w:r w:rsidRPr="00E6543E">
              <w:t>Insertion of new clause</w:t>
            </w:r>
          </w:p>
        </w:tc>
      </w:tr>
      <w:tr w:rsidR="00AF1D72" w14:paraId="4A5DE300" w14:textId="77777777" w:rsidTr="00A3558D">
        <w:tc>
          <w:tcPr>
            <w:tcW w:w="678" w:type="pct"/>
            <w:shd w:val="clear" w:color="auto" w:fill="auto"/>
          </w:tcPr>
          <w:p w14:paraId="0739923D" w14:textId="77777777" w:rsidR="00AF1D72" w:rsidRPr="00E6543E" w:rsidRDefault="00AF1D72" w:rsidP="00FB1221">
            <w:pPr>
              <w:pStyle w:val="TableBodyText"/>
              <w:spacing w:before="0"/>
            </w:pPr>
            <w:r w:rsidRPr="00E6543E">
              <w:t>Removed</w:t>
            </w:r>
          </w:p>
        </w:tc>
        <w:tc>
          <w:tcPr>
            <w:tcW w:w="4322" w:type="pct"/>
            <w:shd w:val="clear" w:color="auto" w:fill="auto"/>
          </w:tcPr>
          <w:p w14:paraId="46ABDD84" w14:textId="77777777" w:rsidR="00AF1D72" w:rsidRPr="00E6543E" w:rsidRDefault="00AF1D72" w:rsidP="00FB1221">
            <w:pPr>
              <w:pStyle w:val="TableBodyText"/>
              <w:spacing w:before="0"/>
            </w:pPr>
            <w:r w:rsidRPr="00E6543E">
              <w:t>Old clauses removed</w:t>
            </w:r>
          </w:p>
        </w:tc>
      </w:tr>
    </w:tbl>
    <w:p w14:paraId="0EDA4CDF" w14:textId="77777777" w:rsidR="002372EC" w:rsidRPr="00462624" w:rsidRDefault="002372EC" w:rsidP="00462624">
      <w:pPr>
        <w:pStyle w:val="Paragraph"/>
        <w:tabs>
          <w:tab w:val="clear" w:pos="1134"/>
        </w:tabs>
        <w:ind w:left="0" w:firstLine="0"/>
      </w:pPr>
    </w:p>
    <w:sectPr w:rsidR="002372EC" w:rsidRPr="00462624" w:rsidSect="00AE427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50"/>
      <w:pgMar w:top="709" w:right="1420" w:bottom="1040" w:left="980" w:header="794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1651" w14:textId="77777777" w:rsidR="007A1F1F" w:rsidRDefault="007A1F1F">
      <w:r>
        <w:separator/>
      </w:r>
    </w:p>
  </w:endnote>
  <w:endnote w:type="continuationSeparator" w:id="0">
    <w:p w14:paraId="6EEEC36D" w14:textId="77777777" w:rsidR="007A1F1F" w:rsidRDefault="007A1F1F">
      <w:r>
        <w:continuationSeparator/>
      </w:r>
    </w:p>
  </w:endnote>
  <w:endnote w:type="continuationNotice" w:id="1">
    <w:p w14:paraId="270B7DD5" w14:textId="77777777" w:rsidR="007A1F1F" w:rsidRDefault="007A1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9682" w14:textId="77777777" w:rsidR="00064F5A" w:rsidRDefault="00064F5A" w:rsidP="001E7290">
    <w:pPr>
      <w:pStyle w:val="Style6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D404D9E" wp14:editId="76EE4CAF">
              <wp:simplePos x="0" y="0"/>
              <wp:positionH relativeFrom="page">
                <wp:posOffset>701040</wp:posOffset>
              </wp:positionH>
              <wp:positionV relativeFrom="page">
                <wp:posOffset>9986645</wp:posOffset>
              </wp:positionV>
              <wp:extent cx="5797550" cy="0"/>
              <wp:effectExtent l="5715" t="13970" r="6985" b="508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B8C0CC" id="Line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786.35pt" to="511.7pt,7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F00CECF" wp14:editId="4D0AB124">
              <wp:simplePos x="0" y="0"/>
              <wp:positionH relativeFrom="page">
                <wp:posOffset>706755</wp:posOffset>
              </wp:positionH>
              <wp:positionV relativeFrom="page">
                <wp:posOffset>10030460</wp:posOffset>
              </wp:positionV>
              <wp:extent cx="153670" cy="165735"/>
              <wp:effectExtent l="1905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04A41" w14:textId="77777777" w:rsidR="00064F5A" w:rsidRDefault="00064F5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0CE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.65pt;margin-top:789.8pt;width:12.1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" filled="f" stroked="f">
              <v:textbox inset="0,0,0,0">
                <w:txbxContent>
                  <w:p w14:paraId="38904A41" w14:textId="77777777" w:rsidR="00064F5A" w:rsidRDefault="00064F5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3A9908" wp14:editId="190D916A">
              <wp:simplePos x="0" y="0"/>
              <wp:positionH relativeFrom="page">
                <wp:posOffset>5831840</wp:posOffset>
              </wp:positionH>
              <wp:positionV relativeFrom="page">
                <wp:posOffset>10030460</wp:posOffset>
              </wp:positionV>
              <wp:extent cx="660400" cy="165735"/>
              <wp:effectExtent l="2540" t="635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F5020" w14:textId="77777777" w:rsidR="00064F5A" w:rsidRDefault="00064F5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Ed 1 / Rev 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A9908" id="Text Box 1" o:spid="_x0000_s1027" type="#_x0000_t202" style="position:absolute;left:0;text-align:left;margin-left:459.2pt;margin-top:789.8pt;width:52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" filled="f" stroked="f">
              <v:textbox inset="0,0,0,0">
                <w:txbxContent>
                  <w:p w14:paraId="6F3F5020" w14:textId="77777777" w:rsidR="00064F5A" w:rsidRDefault="00064F5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Ed 1 / Rev 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877D" w14:textId="77777777" w:rsidR="00064F5A" w:rsidRDefault="00064F5A">
    <w:pPr>
      <w:pStyle w:val="Footer"/>
    </w:pPr>
  </w:p>
  <w:p w14:paraId="17CFB768" w14:textId="163F444B" w:rsidR="00064F5A" w:rsidRPr="005252CA" w:rsidRDefault="00064F5A" w:rsidP="005252CA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bCs/>
        <w:noProof/>
        <w:color w:val="6F7C87"/>
        <w:sz w:val="20"/>
        <w:lang w:eastAsia="ja-JP"/>
      </w:rPr>
    </w:pPr>
    <w:r>
      <w:rPr>
        <w:rFonts w:ascii="Arial" w:eastAsia="SimSun" w:hAnsi="Arial" w:cs="Arial"/>
        <w:b/>
        <w:sz w:val="16"/>
        <w:szCs w:val="16"/>
        <w:lang w:eastAsia="ja-JP"/>
      </w:rPr>
      <w:br/>
    </w:r>
    <w:r w:rsidRPr="005252CA">
      <w:rPr>
        <w:rFonts w:ascii="Arial" w:eastAsia="SimSun" w:hAnsi="Arial" w:cs="Arial"/>
        <w:bCs/>
        <w:sz w:val="16"/>
        <w:szCs w:val="16"/>
        <w:lang w:eastAsia="ja-JP"/>
      </w:rPr>
      <w:t>Edition</w:t>
    </w:r>
    <w:r w:rsidR="004C6EC4">
      <w:rPr>
        <w:rFonts w:ascii="Arial" w:eastAsia="SimSun" w:hAnsi="Arial" w:cs="Arial"/>
        <w:bCs/>
        <w:sz w:val="16"/>
        <w:szCs w:val="16"/>
        <w:lang w:eastAsia="ja-JP"/>
      </w:rPr>
      <w:t xml:space="preserve"> </w:t>
    </w:r>
    <w:r w:rsidR="000C603D">
      <w:rPr>
        <w:rFonts w:ascii="Arial" w:eastAsia="SimSun" w:hAnsi="Arial" w:cs="Arial"/>
        <w:bCs/>
        <w:sz w:val="16"/>
        <w:szCs w:val="16"/>
        <w:lang w:eastAsia="ja-JP"/>
      </w:rPr>
      <w:t xml:space="preserve">1.0 February </w:t>
    </w:r>
    <w:r w:rsidR="004C6EC4">
      <w:rPr>
        <w:rFonts w:ascii="Arial" w:eastAsia="SimSun" w:hAnsi="Arial" w:cs="Arial"/>
        <w:bCs/>
        <w:sz w:val="16"/>
        <w:szCs w:val="16"/>
        <w:lang w:eastAsia="ja-JP"/>
      </w:rPr>
      <w:t>202</w:t>
    </w:r>
    <w:r w:rsidR="000C603D">
      <w:rPr>
        <w:rFonts w:ascii="Arial" w:eastAsia="SimSun" w:hAnsi="Arial" w:cs="Arial"/>
        <w:bCs/>
        <w:sz w:val="16"/>
        <w:szCs w:val="16"/>
        <w:lang w:eastAsia="ja-JP"/>
      </w:rPr>
      <w:t xml:space="preserve">5 </w:t>
    </w:r>
    <w:r w:rsidRPr="005252CA">
      <w:rPr>
        <w:rFonts w:ascii="Arial" w:eastAsia="SimSun" w:hAnsi="Arial" w:cs="Arial"/>
        <w:bCs/>
        <w:sz w:val="16"/>
        <w:szCs w:val="16"/>
        <w:lang w:eastAsia="ja-JP"/>
      </w:rPr>
      <w:t xml:space="preserve">| page </w:t>
    </w:r>
    <w:r w:rsidRPr="005252CA">
      <w:rPr>
        <w:rFonts w:ascii="Arial" w:eastAsia="SimSun" w:hAnsi="Arial" w:cs="Arial"/>
        <w:bCs/>
        <w:sz w:val="16"/>
        <w:szCs w:val="16"/>
        <w:lang w:eastAsia="ja-JP"/>
      </w:rPr>
      <w:fldChar w:fldCharType="begin"/>
    </w:r>
    <w:r w:rsidRPr="005252CA">
      <w:rPr>
        <w:rFonts w:ascii="Arial" w:eastAsia="SimSun" w:hAnsi="Arial" w:cs="Arial"/>
        <w:bCs/>
        <w:sz w:val="16"/>
        <w:szCs w:val="16"/>
        <w:lang w:eastAsia="ja-JP"/>
      </w:rPr>
      <w:instrText xml:space="preserve"> PAGE   \* MERGEFORMAT </w:instrText>
    </w:r>
    <w:r w:rsidRPr="005252CA">
      <w:rPr>
        <w:rFonts w:ascii="Arial" w:eastAsia="SimSun" w:hAnsi="Arial" w:cs="Arial"/>
        <w:bCs/>
        <w:sz w:val="16"/>
        <w:szCs w:val="16"/>
        <w:lang w:eastAsia="ja-JP"/>
      </w:rPr>
      <w:fldChar w:fldCharType="separate"/>
    </w:r>
    <w:r w:rsidRPr="005252CA">
      <w:rPr>
        <w:rFonts w:ascii="Arial" w:eastAsia="SimSun" w:hAnsi="Arial" w:cs="Arial"/>
        <w:bCs/>
        <w:noProof/>
        <w:sz w:val="16"/>
        <w:szCs w:val="16"/>
        <w:lang w:eastAsia="ja-JP"/>
      </w:rPr>
      <w:t>7</w:t>
    </w:r>
    <w:r w:rsidRPr="005252CA">
      <w:rPr>
        <w:rFonts w:ascii="Arial" w:eastAsia="SimSun" w:hAnsi="Arial" w:cs="Arial"/>
        <w:bCs/>
        <w:noProof/>
        <w:sz w:val="16"/>
        <w:szCs w:val="16"/>
        <w:lang w:eastAsia="ja-JP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1258" w14:textId="77777777" w:rsidR="00064F5A" w:rsidRDefault="00064F5A">
    <w:pPr>
      <w:pStyle w:val="Footer"/>
    </w:pPr>
  </w:p>
  <w:p w14:paraId="02999E3A" w14:textId="6AD212BC" w:rsidR="00064F5A" w:rsidRPr="004A7CAA" w:rsidRDefault="00064F5A" w:rsidP="003F7623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noProof/>
        <w:color w:val="6F7C87"/>
        <w:sz w:val="20"/>
        <w:lang w:eastAsia="ja-JP"/>
      </w:rPr>
    </w:pPr>
    <w:r>
      <w:rPr>
        <w:rFonts w:ascii="Arial" w:eastAsia="SimSun" w:hAnsi="Arial" w:cs="Arial"/>
        <w:color w:val="6F7C87"/>
        <w:sz w:val="16"/>
        <w:szCs w:val="16"/>
        <w:lang w:eastAsia="ja-JP"/>
      </w:rPr>
      <w:tab/>
    </w:r>
    <w:r>
      <w:rPr>
        <w:rFonts w:ascii="Arial" w:eastAsia="SimSun" w:hAnsi="Arial" w:cs="Arial"/>
        <w:color w:val="6F7C87"/>
        <w:sz w:val="16"/>
        <w:szCs w:val="16"/>
        <w:lang w:eastAsia="ja-JP"/>
      </w:rPr>
      <w:tab/>
    </w:r>
    <w:r>
      <w:rPr>
        <w:rFonts w:ascii="Arial" w:eastAsia="SimSun" w:hAnsi="Arial" w:cs="Arial"/>
        <w:color w:val="6F7C87"/>
        <w:sz w:val="16"/>
        <w:szCs w:val="16"/>
        <w:lang w:eastAsia="ja-JP"/>
      </w:rPr>
      <w:br/>
    </w:r>
    <w:r w:rsidRPr="005252CA">
      <w:rPr>
        <w:rFonts w:ascii="Arial" w:eastAsia="SimSun" w:hAnsi="Arial" w:cs="Arial"/>
        <w:bCs/>
        <w:sz w:val="16"/>
        <w:szCs w:val="16"/>
        <w:lang w:eastAsia="ja-JP"/>
      </w:rPr>
      <w:t>Edition</w:t>
    </w:r>
    <w:r w:rsidR="00EC3F01">
      <w:rPr>
        <w:rFonts w:ascii="Arial" w:eastAsia="SimSun" w:hAnsi="Arial" w:cs="Arial"/>
        <w:bCs/>
        <w:sz w:val="16"/>
        <w:szCs w:val="16"/>
        <w:lang w:eastAsia="ja-JP"/>
      </w:rPr>
      <w:t xml:space="preserve"> 1.0 February</w:t>
    </w:r>
    <w:r w:rsidR="004C6EC4">
      <w:rPr>
        <w:rFonts w:ascii="Arial" w:eastAsia="SimSun" w:hAnsi="Arial" w:cs="Arial"/>
        <w:bCs/>
        <w:sz w:val="16"/>
        <w:szCs w:val="16"/>
        <w:lang w:eastAsia="ja-JP"/>
      </w:rPr>
      <w:t xml:space="preserve"> 202</w:t>
    </w:r>
    <w:r w:rsidR="00EC3F01">
      <w:rPr>
        <w:rFonts w:ascii="Arial" w:eastAsia="SimSun" w:hAnsi="Arial" w:cs="Arial"/>
        <w:bCs/>
        <w:sz w:val="16"/>
        <w:szCs w:val="16"/>
        <w:lang w:eastAsia="ja-JP"/>
      </w:rPr>
      <w:t>5</w:t>
    </w:r>
    <w:r w:rsidRPr="003F7623">
      <w:rPr>
        <w:rFonts w:ascii="Arial" w:eastAsia="SimSun" w:hAnsi="Arial" w:cs="Arial"/>
        <w:sz w:val="16"/>
        <w:szCs w:val="16"/>
        <w:lang w:eastAsia="ja-JP"/>
      </w:rPr>
      <w:t xml:space="preserve"> | page </w:t>
    </w:r>
    <w:r w:rsidRPr="003F7623">
      <w:rPr>
        <w:rFonts w:ascii="Arial" w:eastAsia="SimSun" w:hAnsi="Arial" w:cs="Arial"/>
        <w:sz w:val="16"/>
        <w:szCs w:val="16"/>
        <w:lang w:eastAsia="ja-JP"/>
      </w:rPr>
      <w:fldChar w:fldCharType="begin"/>
    </w:r>
    <w:r w:rsidRPr="003F7623">
      <w:rPr>
        <w:rFonts w:ascii="Arial" w:eastAsia="SimSun" w:hAnsi="Arial" w:cs="Arial"/>
        <w:sz w:val="16"/>
        <w:szCs w:val="16"/>
        <w:lang w:eastAsia="ja-JP"/>
      </w:rPr>
      <w:instrText xml:space="preserve"> PAGE   \* MERGEFORMAT </w:instrText>
    </w:r>
    <w:r w:rsidRPr="003F7623">
      <w:rPr>
        <w:rFonts w:ascii="Arial" w:eastAsia="SimSun" w:hAnsi="Arial" w:cs="Arial"/>
        <w:sz w:val="16"/>
        <w:szCs w:val="16"/>
        <w:lang w:eastAsia="ja-JP"/>
      </w:rPr>
      <w:fldChar w:fldCharType="separate"/>
    </w:r>
    <w:r w:rsidRPr="003F7623">
      <w:rPr>
        <w:rFonts w:ascii="Arial" w:eastAsia="SimSun" w:hAnsi="Arial" w:cs="Arial"/>
        <w:noProof/>
        <w:sz w:val="16"/>
        <w:szCs w:val="16"/>
        <w:lang w:eastAsia="ja-JP"/>
      </w:rPr>
      <w:t>1</w:t>
    </w:r>
    <w:r w:rsidRPr="003F7623">
      <w:rPr>
        <w:rFonts w:ascii="Arial" w:eastAsia="SimSun" w:hAnsi="Arial" w:cs="Arial"/>
        <w:noProof/>
        <w:sz w:val="16"/>
        <w:szCs w:val="16"/>
        <w:lang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DFE0" w14:textId="77777777" w:rsidR="007A1F1F" w:rsidRDefault="007A1F1F">
      <w:r>
        <w:separator/>
      </w:r>
    </w:p>
  </w:footnote>
  <w:footnote w:type="continuationSeparator" w:id="0">
    <w:p w14:paraId="51A6C353" w14:textId="77777777" w:rsidR="007A1F1F" w:rsidRDefault="007A1F1F">
      <w:r>
        <w:continuationSeparator/>
      </w:r>
    </w:p>
  </w:footnote>
  <w:footnote w:type="continuationNotice" w:id="1">
    <w:p w14:paraId="6B6EFE52" w14:textId="77777777" w:rsidR="007A1F1F" w:rsidRDefault="007A1F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C812" w14:textId="12E68DF1" w:rsidR="00064F5A" w:rsidRPr="003F7623" w:rsidRDefault="00064F5A" w:rsidP="003F7623">
    <w:pPr>
      <w:widowControl/>
      <w:pBdr>
        <w:bottom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b/>
        <w:sz w:val="16"/>
        <w:szCs w:val="16"/>
        <w:lang w:eastAsia="ja-JP"/>
      </w:rPr>
    </w:pPr>
    <w:r w:rsidRPr="007C2276">
      <w:rPr>
        <w:rFonts w:ascii="Arial" w:eastAsia="SimSun" w:hAnsi="Arial" w:cs="Arial"/>
        <w:b/>
        <w:sz w:val="16"/>
        <w:szCs w:val="16"/>
        <w:lang w:eastAsia="ja-JP"/>
      </w:rPr>
      <w:t xml:space="preserve">ATS </w:t>
    </w:r>
    <w:r w:rsidR="007C2276" w:rsidRPr="007C2276">
      <w:rPr>
        <w:rFonts w:ascii="Arial" w:eastAsia="SimSun" w:hAnsi="Arial" w:cs="Arial"/>
        <w:b/>
        <w:sz w:val="16"/>
        <w:szCs w:val="16"/>
        <w:lang w:eastAsia="ja-JP"/>
      </w:rPr>
      <w:t>3535</w:t>
    </w:r>
    <w:r w:rsidRPr="007C2276">
      <w:rPr>
        <w:rFonts w:ascii="Arial" w:eastAsia="SimSun" w:hAnsi="Arial" w:cs="Arial"/>
        <w:b/>
        <w:sz w:val="16"/>
        <w:szCs w:val="16"/>
        <w:lang w:eastAsia="ja-JP"/>
      </w:rPr>
      <w:t xml:space="preserve"> </w:t>
    </w:r>
    <w:r w:rsidR="007C2276" w:rsidRPr="007C2276">
      <w:rPr>
        <w:rFonts w:ascii="Arial" w:eastAsia="SimSun" w:hAnsi="Arial" w:cs="Arial"/>
        <w:b/>
        <w:sz w:val="16"/>
        <w:szCs w:val="16"/>
        <w:lang w:eastAsia="ja-JP"/>
      </w:rPr>
      <w:t>Supply of Roller Compacted Concrete</w:t>
    </w:r>
  </w:p>
  <w:p w14:paraId="0AC62D57" w14:textId="77777777" w:rsidR="00064F5A" w:rsidRPr="00AE427D" w:rsidRDefault="00064F5A" w:rsidP="00AE427D">
    <w:pPr>
      <w:pStyle w:val="Header"/>
      <w:jc w:val="right"/>
      <w:rPr>
        <w:rFonts w:ascii="Arial" w:hAnsi="Arial" w:cs="Arial"/>
        <w:sz w:val="18"/>
        <w:szCs w:val="18"/>
      </w:rPr>
    </w:pPr>
  </w:p>
  <w:p w14:paraId="6FC60B10" w14:textId="77777777" w:rsidR="00064F5A" w:rsidRPr="00AE427D" w:rsidRDefault="00064F5A" w:rsidP="00AE427D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6F57" w14:textId="77777777" w:rsidR="00064F5A" w:rsidRDefault="00064F5A">
    <w:pPr>
      <w:pStyle w:val="Header"/>
    </w:pPr>
  </w:p>
  <w:p w14:paraId="124A2B82" w14:textId="77777777" w:rsidR="00064F5A" w:rsidRDefault="00064F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087"/>
    <w:multiLevelType w:val="multilevel"/>
    <w:tmpl w:val="47DAC88A"/>
    <w:lvl w:ilvl="0">
      <w:start w:val="1"/>
      <w:numFmt w:val="bullet"/>
      <w:pStyle w:val="Pub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6F7C87"/>
        <w:sz w:val="18"/>
      </w:rPr>
    </w:lvl>
    <w:lvl w:ilvl="1">
      <w:start w:val="1"/>
      <w:numFmt w:val="bullet"/>
      <w:pStyle w:val="TableBullet2"/>
      <w:lvlText w:val="-"/>
      <w:lvlJc w:val="left"/>
      <w:pPr>
        <w:ind w:left="680" w:hanging="340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bullet"/>
      <w:pStyle w:val="TableBullet3"/>
      <w:lvlText w:val="-"/>
      <w:lvlJc w:val="left"/>
      <w:pPr>
        <w:ind w:left="1020" w:hanging="340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1" w15:restartNumberingAfterBreak="0">
    <w:nsid w:val="027F7F66"/>
    <w:multiLevelType w:val="multilevel"/>
    <w:tmpl w:val="CC5EB1C2"/>
    <w:styleLink w:val="Style8"/>
    <w:lvl w:ilvl="0">
      <w:start w:val="1"/>
      <w:numFmt w:val="upperLetter"/>
      <w:lvlText w:val="Appendix %1"/>
      <w:lvlJc w:val="left"/>
      <w:pPr>
        <w:tabs>
          <w:tab w:val="num" w:pos="2835"/>
        </w:tabs>
        <w:ind w:left="2835" w:hanging="2835"/>
      </w:pPr>
      <w:rPr>
        <w:rFonts w:ascii="Arial Bold" w:hAnsi="Arial Bold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DB913"/>
        <w:spacing w:val="0"/>
        <w:w w:val="100"/>
        <w:kern w:val="0"/>
        <w:position w:val="0"/>
        <w:sz w:val="4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33D58CA"/>
    <w:multiLevelType w:val="multilevel"/>
    <w:tmpl w:val="91EA66B8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3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968119D"/>
    <w:multiLevelType w:val="hybridMultilevel"/>
    <w:tmpl w:val="084EFCE4"/>
    <w:lvl w:ilvl="0" w:tplc="176E5E4A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0B94ACC"/>
    <w:multiLevelType w:val="hybridMultilevel"/>
    <w:tmpl w:val="C4BE5D1A"/>
    <w:lvl w:ilvl="0" w:tplc="57BE9F62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3F46D89"/>
    <w:multiLevelType w:val="multilevel"/>
    <w:tmpl w:val="E2906688"/>
    <w:lvl w:ilvl="0">
      <w:start w:val="1"/>
      <w:numFmt w:val="lowerLetter"/>
      <w:pStyle w:val="Style12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18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8" w15:restartNumberingAfterBreak="0">
    <w:nsid w:val="247C51A8"/>
    <w:multiLevelType w:val="multilevel"/>
    <w:tmpl w:val="E4960832"/>
    <w:lvl w:ilvl="0">
      <w:start w:val="1"/>
      <w:numFmt w:val="decimal"/>
      <w:pStyle w:val="Notes"/>
      <w:lvlText w:val="%1.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9" w15:restartNumberingAfterBreak="0">
    <w:nsid w:val="29C410E9"/>
    <w:multiLevelType w:val="multilevel"/>
    <w:tmpl w:val="45F4FA74"/>
    <w:lvl w:ilvl="0">
      <w:start w:val="1"/>
      <w:numFmt w:val="none"/>
      <w:pStyle w:val="Subheading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425"/>
      </w:pPr>
      <w:rPr>
        <w:rFonts w:hint="default"/>
        <w:b w:val="0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0" w15:restartNumberingAfterBreak="0">
    <w:nsid w:val="2E5F1B9D"/>
    <w:multiLevelType w:val="multilevel"/>
    <w:tmpl w:val="4EB61BDA"/>
    <w:lvl w:ilvl="0">
      <w:start w:val="1"/>
      <w:numFmt w:val="lowerRoman"/>
      <w:pStyle w:val="Style9"/>
      <w:lvlText w:val="%1)"/>
      <w:lvlJc w:val="left"/>
      <w:pPr>
        <w:ind w:left="3075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933" w:hanging="567"/>
      </w:pPr>
      <w:rPr>
        <w:rFonts w:hint="default"/>
      </w:rPr>
    </w:lvl>
    <w:lvl w:ilvl="2">
      <w:numFmt w:val="bullet"/>
      <w:lvlText w:val="•"/>
      <w:lvlJc w:val="left"/>
      <w:pPr>
        <w:ind w:left="4800" w:hanging="567"/>
      </w:pPr>
      <w:rPr>
        <w:rFonts w:hint="default"/>
      </w:rPr>
    </w:lvl>
    <w:lvl w:ilvl="3">
      <w:numFmt w:val="bullet"/>
      <w:lvlText w:val="•"/>
      <w:lvlJc w:val="left"/>
      <w:pPr>
        <w:ind w:left="5666" w:hanging="567"/>
      </w:pPr>
      <w:rPr>
        <w:rFonts w:hint="default"/>
      </w:rPr>
    </w:lvl>
    <w:lvl w:ilvl="4">
      <w:numFmt w:val="bullet"/>
      <w:lvlText w:val="•"/>
      <w:lvlJc w:val="left"/>
      <w:pPr>
        <w:ind w:left="6533" w:hanging="567"/>
      </w:pPr>
      <w:rPr>
        <w:rFonts w:hint="default"/>
      </w:rPr>
    </w:lvl>
    <w:lvl w:ilvl="5">
      <w:numFmt w:val="bullet"/>
      <w:lvlText w:val="•"/>
      <w:lvlJc w:val="left"/>
      <w:pPr>
        <w:ind w:left="7400" w:hanging="567"/>
      </w:pPr>
      <w:rPr>
        <w:rFonts w:hint="default"/>
      </w:rPr>
    </w:lvl>
    <w:lvl w:ilvl="6">
      <w:numFmt w:val="bullet"/>
      <w:lvlText w:val="•"/>
      <w:lvlJc w:val="left"/>
      <w:pPr>
        <w:ind w:left="8266" w:hanging="567"/>
      </w:pPr>
      <w:rPr>
        <w:rFonts w:hint="default"/>
      </w:rPr>
    </w:lvl>
    <w:lvl w:ilvl="7">
      <w:numFmt w:val="bullet"/>
      <w:lvlText w:val="•"/>
      <w:lvlJc w:val="left"/>
      <w:pPr>
        <w:ind w:left="9133" w:hanging="567"/>
      </w:pPr>
      <w:rPr>
        <w:rFonts w:hint="default"/>
      </w:rPr>
    </w:lvl>
    <w:lvl w:ilvl="8">
      <w:numFmt w:val="bullet"/>
      <w:lvlText w:val="•"/>
      <w:lvlJc w:val="left"/>
      <w:pPr>
        <w:ind w:left="10000" w:hanging="567"/>
      </w:pPr>
      <w:rPr>
        <w:rFonts w:hint="default"/>
      </w:rPr>
    </w:lvl>
  </w:abstractNum>
  <w:abstractNum w:abstractNumId="11" w15:restartNumberingAfterBreak="0">
    <w:nsid w:val="333D6320"/>
    <w:multiLevelType w:val="hybridMultilevel"/>
    <w:tmpl w:val="164016AA"/>
    <w:lvl w:ilvl="0" w:tplc="C0D2E14C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561176C"/>
    <w:multiLevelType w:val="hybridMultilevel"/>
    <w:tmpl w:val="836C5EE2"/>
    <w:lvl w:ilvl="0" w:tplc="A2C61698">
      <w:start w:val="1"/>
      <w:numFmt w:val="decimal"/>
      <w:lvlRestart w:val="0"/>
      <w:pStyle w:val="TableFigureNotesList"/>
      <w:lvlText w:val="%1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5D490B"/>
    <w:multiLevelType w:val="multilevel"/>
    <w:tmpl w:val="B6521D96"/>
    <w:styleLink w:val="Style5"/>
    <w:lvl w:ilvl="0">
      <w:start w:val="1"/>
      <w:numFmt w:val="decimal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14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2985362"/>
    <w:multiLevelType w:val="hybridMultilevel"/>
    <w:tmpl w:val="82600BB8"/>
    <w:lvl w:ilvl="0" w:tplc="3432DED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 w15:restartNumberingAfterBreak="0">
    <w:nsid w:val="5E455653"/>
    <w:multiLevelType w:val="multilevel"/>
    <w:tmpl w:val="D3AC241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e6"/>
      <w:lvlText w:val="%1.%2"/>
      <w:lvlJc w:val="left"/>
      <w:pPr>
        <w:ind w:left="1002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63422961"/>
    <w:multiLevelType w:val="multilevel"/>
    <w:tmpl w:val="B84CCA64"/>
    <w:lvl w:ilvl="0">
      <w:start w:val="1"/>
      <w:numFmt w:val="lowerLetter"/>
      <w:pStyle w:val="Style4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18" w15:restartNumberingAfterBreak="0">
    <w:nsid w:val="70025376"/>
    <w:multiLevelType w:val="hybridMultilevel"/>
    <w:tmpl w:val="79D8CF40"/>
    <w:lvl w:ilvl="0" w:tplc="424268B2">
      <w:start w:val="1"/>
      <w:numFmt w:val="bullet"/>
      <w:pStyle w:val="TableFigureLevel1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812A6"/>
    <w:multiLevelType w:val="multilevel"/>
    <w:tmpl w:val="4BAC8940"/>
    <w:styleLink w:val="Style7"/>
    <w:lvl w:ilvl="0">
      <w:start w:val="1"/>
      <w:numFmt w:val="lowerLetter"/>
      <w:lvlText w:val="%1)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20" w15:restartNumberingAfterBreak="0">
    <w:nsid w:val="75E535F4"/>
    <w:multiLevelType w:val="hybridMultilevel"/>
    <w:tmpl w:val="C804CF0C"/>
    <w:lvl w:ilvl="0" w:tplc="5E9E69B2">
      <w:start w:val="1"/>
      <w:numFmt w:val="lowerRoman"/>
      <w:pStyle w:val="Bodynumbered3"/>
      <w:lvlText w:val="%1)"/>
      <w:lvlJc w:val="left"/>
      <w:pPr>
        <w:tabs>
          <w:tab w:val="num" w:pos="1134"/>
        </w:tabs>
        <w:ind w:left="1134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781757E3"/>
    <w:multiLevelType w:val="multilevel"/>
    <w:tmpl w:val="7AC09338"/>
    <w:lvl w:ilvl="0">
      <w:start w:val="1"/>
      <w:numFmt w:val="decimal"/>
      <w:lvlRestart w:val="0"/>
      <w:pStyle w:val="CommentaryHeading1"/>
      <w:suff w:val="nothing"/>
      <w:lvlText w:val="Commentary %1"/>
      <w:lvlJc w:val="left"/>
      <w:pPr>
        <w:ind w:left="2835" w:hanging="2835"/>
      </w:pPr>
      <w:rPr>
        <w:rFonts w:ascii="Arial Bold" w:hAnsi="Arial Bold" w:hint="default"/>
        <w:b/>
        <w:i w:val="0"/>
        <w:caps/>
        <w:color w:val="auto"/>
      </w:rPr>
    </w:lvl>
    <w:lvl w:ilvl="1">
      <w:start w:val="1"/>
      <w:numFmt w:val="decimal"/>
      <w:pStyle w:val="CommentaryHeading2"/>
      <w:lvlText w:val="C%1.%2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 w:val="0"/>
        <w:caps/>
        <w:color w:val="auto"/>
      </w:rPr>
    </w:lvl>
    <w:lvl w:ilvl="2">
      <w:start w:val="1"/>
      <w:numFmt w:val="decimal"/>
      <w:pStyle w:val="CommentaryHeading3"/>
      <w:lvlText w:val="C%1.%2.%3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/>
        <w:caps/>
      </w:rPr>
    </w:lvl>
    <w:lvl w:ilvl="3">
      <w:start w:val="1"/>
      <w:numFmt w:val="decimal"/>
      <w:lvlText w:val="%1.%2.%3.%4."/>
      <w:lvlJc w:val="left"/>
      <w:pPr>
        <w:tabs>
          <w:tab w:val="num" w:pos="2037"/>
        </w:tabs>
        <w:ind w:left="196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57"/>
        </w:tabs>
        <w:ind w:left="247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297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7"/>
        </w:tabs>
        <w:ind w:left="398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7"/>
        </w:tabs>
        <w:ind w:left="4560" w:hanging="1440"/>
      </w:pPr>
      <w:rPr>
        <w:rFonts w:hint="default"/>
      </w:rPr>
    </w:lvl>
  </w:abstractNum>
  <w:abstractNum w:abstractNumId="22" w15:restartNumberingAfterBreak="0">
    <w:nsid w:val="795D4465"/>
    <w:multiLevelType w:val="hybridMultilevel"/>
    <w:tmpl w:val="B6521D96"/>
    <w:lvl w:ilvl="0" w:tplc="45C87EAE">
      <w:start w:val="1"/>
      <w:numFmt w:val="decimal"/>
      <w:pStyle w:val="Style3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 w:tplc="EED87FA2">
      <w:numFmt w:val="bullet"/>
      <w:lvlText w:val="•"/>
      <w:lvlJc w:val="left"/>
      <w:pPr>
        <w:ind w:left="1566" w:hanging="567"/>
      </w:pPr>
      <w:rPr>
        <w:rFonts w:hint="default"/>
      </w:rPr>
    </w:lvl>
    <w:lvl w:ilvl="2" w:tplc="DB74A0EA">
      <w:numFmt w:val="bullet"/>
      <w:lvlText w:val="•"/>
      <w:lvlJc w:val="left"/>
      <w:pPr>
        <w:ind w:left="2433" w:hanging="567"/>
      </w:pPr>
      <w:rPr>
        <w:rFonts w:hint="default"/>
      </w:rPr>
    </w:lvl>
    <w:lvl w:ilvl="3" w:tplc="C2D02A40">
      <w:numFmt w:val="bullet"/>
      <w:lvlText w:val="•"/>
      <w:lvlJc w:val="left"/>
      <w:pPr>
        <w:ind w:left="3299" w:hanging="567"/>
      </w:pPr>
      <w:rPr>
        <w:rFonts w:hint="default"/>
      </w:rPr>
    </w:lvl>
    <w:lvl w:ilvl="4" w:tplc="64A8DFF0">
      <w:numFmt w:val="bullet"/>
      <w:lvlText w:val="•"/>
      <w:lvlJc w:val="left"/>
      <w:pPr>
        <w:ind w:left="4166" w:hanging="567"/>
      </w:pPr>
      <w:rPr>
        <w:rFonts w:hint="default"/>
      </w:rPr>
    </w:lvl>
    <w:lvl w:ilvl="5" w:tplc="942CD49E">
      <w:numFmt w:val="bullet"/>
      <w:lvlText w:val="•"/>
      <w:lvlJc w:val="left"/>
      <w:pPr>
        <w:ind w:left="5033" w:hanging="567"/>
      </w:pPr>
      <w:rPr>
        <w:rFonts w:hint="default"/>
      </w:rPr>
    </w:lvl>
    <w:lvl w:ilvl="6" w:tplc="6F00D4F0">
      <w:numFmt w:val="bullet"/>
      <w:lvlText w:val="•"/>
      <w:lvlJc w:val="left"/>
      <w:pPr>
        <w:ind w:left="5899" w:hanging="567"/>
      </w:pPr>
      <w:rPr>
        <w:rFonts w:hint="default"/>
      </w:rPr>
    </w:lvl>
    <w:lvl w:ilvl="7" w:tplc="73F60A88">
      <w:numFmt w:val="bullet"/>
      <w:lvlText w:val="•"/>
      <w:lvlJc w:val="left"/>
      <w:pPr>
        <w:ind w:left="6766" w:hanging="567"/>
      </w:pPr>
      <w:rPr>
        <w:rFonts w:hint="default"/>
      </w:rPr>
    </w:lvl>
    <w:lvl w:ilvl="8" w:tplc="4DA875F0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23" w15:restartNumberingAfterBreak="0">
    <w:nsid w:val="7AD101E3"/>
    <w:multiLevelType w:val="hybridMultilevel"/>
    <w:tmpl w:val="A4106AC6"/>
    <w:lvl w:ilvl="0" w:tplc="E9A4F2C0">
      <w:start w:val="1"/>
      <w:numFmt w:val="lowerLetter"/>
      <w:pStyle w:val="Bodynumbered2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CFB25FB6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86526212">
    <w:abstractNumId w:val="22"/>
  </w:num>
  <w:num w:numId="2" w16cid:durableId="1162625538">
    <w:abstractNumId w:val="13"/>
  </w:num>
  <w:num w:numId="3" w16cid:durableId="1394505137">
    <w:abstractNumId w:val="19"/>
  </w:num>
  <w:num w:numId="4" w16cid:durableId="2066752883">
    <w:abstractNumId w:val="9"/>
  </w:num>
  <w:num w:numId="5" w16cid:durableId="229266402">
    <w:abstractNumId w:val="1"/>
  </w:num>
  <w:num w:numId="6" w16cid:durableId="1155610907">
    <w:abstractNumId w:val="18"/>
  </w:num>
  <w:num w:numId="7" w16cid:durableId="1965690514">
    <w:abstractNumId w:val="10"/>
  </w:num>
  <w:num w:numId="8" w16cid:durableId="1532917005">
    <w:abstractNumId w:val="17"/>
  </w:num>
  <w:num w:numId="9" w16cid:durableId="1101218894">
    <w:abstractNumId w:val="6"/>
  </w:num>
  <w:num w:numId="10" w16cid:durableId="2132674568">
    <w:abstractNumId w:val="2"/>
  </w:num>
  <w:num w:numId="11" w16cid:durableId="592669086">
    <w:abstractNumId w:val="16"/>
  </w:num>
  <w:num w:numId="12" w16cid:durableId="679702400">
    <w:abstractNumId w:val="21"/>
  </w:num>
  <w:num w:numId="13" w16cid:durableId="861475065">
    <w:abstractNumId w:val="20"/>
  </w:num>
  <w:num w:numId="14" w16cid:durableId="584538496">
    <w:abstractNumId w:val="8"/>
  </w:num>
  <w:num w:numId="15" w16cid:durableId="320669289">
    <w:abstractNumId w:val="0"/>
  </w:num>
  <w:num w:numId="16" w16cid:durableId="1552885660">
    <w:abstractNumId w:val="3"/>
  </w:num>
  <w:num w:numId="17" w16cid:durableId="1790392257">
    <w:abstractNumId w:val="7"/>
  </w:num>
  <w:num w:numId="18" w16cid:durableId="2088576406">
    <w:abstractNumId w:val="12"/>
  </w:num>
  <w:num w:numId="19" w16cid:durableId="1501460606">
    <w:abstractNumId w:val="23"/>
  </w:num>
  <w:num w:numId="20" w16cid:durableId="1431051304">
    <w:abstractNumId w:val="14"/>
  </w:num>
  <w:num w:numId="21" w16cid:durableId="626660923">
    <w:abstractNumId w:val="23"/>
    <w:lvlOverride w:ilvl="0">
      <w:startOverride w:val="1"/>
    </w:lvlOverride>
  </w:num>
  <w:num w:numId="22" w16cid:durableId="1466779597">
    <w:abstractNumId w:val="20"/>
    <w:lvlOverride w:ilvl="0">
      <w:startOverride w:val="1"/>
    </w:lvlOverride>
  </w:num>
  <w:num w:numId="23" w16cid:durableId="31998401">
    <w:abstractNumId w:val="23"/>
  </w:num>
  <w:num w:numId="24" w16cid:durableId="878516811">
    <w:abstractNumId w:val="23"/>
    <w:lvlOverride w:ilvl="0">
      <w:startOverride w:val="1"/>
    </w:lvlOverride>
  </w:num>
  <w:num w:numId="25" w16cid:durableId="247347396">
    <w:abstractNumId w:val="23"/>
    <w:lvlOverride w:ilvl="0">
      <w:startOverride w:val="1"/>
    </w:lvlOverride>
  </w:num>
  <w:num w:numId="26" w16cid:durableId="1870752593">
    <w:abstractNumId w:val="23"/>
    <w:lvlOverride w:ilvl="0">
      <w:startOverride w:val="1"/>
    </w:lvlOverride>
  </w:num>
  <w:num w:numId="27" w16cid:durableId="8072808">
    <w:abstractNumId w:val="23"/>
  </w:num>
  <w:num w:numId="28" w16cid:durableId="2019307474">
    <w:abstractNumId w:val="23"/>
    <w:lvlOverride w:ilvl="0">
      <w:startOverride w:val="1"/>
    </w:lvlOverride>
  </w:num>
  <w:num w:numId="29" w16cid:durableId="1015621137">
    <w:abstractNumId w:val="23"/>
  </w:num>
  <w:num w:numId="30" w16cid:durableId="1369454030">
    <w:abstractNumId w:val="20"/>
  </w:num>
  <w:num w:numId="31" w16cid:durableId="961837952">
    <w:abstractNumId w:val="5"/>
  </w:num>
  <w:num w:numId="32" w16cid:durableId="925310978">
    <w:abstractNumId w:val="23"/>
  </w:num>
  <w:num w:numId="33" w16cid:durableId="866992227">
    <w:abstractNumId w:val="23"/>
    <w:lvlOverride w:ilvl="0">
      <w:startOverride w:val="1"/>
    </w:lvlOverride>
  </w:num>
  <w:num w:numId="34" w16cid:durableId="1276447773">
    <w:abstractNumId w:val="23"/>
    <w:lvlOverride w:ilvl="0">
      <w:startOverride w:val="1"/>
    </w:lvlOverride>
  </w:num>
  <w:num w:numId="35" w16cid:durableId="708191329">
    <w:abstractNumId w:val="20"/>
    <w:lvlOverride w:ilvl="0">
      <w:startOverride w:val="1"/>
    </w:lvlOverride>
  </w:num>
  <w:num w:numId="36" w16cid:durableId="1803619408">
    <w:abstractNumId w:val="20"/>
    <w:lvlOverride w:ilvl="0">
      <w:startOverride w:val="1"/>
    </w:lvlOverride>
  </w:num>
  <w:num w:numId="37" w16cid:durableId="1901091526">
    <w:abstractNumId w:val="23"/>
    <w:lvlOverride w:ilvl="0">
      <w:startOverride w:val="1"/>
    </w:lvlOverride>
  </w:num>
  <w:num w:numId="38" w16cid:durableId="1123885584">
    <w:abstractNumId w:val="23"/>
  </w:num>
  <w:num w:numId="39" w16cid:durableId="1018970552">
    <w:abstractNumId w:val="23"/>
  </w:num>
  <w:num w:numId="40" w16cid:durableId="1663257">
    <w:abstractNumId w:val="23"/>
  </w:num>
  <w:num w:numId="41" w16cid:durableId="20530757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91434834">
    <w:abstractNumId w:val="23"/>
    <w:lvlOverride w:ilvl="0">
      <w:startOverride w:val="1"/>
    </w:lvlOverride>
  </w:num>
  <w:num w:numId="43" w16cid:durableId="1174220247">
    <w:abstractNumId w:val="20"/>
    <w:lvlOverride w:ilvl="0">
      <w:startOverride w:val="1"/>
    </w:lvlOverride>
  </w:num>
  <w:num w:numId="44" w16cid:durableId="1442260757">
    <w:abstractNumId w:val="4"/>
  </w:num>
  <w:num w:numId="45" w16cid:durableId="66464305">
    <w:abstractNumId w:val="11"/>
  </w:num>
  <w:num w:numId="46" w16cid:durableId="72360227">
    <w:abstractNumId w:val="20"/>
    <w:lvlOverride w:ilvl="0">
      <w:startOverride w:val="1"/>
    </w:lvlOverride>
  </w:num>
  <w:num w:numId="47" w16cid:durableId="1909539260">
    <w:abstractNumId w:val="23"/>
  </w:num>
  <w:num w:numId="48" w16cid:durableId="625624212">
    <w:abstractNumId w:val="23"/>
    <w:lvlOverride w:ilvl="0">
      <w:startOverride w:val="1"/>
    </w:lvlOverride>
  </w:num>
  <w:num w:numId="49" w16cid:durableId="1290434697">
    <w:abstractNumId w:val="23"/>
    <w:lvlOverride w:ilvl="0">
      <w:startOverride w:val="1"/>
    </w:lvlOverride>
  </w:num>
  <w:num w:numId="50" w16cid:durableId="1055816469">
    <w:abstractNumId w:val="23"/>
    <w:lvlOverride w:ilvl="0">
      <w:startOverride w:val="1"/>
    </w:lvlOverride>
  </w:num>
  <w:num w:numId="51" w16cid:durableId="1807702549">
    <w:abstractNumId w:val="20"/>
    <w:lvlOverride w:ilvl="0">
      <w:startOverride w:val="1"/>
    </w:lvlOverride>
  </w:num>
  <w:num w:numId="52" w16cid:durableId="1695302975">
    <w:abstractNumId w:val="20"/>
    <w:lvlOverride w:ilvl="0">
      <w:startOverride w:val="1"/>
    </w:lvlOverride>
  </w:num>
  <w:num w:numId="53" w16cid:durableId="47925914">
    <w:abstractNumId w:val="23"/>
    <w:lvlOverride w:ilvl="0">
      <w:startOverride w:val="1"/>
    </w:lvlOverride>
  </w:num>
  <w:num w:numId="54" w16cid:durableId="1914781226">
    <w:abstractNumId w:val="23"/>
    <w:lvlOverride w:ilvl="0">
      <w:startOverride w:val="1"/>
    </w:lvlOverride>
  </w:num>
  <w:num w:numId="55" w16cid:durableId="1618173402">
    <w:abstractNumId w:val="23"/>
  </w:num>
  <w:num w:numId="56" w16cid:durableId="577831091">
    <w:abstractNumId w:val="23"/>
    <w:lvlOverride w:ilvl="0">
      <w:startOverride w:val="1"/>
    </w:lvlOverride>
  </w:num>
  <w:num w:numId="57" w16cid:durableId="1372456485">
    <w:abstractNumId w:val="23"/>
    <w:lvlOverride w:ilvl="0">
      <w:startOverride w:val="1"/>
    </w:lvlOverride>
  </w:num>
  <w:num w:numId="58" w16cid:durableId="470097380">
    <w:abstractNumId w:val="23"/>
    <w:lvlOverride w:ilvl="0">
      <w:startOverride w:val="1"/>
    </w:lvlOverride>
  </w:num>
  <w:num w:numId="59" w16cid:durableId="1212576877">
    <w:abstractNumId w:val="23"/>
    <w:lvlOverride w:ilvl="0">
      <w:startOverride w:val="1"/>
    </w:lvlOverride>
  </w:num>
  <w:num w:numId="60" w16cid:durableId="1486162153">
    <w:abstractNumId w:val="23"/>
    <w:lvlOverride w:ilvl="0">
      <w:startOverride w:val="1"/>
    </w:lvlOverride>
  </w:num>
  <w:num w:numId="61" w16cid:durableId="1818304631">
    <w:abstractNumId w:val="1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E2"/>
    <w:rsid w:val="00003330"/>
    <w:rsid w:val="00006D2F"/>
    <w:rsid w:val="000074BA"/>
    <w:rsid w:val="00010315"/>
    <w:rsid w:val="00011356"/>
    <w:rsid w:val="000115DE"/>
    <w:rsid w:val="00012880"/>
    <w:rsid w:val="0001371F"/>
    <w:rsid w:val="0001456B"/>
    <w:rsid w:val="00015318"/>
    <w:rsid w:val="00017D92"/>
    <w:rsid w:val="00020BB3"/>
    <w:rsid w:val="000221F3"/>
    <w:rsid w:val="00025D9A"/>
    <w:rsid w:val="0003240C"/>
    <w:rsid w:val="00037DFF"/>
    <w:rsid w:val="00042467"/>
    <w:rsid w:val="00045CDF"/>
    <w:rsid w:val="00050542"/>
    <w:rsid w:val="000561B6"/>
    <w:rsid w:val="000565BE"/>
    <w:rsid w:val="00057CE9"/>
    <w:rsid w:val="00062399"/>
    <w:rsid w:val="00063F76"/>
    <w:rsid w:val="00064F5A"/>
    <w:rsid w:val="00065FBC"/>
    <w:rsid w:val="00066FF7"/>
    <w:rsid w:val="00071E2D"/>
    <w:rsid w:val="00073A3D"/>
    <w:rsid w:val="00075012"/>
    <w:rsid w:val="000750A5"/>
    <w:rsid w:val="00077815"/>
    <w:rsid w:val="00080AB7"/>
    <w:rsid w:val="00081194"/>
    <w:rsid w:val="00082B1B"/>
    <w:rsid w:val="00083DD0"/>
    <w:rsid w:val="00085392"/>
    <w:rsid w:val="00086BF7"/>
    <w:rsid w:val="000900DB"/>
    <w:rsid w:val="00090BB5"/>
    <w:rsid w:val="00092BD7"/>
    <w:rsid w:val="000934BE"/>
    <w:rsid w:val="000940DD"/>
    <w:rsid w:val="00095B6D"/>
    <w:rsid w:val="000A4160"/>
    <w:rsid w:val="000A4BE4"/>
    <w:rsid w:val="000A51A0"/>
    <w:rsid w:val="000A5626"/>
    <w:rsid w:val="000A6357"/>
    <w:rsid w:val="000A7CAC"/>
    <w:rsid w:val="000B1E68"/>
    <w:rsid w:val="000B262B"/>
    <w:rsid w:val="000B2831"/>
    <w:rsid w:val="000B3CF1"/>
    <w:rsid w:val="000B5520"/>
    <w:rsid w:val="000C089A"/>
    <w:rsid w:val="000C1C06"/>
    <w:rsid w:val="000C3C91"/>
    <w:rsid w:val="000C4621"/>
    <w:rsid w:val="000C603D"/>
    <w:rsid w:val="000C6AA5"/>
    <w:rsid w:val="000D471B"/>
    <w:rsid w:val="000D56DB"/>
    <w:rsid w:val="000D76D6"/>
    <w:rsid w:val="000D79CC"/>
    <w:rsid w:val="000E2070"/>
    <w:rsid w:val="000E3FD7"/>
    <w:rsid w:val="000E508E"/>
    <w:rsid w:val="000E5A77"/>
    <w:rsid w:val="000E5E53"/>
    <w:rsid w:val="000E66B7"/>
    <w:rsid w:val="000E6E2F"/>
    <w:rsid w:val="000F09D1"/>
    <w:rsid w:val="000F0CC5"/>
    <w:rsid w:val="000F1AB8"/>
    <w:rsid w:val="000F600D"/>
    <w:rsid w:val="000F633D"/>
    <w:rsid w:val="000F6C6F"/>
    <w:rsid w:val="000F76C4"/>
    <w:rsid w:val="0010568B"/>
    <w:rsid w:val="001058EC"/>
    <w:rsid w:val="00106602"/>
    <w:rsid w:val="00106951"/>
    <w:rsid w:val="00107CDA"/>
    <w:rsid w:val="001119AB"/>
    <w:rsid w:val="0011467B"/>
    <w:rsid w:val="0011479C"/>
    <w:rsid w:val="00114D7E"/>
    <w:rsid w:val="00116F61"/>
    <w:rsid w:val="0011774C"/>
    <w:rsid w:val="001216A8"/>
    <w:rsid w:val="00121877"/>
    <w:rsid w:val="00121FED"/>
    <w:rsid w:val="0012515A"/>
    <w:rsid w:val="00125972"/>
    <w:rsid w:val="0012600B"/>
    <w:rsid w:val="00126E9F"/>
    <w:rsid w:val="00126EBA"/>
    <w:rsid w:val="00130933"/>
    <w:rsid w:val="001316BE"/>
    <w:rsid w:val="001344CC"/>
    <w:rsid w:val="00136BB5"/>
    <w:rsid w:val="00137078"/>
    <w:rsid w:val="00137ACC"/>
    <w:rsid w:val="00140C1C"/>
    <w:rsid w:val="0014109A"/>
    <w:rsid w:val="00142918"/>
    <w:rsid w:val="00144616"/>
    <w:rsid w:val="00145118"/>
    <w:rsid w:val="0014592C"/>
    <w:rsid w:val="001474AB"/>
    <w:rsid w:val="00147769"/>
    <w:rsid w:val="00147797"/>
    <w:rsid w:val="00151296"/>
    <w:rsid w:val="00151CD8"/>
    <w:rsid w:val="00151D07"/>
    <w:rsid w:val="001531A0"/>
    <w:rsid w:val="001546F2"/>
    <w:rsid w:val="00155A1F"/>
    <w:rsid w:val="00163BA1"/>
    <w:rsid w:val="0016403A"/>
    <w:rsid w:val="0016629B"/>
    <w:rsid w:val="00167824"/>
    <w:rsid w:val="00170376"/>
    <w:rsid w:val="00171A05"/>
    <w:rsid w:val="00174BC5"/>
    <w:rsid w:val="00176137"/>
    <w:rsid w:val="00176931"/>
    <w:rsid w:val="0017727E"/>
    <w:rsid w:val="00177DAD"/>
    <w:rsid w:val="0018067B"/>
    <w:rsid w:val="00182327"/>
    <w:rsid w:val="001852C3"/>
    <w:rsid w:val="001859E1"/>
    <w:rsid w:val="001872B3"/>
    <w:rsid w:val="00191F45"/>
    <w:rsid w:val="00193DE3"/>
    <w:rsid w:val="00193ECF"/>
    <w:rsid w:val="00194CD0"/>
    <w:rsid w:val="00195B97"/>
    <w:rsid w:val="001970AC"/>
    <w:rsid w:val="00197573"/>
    <w:rsid w:val="001A2692"/>
    <w:rsid w:val="001A2BE5"/>
    <w:rsid w:val="001A3BE4"/>
    <w:rsid w:val="001A3C09"/>
    <w:rsid w:val="001A5DF5"/>
    <w:rsid w:val="001B0059"/>
    <w:rsid w:val="001B0E77"/>
    <w:rsid w:val="001B1016"/>
    <w:rsid w:val="001B1618"/>
    <w:rsid w:val="001B45FD"/>
    <w:rsid w:val="001B7F72"/>
    <w:rsid w:val="001C09B2"/>
    <w:rsid w:val="001C2754"/>
    <w:rsid w:val="001C3AF9"/>
    <w:rsid w:val="001C5350"/>
    <w:rsid w:val="001C7621"/>
    <w:rsid w:val="001D0B84"/>
    <w:rsid w:val="001E0927"/>
    <w:rsid w:val="001E6B1E"/>
    <w:rsid w:val="001E7290"/>
    <w:rsid w:val="001F1124"/>
    <w:rsid w:val="001F256F"/>
    <w:rsid w:val="001F44D9"/>
    <w:rsid w:val="00202253"/>
    <w:rsid w:val="002034F5"/>
    <w:rsid w:val="00205A11"/>
    <w:rsid w:val="0020725E"/>
    <w:rsid w:val="00211052"/>
    <w:rsid w:val="002118F2"/>
    <w:rsid w:val="002165C3"/>
    <w:rsid w:val="00216C45"/>
    <w:rsid w:val="00222605"/>
    <w:rsid w:val="0022279F"/>
    <w:rsid w:val="0022440A"/>
    <w:rsid w:val="00231C01"/>
    <w:rsid w:val="002364A3"/>
    <w:rsid w:val="002372EC"/>
    <w:rsid w:val="002414FE"/>
    <w:rsid w:val="002423B2"/>
    <w:rsid w:val="002452DC"/>
    <w:rsid w:val="00245520"/>
    <w:rsid w:val="00245CF3"/>
    <w:rsid w:val="0024764B"/>
    <w:rsid w:val="00260974"/>
    <w:rsid w:val="002616C5"/>
    <w:rsid w:val="00264B4E"/>
    <w:rsid w:val="002652B9"/>
    <w:rsid w:val="002654CE"/>
    <w:rsid w:val="00265C46"/>
    <w:rsid w:val="00265E28"/>
    <w:rsid w:val="00272EF7"/>
    <w:rsid w:val="002732F3"/>
    <w:rsid w:val="0027453C"/>
    <w:rsid w:val="00274EEC"/>
    <w:rsid w:val="00281417"/>
    <w:rsid w:val="0028284E"/>
    <w:rsid w:val="00282B2D"/>
    <w:rsid w:val="002852C2"/>
    <w:rsid w:val="00292D3B"/>
    <w:rsid w:val="00293CE1"/>
    <w:rsid w:val="002A01BE"/>
    <w:rsid w:val="002A03F6"/>
    <w:rsid w:val="002A13EF"/>
    <w:rsid w:val="002A1D93"/>
    <w:rsid w:val="002A3BAA"/>
    <w:rsid w:val="002A5934"/>
    <w:rsid w:val="002A5CAF"/>
    <w:rsid w:val="002A5FE2"/>
    <w:rsid w:val="002A6F75"/>
    <w:rsid w:val="002B1188"/>
    <w:rsid w:val="002B1712"/>
    <w:rsid w:val="002B1BEB"/>
    <w:rsid w:val="002B31C9"/>
    <w:rsid w:val="002B3553"/>
    <w:rsid w:val="002B3FB2"/>
    <w:rsid w:val="002B42FE"/>
    <w:rsid w:val="002B4A84"/>
    <w:rsid w:val="002B6832"/>
    <w:rsid w:val="002C13AF"/>
    <w:rsid w:val="002C3A6D"/>
    <w:rsid w:val="002C46FD"/>
    <w:rsid w:val="002C5250"/>
    <w:rsid w:val="002C74E9"/>
    <w:rsid w:val="002D09CA"/>
    <w:rsid w:val="002D17E9"/>
    <w:rsid w:val="002D1BA4"/>
    <w:rsid w:val="002D3164"/>
    <w:rsid w:val="002D38E3"/>
    <w:rsid w:val="002D6C9F"/>
    <w:rsid w:val="002E1C61"/>
    <w:rsid w:val="002E4E55"/>
    <w:rsid w:val="002E5D4C"/>
    <w:rsid w:val="002E643F"/>
    <w:rsid w:val="002E6E99"/>
    <w:rsid w:val="002E7870"/>
    <w:rsid w:val="002E7CDE"/>
    <w:rsid w:val="002F0386"/>
    <w:rsid w:val="002F2D3C"/>
    <w:rsid w:val="002F4AA6"/>
    <w:rsid w:val="002F6570"/>
    <w:rsid w:val="00300679"/>
    <w:rsid w:val="00301089"/>
    <w:rsid w:val="00302829"/>
    <w:rsid w:val="00303261"/>
    <w:rsid w:val="00303332"/>
    <w:rsid w:val="00303A16"/>
    <w:rsid w:val="003044CA"/>
    <w:rsid w:val="003072DE"/>
    <w:rsid w:val="00310369"/>
    <w:rsid w:val="00310641"/>
    <w:rsid w:val="00311990"/>
    <w:rsid w:val="00314401"/>
    <w:rsid w:val="00314636"/>
    <w:rsid w:val="003173C9"/>
    <w:rsid w:val="0032014D"/>
    <w:rsid w:val="00321170"/>
    <w:rsid w:val="003215D5"/>
    <w:rsid w:val="00323181"/>
    <w:rsid w:val="003244CB"/>
    <w:rsid w:val="00326423"/>
    <w:rsid w:val="00333742"/>
    <w:rsid w:val="00333FDE"/>
    <w:rsid w:val="00335811"/>
    <w:rsid w:val="00335CFE"/>
    <w:rsid w:val="00336633"/>
    <w:rsid w:val="00336BD4"/>
    <w:rsid w:val="0034353E"/>
    <w:rsid w:val="003447F6"/>
    <w:rsid w:val="0035087E"/>
    <w:rsid w:val="00356525"/>
    <w:rsid w:val="0036499C"/>
    <w:rsid w:val="00364DE9"/>
    <w:rsid w:val="00366566"/>
    <w:rsid w:val="0037122F"/>
    <w:rsid w:val="00372FE5"/>
    <w:rsid w:val="003753A4"/>
    <w:rsid w:val="00376104"/>
    <w:rsid w:val="003772BF"/>
    <w:rsid w:val="00377F36"/>
    <w:rsid w:val="003825DE"/>
    <w:rsid w:val="003828D4"/>
    <w:rsid w:val="00382D26"/>
    <w:rsid w:val="00383EA0"/>
    <w:rsid w:val="00384D4C"/>
    <w:rsid w:val="003851D2"/>
    <w:rsid w:val="003859D0"/>
    <w:rsid w:val="00387A4A"/>
    <w:rsid w:val="00391BEB"/>
    <w:rsid w:val="00393EDA"/>
    <w:rsid w:val="00396510"/>
    <w:rsid w:val="003A1F38"/>
    <w:rsid w:val="003A36BB"/>
    <w:rsid w:val="003B211A"/>
    <w:rsid w:val="003B4784"/>
    <w:rsid w:val="003B4ECE"/>
    <w:rsid w:val="003B51CD"/>
    <w:rsid w:val="003B76B8"/>
    <w:rsid w:val="003B7DCB"/>
    <w:rsid w:val="003C4786"/>
    <w:rsid w:val="003D2A92"/>
    <w:rsid w:val="003D30B9"/>
    <w:rsid w:val="003D40E2"/>
    <w:rsid w:val="003D69BD"/>
    <w:rsid w:val="003D7337"/>
    <w:rsid w:val="003D7B9E"/>
    <w:rsid w:val="003E0011"/>
    <w:rsid w:val="003E0DCC"/>
    <w:rsid w:val="003E1278"/>
    <w:rsid w:val="003E1EC5"/>
    <w:rsid w:val="003E292B"/>
    <w:rsid w:val="003E31BA"/>
    <w:rsid w:val="003E7B6B"/>
    <w:rsid w:val="003F2CC2"/>
    <w:rsid w:val="003F3BBE"/>
    <w:rsid w:val="003F4149"/>
    <w:rsid w:val="003F429E"/>
    <w:rsid w:val="003F4501"/>
    <w:rsid w:val="003F7623"/>
    <w:rsid w:val="003F7CD0"/>
    <w:rsid w:val="00400F6C"/>
    <w:rsid w:val="004014BB"/>
    <w:rsid w:val="00401B70"/>
    <w:rsid w:val="00401E9A"/>
    <w:rsid w:val="00402097"/>
    <w:rsid w:val="00402E39"/>
    <w:rsid w:val="004039E5"/>
    <w:rsid w:val="004068B9"/>
    <w:rsid w:val="004079E4"/>
    <w:rsid w:val="00407BC8"/>
    <w:rsid w:val="0041075A"/>
    <w:rsid w:val="00411FBE"/>
    <w:rsid w:val="00415A47"/>
    <w:rsid w:val="0041743B"/>
    <w:rsid w:val="00420A71"/>
    <w:rsid w:val="00421014"/>
    <w:rsid w:val="00423695"/>
    <w:rsid w:val="004237A6"/>
    <w:rsid w:val="00426C2C"/>
    <w:rsid w:val="0043002D"/>
    <w:rsid w:val="004306FF"/>
    <w:rsid w:val="004330D7"/>
    <w:rsid w:val="004359A1"/>
    <w:rsid w:val="00435EDE"/>
    <w:rsid w:val="0043661F"/>
    <w:rsid w:val="00436AD1"/>
    <w:rsid w:val="00437C48"/>
    <w:rsid w:val="0044011A"/>
    <w:rsid w:val="0044402B"/>
    <w:rsid w:val="004445EA"/>
    <w:rsid w:val="004450A4"/>
    <w:rsid w:val="0044665C"/>
    <w:rsid w:val="00450C88"/>
    <w:rsid w:val="00450F14"/>
    <w:rsid w:val="00451AAC"/>
    <w:rsid w:val="00453734"/>
    <w:rsid w:val="004555A0"/>
    <w:rsid w:val="004561B8"/>
    <w:rsid w:val="00456BAA"/>
    <w:rsid w:val="00461A2B"/>
    <w:rsid w:val="00462624"/>
    <w:rsid w:val="0046275D"/>
    <w:rsid w:val="00467239"/>
    <w:rsid w:val="004708FB"/>
    <w:rsid w:val="00471AF6"/>
    <w:rsid w:val="0047210C"/>
    <w:rsid w:val="0047405A"/>
    <w:rsid w:val="0048264D"/>
    <w:rsid w:val="004845D9"/>
    <w:rsid w:val="00484E63"/>
    <w:rsid w:val="00485544"/>
    <w:rsid w:val="00485901"/>
    <w:rsid w:val="00485E41"/>
    <w:rsid w:val="004860D5"/>
    <w:rsid w:val="004867C6"/>
    <w:rsid w:val="004868FA"/>
    <w:rsid w:val="004905F8"/>
    <w:rsid w:val="00492622"/>
    <w:rsid w:val="00492F96"/>
    <w:rsid w:val="00495509"/>
    <w:rsid w:val="00496983"/>
    <w:rsid w:val="00496A7E"/>
    <w:rsid w:val="00496EE6"/>
    <w:rsid w:val="004973A9"/>
    <w:rsid w:val="004A2083"/>
    <w:rsid w:val="004A2379"/>
    <w:rsid w:val="004A44B4"/>
    <w:rsid w:val="004A480C"/>
    <w:rsid w:val="004A7023"/>
    <w:rsid w:val="004A7182"/>
    <w:rsid w:val="004A7CAA"/>
    <w:rsid w:val="004B10CB"/>
    <w:rsid w:val="004B213E"/>
    <w:rsid w:val="004B2367"/>
    <w:rsid w:val="004B3267"/>
    <w:rsid w:val="004B3368"/>
    <w:rsid w:val="004B3AA9"/>
    <w:rsid w:val="004B3ACF"/>
    <w:rsid w:val="004B629B"/>
    <w:rsid w:val="004C0A60"/>
    <w:rsid w:val="004C0DEA"/>
    <w:rsid w:val="004C3B9E"/>
    <w:rsid w:val="004C4A38"/>
    <w:rsid w:val="004C50CF"/>
    <w:rsid w:val="004C570B"/>
    <w:rsid w:val="004C6EC4"/>
    <w:rsid w:val="004C758C"/>
    <w:rsid w:val="004D1008"/>
    <w:rsid w:val="004E0C55"/>
    <w:rsid w:val="004E2059"/>
    <w:rsid w:val="004E293C"/>
    <w:rsid w:val="004E4E46"/>
    <w:rsid w:val="004F200B"/>
    <w:rsid w:val="004F2C7D"/>
    <w:rsid w:val="004F39EE"/>
    <w:rsid w:val="004F3C82"/>
    <w:rsid w:val="004F48F2"/>
    <w:rsid w:val="004F6CFC"/>
    <w:rsid w:val="00500AC0"/>
    <w:rsid w:val="00501BD1"/>
    <w:rsid w:val="00502381"/>
    <w:rsid w:val="005060D1"/>
    <w:rsid w:val="00510256"/>
    <w:rsid w:val="005113F9"/>
    <w:rsid w:val="00514D64"/>
    <w:rsid w:val="0051540A"/>
    <w:rsid w:val="005154B9"/>
    <w:rsid w:val="00517C2B"/>
    <w:rsid w:val="0052015F"/>
    <w:rsid w:val="0052098C"/>
    <w:rsid w:val="00522C55"/>
    <w:rsid w:val="00522D45"/>
    <w:rsid w:val="005230B1"/>
    <w:rsid w:val="005252CA"/>
    <w:rsid w:val="00526E2C"/>
    <w:rsid w:val="00526F85"/>
    <w:rsid w:val="00532224"/>
    <w:rsid w:val="005366E4"/>
    <w:rsid w:val="00537A89"/>
    <w:rsid w:val="00540242"/>
    <w:rsid w:val="00540A85"/>
    <w:rsid w:val="00541015"/>
    <w:rsid w:val="005417E9"/>
    <w:rsid w:val="00542F1E"/>
    <w:rsid w:val="00543EF6"/>
    <w:rsid w:val="00545DF6"/>
    <w:rsid w:val="005468C4"/>
    <w:rsid w:val="00546A4D"/>
    <w:rsid w:val="00546A7E"/>
    <w:rsid w:val="00547389"/>
    <w:rsid w:val="0055006E"/>
    <w:rsid w:val="00551AEC"/>
    <w:rsid w:val="005521CE"/>
    <w:rsid w:val="00553337"/>
    <w:rsid w:val="00555A27"/>
    <w:rsid w:val="00556793"/>
    <w:rsid w:val="00557601"/>
    <w:rsid w:val="00560D94"/>
    <w:rsid w:val="0056195E"/>
    <w:rsid w:val="00562888"/>
    <w:rsid w:val="00563984"/>
    <w:rsid w:val="00564CBD"/>
    <w:rsid w:val="0056542F"/>
    <w:rsid w:val="00565DFA"/>
    <w:rsid w:val="005675C1"/>
    <w:rsid w:val="005734E5"/>
    <w:rsid w:val="005739C7"/>
    <w:rsid w:val="00575444"/>
    <w:rsid w:val="005764D1"/>
    <w:rsid w:val="00580551"/>
    <w:rsid w:val="00582820"/>
    <w:rsid w:val="0058543E"/>
    <w:rsid w:val="00586E7A"/>
    <w:rsid w:val="0059043A"/>
    <w:rsid w:val="00591AA3"/>
    <w:rsid w:val="00592A38"/>
    <w:rsid w:val="005935AE"/>
    <w:rsid w:val="00597374"/>
    <w:rsid w:val="00597779"/>
    <w:rsid w:val="005A1104"/>
    <w:rsid w:val="005A221C"/>
    <w:rsid w:val="005A3D67"/>
    <w:rsid w:val="005A3DFC"/>
    <w:rsid w:val="005A3EEA"/>
    <w:rsid w:val="005A70E2"/>
    <w:rsid w:val="005A72AE"/>
    <w:rsid w:val="005B20A5"/>
    <w:rsid w:val="005B35A6"/>
    <w:rsid w:val="005B3CEF"/>
    <w:rsid w:val="005B4D72"/>
    <w:rsid w:val="005B4DF1"/>
    <w:rsid w:val="005B59EE"/>
    <w:rsid w:val="005B60BF"/>
    <w:rsid w:val="005B67EA"/>
    <w:rsid w:val="005C0086"/>
    <w:rsid w:val="005C0923"/>
    <w:rsid w:val="005C1D9E"/>
    <w:rsid w:val="005C24F8"/>
    <w:rsid w:val="005C732A"/>
    <w:rsid w:val="005D0805"/>
    <w:rsid w:val="005D2099"/>
    <w:rsid w:val="005D26A2"/>
    <w:rsid w:val="005D4AD5"/>
    <w:rsid w:val="005D7851"/>
    <w:rsid w:val="005E0E5B"/>
    <w:rsid w:val="005F034C"/>
    <w:rsid w:val="005F0CF0"/>
    <w:rsid w:val="005F2F98"/>
    <w:rsid w:val="005F4478"/>
    <w:rsid w:val="006006AE"/>
    <w:rsid w:val="00600B83"/>
    <w:rsid w:val="00601022"/>
    <w:rsid w:val="00601192"/>
    <w:rsid w:val="00601E10"/>
    <w:rsid w:val="00602587"/>
    <w:rsid w:val="00605829"/>
    <w:rsid w:val="0060703A"/>
    <w:rsid w:val="006072FF"/>
    <w:rsid w:val="006105AF"/>
    <w:rsid w:val="0061151F"/>
    <w:rsid w:val="00612591"/>
    <w:rsid w:val="0061511A"/>
    <w:rsid w:val="0061717F"/>
    <w:rsid w:val="00617F2B"/>
    <w:rsid w:val="00620A30"/>
    <w:rsid w:val="00621EC2"/>
    <w:rsid w:val="006226ED"/>
    <w:rsid w:val="00622B75"/>
    <w:rsid w:val="00624966"/>
    <w:rsid w:val="006258D4"/>
    <w:rsid w:val="00627658"/>
    <w:rsid w:val="00627CFE"/>
    <w:rsid w:val="00627FA4"/>
    <w:rsid w:val="00631C7D"/>
    <w:rsid w:val="00632573"/>
    <w:rsid w:val="00632C58"/>
    <w:rsid w:val="006340D1"/>
    <w:rsid w:val="00635279"/>
    <w:rsid w:val="00637261"/>
    <w:rsid w:val="00637A34"/>
    <w:rsid w:val="0064731F"/>
    <w:rsid w:val="00650FAD"/>
    <w:rsid w:val="0065153A"/>
    <w:rsid w:val="00651E97"/>
    <w:rsid w:val="0065410A"/>
    <w:rsid w:val="006544BA"/>
    <w:rsid w:val="006627ED"/>
    <w:rsid w:val="00662EAC"/>
    <w:rsid w:val="00664393"/>
    <w:rsid w:val="006653CE"/>
    <w:rsid w:val="00665D5A"/>
    <w:rsid w:val="006706B6"/>
    <w:rsid w:val="006708E9"/>
    <w:rsid w:val="006712EB"/>
    <w:rsid w:val="006733A2"/>
    <w:rsid w:val="0067345E"/>
    <w:rsid w:val="00676D46"/>
    <w:rsid w:val="00676DC8"/>
    <w:rsid w:val="0067705E"/>
    <w:rsid w:val="0067737B"/>
    <w:rsid w:val="006776C5"/>
    <w:rsid w:val="00680436"/>
    <w:rsid w:val="006830DD"/>
    <w:rsid w:val="00690B82"/>
    <w:rsid w:val="00692658"/>
    <w:rsid w:val="0069343F"/>
    <w:rsid w:val="0069363C"/>
    <w:rsid w:val="006936E6"/>
    <w:rsid w:val="006A3505"/>
    <w:rsid w:val="006A4A97"/>
    <w:rsid w:val="006A4C68"/>
    <w:rsid w:val="006A6DF3"/>
    <w:rsid w:val="006A72C3"/>
    <w:rsid w:val="006A7BE0"/>
    <w:rsid w:val="006B394E"/>
    <w:rsid w:val="006B49B7"/>
    <w:rsid w:val="006B6F9C"/>
    <w:rsid w:val="006C183A"/>
    <w:rsid w:val="006C3A24"/>
    <w:rsid w:val="006C3B3F"/>
    <w:rsid w:val="006C497B"/>
    <w:rsid w:val="006C55D5"/>
    <w:rsid w:val="006C5BE9"/>
    <w:rsid w:val="006C66E9"/>
    <w:rsid w:val="006C77EE"/>
    <w:rsid w:val="006D0CD8"/>
    <w:rsid w:val="006D487B"/>
    <w:rsid w:val="006D4A3B"/>
    <w:rsid w:val="006D5753"/>
    <w:rsid w:val="006D6F11"/>
    <w:rsid w:val="006E17EB"/>
    <w:rsid w:val="006E2495"/>
    <w:rsid w:val="006E2B0F"/>
    <w:rsid w:val="006E4368"/>
    <w:rsid w:val="006E5888"/>
    <w:rsid w:val="006E6067"/>
    <w:rsid w:val="006E71F2"/>
    <w:rsid w:val="006E764A"/>
    <w:rsid w:val="006F46F3"/>
    <w:rsid w:val="006F5A41"/>
    <w:rsid w:val="006F78DA"/>
    <w:rsid w:val="00700A13"/>
    <w:rsid w:val="00700B09"/>
    <w:rsid w:val="00700BB2"/>
    <w:rsid w:val="00703242"/>
    <w:rsid w:val="00704FB2"/>
    <w:rsid w:val="00706405"/>
    <w:rsid w:val="00706D3A"/>
    <w:rsid w:val="00706D9C"/>
    <w:rsid w:val="00707D8C"/>
    <w:rsid w:val="007130DF"/>
    <w:rsid w:val="00714595"/>
    <w:rsid w:val="0071510E"/>
    <w:rsid w:val="00715F90"/>
    <w:rsid w:val="00716130"/>
    <w:rsid w:val="00722D93"/>
    <w:rsid w:val="007261D3"/>
    <w:rsid w:val="00726213"/>
    <w:rsid w:val="00733163"/>
    <w:rsid w:val="0073440A"/>
    <w:rsid w:val="00736509"/>
    <w:rsid w:val="00736B2E"/>
    <w:rsid w:val="00740269"/>
    <w:rsid w:val="00741372"/>
    <w:rsid w:val="00741C11"/>
    <w:rsid w:val="0074545A"/>
    <w:rsid w:val="007501E1"/>
    <w:rsid w:val="00751F63"/>
    <w:rsid w:val="00752524"/>
    <w:rsid w:val="007576FC"/>
    <w:rsid w:val="00760A37"/>
    <w:rsid w:val="00760D5D"/>
    <w:rsid w:val="00761330"/>
    <w:rsid w:val="0076418D"/>
    <w:rsid w:val="00765197"/>
    <w:rsid w:val="0076643A"/>
    <w:rsid w:val="00770ACC"/>
    <w:rsid w:val="00771612"/>
    <w:rsid w:val="00771748"/>
    <w:rsid w:val="00773BD5"/>
    <w:rsid w:val="00774328"/>
    <w:rsid w:val="007750D1"/>
    <w:rsid w:val="007753C2"/>
    <w:rsid w:val="0077622D"/>
    <w:rsid w:val="00776284"/>
    <w:rsid w:val="00776E79"/>
    <w:rsid w:val="00777DE3"/>
    <w:rsid w:val="00781035"/>
    <w:rsid w:val="007828D9"/>
    <w:rsid w:val="00782ED7"/>
    <w:rsid w:val="00782FC3"/>
    <w:rsid w:val="00783F83"/>
    <w:rsid w:val="00787F76"/>
    <w:rsid w:val="007904F3"/>
    <w:rsid w:val="00792D9C"/>
    <w:rsid w:val="00795714"/>
    <w:rsid w:val="00795981"/>
    <w:rsid w:val="00795BF2"/>
    <w:rsid w:val="007A1E2F"/>
    <w:rsid w:val="007A1F1F"/>
    <w:rsid w:val="007A37FA"/>
    <w:rsid w:val="007B0227"/>
    <w:rsid w:val="007B18F2"/>
    <w:rsid w:val="007B4B5C"/>
    <w:rsid w:val="007B50F8"/>
    <w:rsid w:val="007B6377"/>
    <w:rsid w:val="007C2276"/>
    <w:rsid w:val="007C2D09"/>
    <w:rsid w:val="007C4230"/>
    <w:rsid w:val="007C5DC9"/>
    <w:rsid w:val="007C7864"/>
    <w:rsid w:val="007D0410"/>
    <w:rsid w:val="007D3448"/>
    <w:rsid w:val="007D5E65"/>
    <w:rsid w:val="007E1B97"/>
    <w:rsid w:val="007E45F8"/>
    <w:rsid w:val="007E50B4"/>
    <w:rsid w:val="007E5796"/>
    <w:rsid w:val="007E74F7"/>
    <w:rsid w:val="007F0F50"/>
    <w:rsid w:val="007F144F"/>
    <w:rsid w:val="007F1B48"/>
    <w:rsid w:val="007F25E1"/>
    <w:rsid w:val="007F5AC3"/>
    <w:rsid w:val="007F6AA4"/>
    <w:rsid w:val="007F6C82"/>
    <w:rsid w:val="007F6DDA"/>
    <w:rsid w:val="00802250"/>
    <w:rsid w:val="00805E9C"/>
    <w:rsid w:val="00811495"/>
    <w:rsid w:val="008172E2"/>
    <w:rsid w:val="00817CE2"/>
    <w:rsid w:val="00821A90"/>
    <w:rsid w:val="00821F86"/>
    <w:rsid w:val="00822AD6"/>
    <w:rsid w:val="00824C0E"/>
    <w:rsid w:val="00827FCF"/>
    <w:rsid w:val="008334A2"/>
    <w:rsid w:val="00834BB0"/>
    <w:rsid w:val="0083703A"/>
    <w:rsid w:val="008405F7"/>
    <w:rsid w:val="008407A1"/>
    <w:rsid w:val="008409A1"/>
    <w:rsid w:val="00840A04"/>
    <w:rsid w:val="00841D5F"/>
    <w:rsid w:val="00843508"/>
    <w:rsid w:val="00845113"/>
    <w:rsid w:val="00845940"/>
    <w:rsid w:val="00846925"/>
    <w:rsid w:val="00847E7D"/>
    <w:rsid w:val="00850C28"/>
    <w:rsid w:val="008535FE"/>
    <w:rsid w:val="008545AF"/>
    <w:rsid w:val="00855124"/>
    <w:rsid w:val="0086057A"/>
    <w:rsid w:val="00862130"/>
    <w:rsid w:val="0086443D"/>
    <w:rsid w:val="008658A8"/>
    <w:rsid w:val="0086612A"/>
    <w:rsid w:val="0086772F"/>
    <w:rsid w:val="00872A67"/>
    <w:rsid w:val="008746BE"/>
    <w:rsid w:val="0087479A"/>
    <w:rsid w:val="0087697A"/>
    <w:rsid w:val="00877BB2"/>
    <w:rsid w:val="00882342"/>
    <w:rsid w:val="00882657"/>
    <w:rsid w:val="00883BAC"/>
    <w:rsid w:val="00885442"/>
    <w:rsid w:val="0088750C"/>
    <w:rsid w:val="00887E19"/>
    <w:rsid w:val="00887EC6"/>
    <w:rsid w:val="00890348"/>
    <w:rsid w:val="00890C98"/>
    <w:rsid w:val="00890D14"/>
    <w:rsid w:val="00892285"/>
    <w:rsid w:val="008931D4"/>
    <w:rsid w:val="00894A14"/>
    <w:rsid w:val="00895294"/>
    <w:rsid w:val="00897B04"/>
    <w:rsid w:val="00897DC5"/>
    <w:rsid w:val="008B2FCF"/>
    <w:rsid w:val="008B40CA"/>
    <w:rsid w:val="008B424E"/>
    <w:rsid w:val="008B5D27"/>
    <w:rsid w:val="008B726F"/>
    <w:rsid w:val="008C209E"/>
    <w:rsid w:val="008C22D7"/>
    <w:rsid w:val="008C41A3"/>
    <w:rsid w:val="008C5383"/>
    <w:rsid w:val="008C555A"/>
    <w:rsid w:val="008C765A"/>
    <w:rsid w:val="008D01EF"/>
    <w:rsid w:val="008D28CD"/>
    <w:rsid w:val="008D2926"/>
    <w:rsid w:val="008D45AE"/>
    <w:rsid w:val="008D6462"/>
    <w:rsid w:val="008D6532"/>
    <w:rsid w:val="008D66D8"/>
    <w:rsid w:val="008D694B"/>
    <w:rsid w:val="008D6A8F"/>
    <w:rsid w:val="008D7E39"/>
    <w:rsid w:val="008F122F"/>
    <w:rsid w:val="008F174A"/>
    <w:rsid w:val="008F2BA6"/>
    <w:rsid w:val="008F445D"/>
    <w:rsid w:val="008F472B"/>
    <w:rsid w:val="008F56ED"/>
    <w:rsid w:val="008F672B"/>
    <w:rsid w:val="0090194A"/>
    <w:rsid w:val="0090207A"/>
    <w:rsid w:val="009031ED"/>
    <w:rsid w:val="00906646"/>
    <w:rsid w:val="009100FA"/>
    <w:rsid w:val="00914EAD"/>
    <w:rsid w:val="009206B9"/>
    <w:rsid w:val="00920B43"/>
    <w:rsid w:val="00922686"/>
    <w:rsid w:val="009235DC"/>
    <w:rsid w:val="00931A23"/>
    <w:rsid w:val="00933AC7"/>
    <w:rsid w:val="00933C96"/>
    <w:rsid w:val="00934901"/>
    <w:rsid w:val="00935E20"/>
    <w:rsid w:val="00937B27"/>
    <w:rsid w:val="00940D87"/>
    <w:rsid w:val="009420CF"/>
    <w:rsid w:val="0094489A"/>
    <w:rsid w:val="00945044"/>
    <w:rsid w:val="00946EDF"/>
    <w:rsid w:val="00947689"/>
    <w:rsid w:val="00950912"/>
    <w:rsid w:val="009623A7"/>
    <w:rsid w:val="009665B4"/>
    <w:rsid w:val="00966D0C"/>
    <w:rsid w:val="00970B09"/>
    <w:rsid w:val="00971602"/>
    <w:rsid w:val="00972027"/>
    <w:rsid w:val="009720F2"/>
    <w:rsid w:val="0097277E"/>
    <w:rsid w:val="00975375"/>
    <w:rsid w:val="00975DFD"/>
    <w:rsid w:val="009815B3"/>
    <w:rsid w:val="00981A9A"/>
    <w:rsid w:val="00981ACF"/>
    <w:rsid w:val="00982032"/>
    <w:rsid w:val="009840D4"/>
    <w:rsid w:val="00984F7E"/>
    <w:rsid w:val="00991F4D"/>
    <w:rsid w:val="00994CB4"/>
    <w:rsid w:val="009A1ACF"/>
    <w:rsid w:val="009A483D"/>
    <w:rsid w:val="009A4F89"/>
    <w:rsid w:val="009A5139"/>
    <w:rsid w:val="009A64EC"/>
    <w:rsid w:val="009B005D"/>
    <w:rsid w:val="009B1195"/>
    <w:rsid w:val="009B1243"/>
    <w:rsid w:val="009B5834"/>
    <w:rsid w:val="009C1D78"/>
    <w:rsid w:val="009C38B6"/>
    <w:rsid w:val="009C4B72"/>
    <w:rsid w:val="009C4FD9"/>
    <w:rsid w:val="009C513D"/>
    <w:rsid w:val="009C5AB2"/>
    <w:rsid w:val="009C7EA4"/>
    <w:rsid w:val="009D179E"/>
    <w:rsid w:val="009D2E92"/>
    <w:rsid w:val="009D48BF"/>
    <w:rsid w:val="009D6280"/>
    <w:rsid w:val="009D6F5B"/>
    <w:rsid w:val="009E0204"/>
    <w:rsid w:val="009E1699"/>
    <w:rsid w:val="009E1F92"/>
    <w:rsid w:val="009E24E0"/>
    <w:rsid w:val="009E521D"/>
    <w:rsid w:val="009E6F16"/>
    <w:rsid w:val="009E7768"/>
    <w:rsid w:val="009F08ED"/>
    <w:rsid w:val="009F0F49"/>
    <w:rsid w:val="009F1982"/>
    <w:rsid w:val="009F28F9"/>
    <w:rsid w:val="009F41DB"/>
    <w:rsid w:val="009F4835"/>
    <w:rsid w:val="009F4B86"/>
    <w:rsid w:val="009F560E"/>
    <w:rsid w:val="00A00AB7"/>
    <w:rsid w:val="00A016F3"/>
    <w:rsid w:val="00A05B02"/>
    <w:rsid w:val="00A05F6E"/>
    <w:rsid w:val="00A068B6"/>
    <w:rsid w:val="00A069C9"/>
    <w:rsid w:val="00A070F3"/>
    <w:rsid w:val="00A07FEF"/>
    <w:rsid w:val="00A11E91"/>
    <w:rsid w:val="00A13A70"/>
    <w:rsid w:val="00A14096"/>
    <w:rsid w:val="00A17615"/>
    <w:rsid w:val="00A17BC6"/>
    <w:rsid w:val="00A23D9B"/>
    <w:rsid w:val="00A24134"/>
    <w:rsid w:val="00A2465C"/>
    <w:rsid w:val="00A251CE"/>
    <w:rsid w:val="00A27029"/>
    <w:rsid w:val="00A3136D"/>
    <w:rsid w:val="00A31CCA"/>
    <w:rsid w:val="00A327BF"/>
    <w:rsid w:val="00A32A8B"/>
    <w:rsid w:val="00A34119"/>
    <w:rsid w:val="00A34A45"/>
    <w:rsid w:val="00A3558D"/>
    <w:rsid w:val="00A36FB5"/>
    <w:rsid w:val="00A37B7E"/>
    <w:rsid w:val="00A37EC3"/>
    <w:rsid w:val="00A460F1"/>
    <w:rsid w:val="00A50483"/>
    <w:rsid w:val="00A53022"/>
    <w:rsid w:val="00A531AE"/>
    <w:rsid w:val="00A54C0A"/>
    <w:rsid w:val="00A54DA7"/>
    <w:rsid w:val="00A55538"/>
    <w:rsid w:val="00A61AC9"/>
    <w:rsid w:val="00A61EA9"/>
    <w:rsid w:val="00A62D33"/>
    <w:rsid w:val="00A64438"/>
    <w:rsid w:val="00A64AA3"/>
    <w:rsid w:val="00A65212"/>
    <w:rsid w:val="00A702BA"/>
    <w:rsid w:val="00A702E8"/>
    <w:rsid w:val="00A71C09"/>
    <w:rsid w:val="00A722DA"/>
    <w:rsid w:val="00A73EEE"/>
    <w:rsid w:val="00A74CAD"/>
    <w:rsid w:val="00A7734C"/>
    <w:rsid w:val="00A77DF0"/>
    <w:rsid w:val="00A77FDC"/>
    <w:rsid w:val="00A80F9B"/>
    <w:rsid w:val="00A851FE"/>
    <w:rsid w:val="00A86B82"/>
    <w:rsid w:val="00A9007F"/>
    <w:rsid w:val="00A9563C"/>
    <w:rsid w:val="00A96A6D"/>
    <w:rsid w:val="00A972AD"/>
    <w:rsid w:val="00AA1678"/>
    <w:rsid w:val="00AA2454"/>
    <w:rsid w:val="00AA3B1B"/>
    <w:rsid w:val="00AA408F"/>
    <w:rsid w:val="00AA5053"/>
    <w:rsid w:val="00AA642B"/>
    <w:rsid w:val="00AA7263"/>
    <w:rsid w:val="00AA7568"/>
    <w:rsid w:val="00AB0254"/>
    <w:rsid w:val="00AB107D"/>
    <w:rsid w:val="00AB1237"/>
    <w:rsid w:val="00AB3521"/>
    <w:rsid w:val="00AB375B"/>
    <w:rsid w:val="00AB7863"/>
    <w:rsid w:val="00AC0929"/>
    <w:rsid w:val="00AC14F8"/>
    <w:rsid w:val="00AC1D62"/>
    <w:rsid w:val="00AC4084"/>
    <w:rsid w:val="00AC7D06"/>
    <w:rsid w:val="00AD0E1A"/>
    <w:rsid w:val="00AD1BAC"/>
    <w:rsid w:val="00AD2384"/>
    <w:rsid w:val="00AD2C4F"/>
    <w:rsid w:val="00AD41AD"/>
    <w:rsid w:val="00AD5385"/>
    <w:rsid w:val="00AD613A"/>
    <w:rsid w:val="00AE17EB"/>
    <w:rsid w:val="00AE427D"/>
    <w:rsid w:val="00AE43B9"/>
    <w:rsid w:val="00AE4BDD"/>
    <w:rsid w:val="00AE5468"/>
    <w:rsid w:val="00AE57ED"/>
    <w:rsid w:val="00AE6938"/>
    <w:rsid w:val="00AE6F16"/>
    <w:rsid w:val="00AE7626"/>
    <w:rsid w:val="00AE7EB7"/>
    <w:rsid w:val="00AF1D72"/>
    <w:rsid w:val="00AF2CE3"/>
    <w:rsid w:val="00AF4051"/>
    <w:rsid w:val="00AF5456"/>
    <w:rsid w:val="00AF60AC"/>
    <w:rsid w:val="00AF67E8"/>
    <w:rsid w:val="00B01A77"/>
    <w:rsid w:val="00B042F8"/>
    <w:rsid w:val="00B05AA3"/>
    <w:rsid w:val="00B069D0"/>
    <w:rsid w:val="00B12ACB"/>
    <w:rsid w:val="00B14381"/>
    <w:rsid w:val="00B162A1"/>
    <w:rsid w:val="00B20DC3"/>
    <w:rsid w:val="00B20F29"/>
    <w:rsid w:val="00B21CC0"/>
    <w:rsid w:val="00B22337"/>
    <w:rsid w:val="00B22DD3"/>
    <w:rsid w:val="00B230D1"/>
    <w:rsid w:val="00B23DC4"/>
    <w:rsid w:val="00B3135A"/>
    <w:rsid w:val="00B315A4"/>
    <w:rsid w:val="00B31A7B"/>
    <w:rsid w:val="00B36C44"/>
    <w:rsid w:val="00B36C8E"/>
    <w:rsid w:val="00B403DB"/>
    <w:rsid w:val="00B440B0"/>
    <w:rsid w:val="00B442F4"/>
    <w:rsid w:val="00B44670"/>
    <w:rsid w:val="00B45AB6"/>
    <w:rsid w:val="00B467EE"/>
    <w:rsid w:val="00B47293"/>
    <w:rsid w:val="00B472F6"/>
    <w:rsid w:val="00B47FBF"/>
    <w:rsid w:val="00B50A4D"/>
    <w:rsid w:val="00B5652C"/>
    <w:rsid w:val="00B57303"/>
    <w:rsid w:val="00B600E8"/>
    <w:rsid w:val="00B67CF0"/>
    <w:rsid w:val="00B71310"/>
    <w:rsid w:val="00B75258"/>
    <w:rsid w:val="00B772A4"/>
    <w:rsid w:val="00B81925"/>
    <w:rsid w:val="00B83813"/>
    <w:rsid w:val="00B83B9C"/>
    <w:rsid w:val="00B84426"/>
    <w:rsid w:val="00B8700D"/>
    <w:rsid w:val="00B87214"/>
    <w:rsid w:val="00B9000E"/>
    <w:rsid w:val="00B90AC6"/>
    <w:rsid w:val="00B9288D"/>
    <w:rsid w:val="00B93D9E"/>
    <w:rsid w:val="00B95FB9"/>
    <w:rsid w:val="00BA034C"/>
    <w:rsid w:val="00BA08A7"/>
    <w:rsid w:val="00BA192C"/>
    <w:rsid w:val="00BA195A"/>
    <w:rsid w:val="00BA2A2D"/>
    <w:rsid w:val="00BA45C9"/>
    <w:rsid w:val="00BA5854"/>
    <w:rsid w:val="00BA623A"/>
    <w:rsid w:val="00BB1468"/>
    <w:rsid w:val="00BB1C7B"/>
    <w:rsid w:val="00BB2009"/>
    <w:rsid w:val="00BB33CC"/>
    <w:rsid w:val="00BB4D0A"/>
    <w:rsid w:val="00BB5BD5"/>
    <w:rsid w:val="00BC00C4"/>
    <w:rsid w:val="00BC785F"/>
    <w:rsid w:val="00BC7D3F"/>
    <w:rsid w:val="00BD14CB"/>
    <w:rsid w:val="00BD3A7F"/>
    <w:rsid w:val="00BD4E58"/>
    <w:rsid w:val="00BD7605"/>
    <w:rsid w:val="00BE3093"/>
    <w:rsid w:val="00BE3095"/>
    <w:rsid w:val="00BE3D99"/>
    <w:rsid w:val="00BF05B1"/>
    <w:rsid w:val="00BF2861"/>
    <w:rsid w:val="00C00845"/>
    <w:rsid w:val="00C0206C"/>
    <w:rsid w:val="00C054EA"/>
    <w:rsid w:val="00C10D9F"/>
    <w:rsid w:val="00C12910"/>
    <w:rsid w:val="00C16E88"/>
    <w:rsid w:val="00C2036C"/>
    <w:rsid w:val="00C2045A"/>
    <w:rsid w:val="00C23008"/>
    <w:rsid w:val="00C24FEA"/>
    <w:rsid w:val="00C27FD0"/>
    <w:rsid w:val="00C323F4"/>
    <w:rsid w:val="00C32C62"/>
    <w:rsid w:val="00C32FE7"/>
    <w:rsid w:val="00C35C17"/>
    <w:rsid w:val="00C40007"/>
    <w:rsid w:val="00C411E5"/>
    <w:rsid w:val="00C427EC"/>
    <w:rsid w:val="00C443A9"/>
    <w:rsid w:val="00C45558"/>
    <w:rsid w:val="00C46450"/>
    <w:rsid w:val="00C46785"/>
    <w:rsid w:val="00C472D1"/>
    <w:rsid w:val="00C540D7"/>
    <w:rsid w:val="00C54EC9"/>
    <w:rsid w:val="00C55771"/>
    <w:rsid w:val="00C6150A"/>
    <w:rsid w:val="00C6247A"/>
    <w:rsid w:val="00C6531D"/>
    <w:rsid w:val="00C65440"/>
    <w:rsid w:val="00C668F6"/>
    <w:rsid w:val="00C72B5B"/>
    <w:rsid w:val="00C73AEB"/>
    <w:rsid w:val="00C741C0"/>
    <w:rsid w:val="00C7424E"/>
    <w:rsid w:val="00C74784"/>
    <w:rsid w:val="00C76C3A"/>
    <w:rsid w:val="00C80945"/>
    <w:rsid w:val="00C86E96"/>
    <w:rsid w:val="00C878E1"/>
    <w:rsid w:val="00C95B1B"/>
    <w:rsid w:val="00C96A56"/>
    <w:rsid w:val="00CA0BB8"/>
    <w:rsid w:val="00CA223C"/>
    <w:rsid w:val="00CA485B"/>
    <w:rsid w:val="00CA4A84"/>
    <w:rsid w:val="00CA62F4"/>
    <w:rsid w:val="00CA63FC"/>
    <w:rsid w:val="00CA6ACB"/>
    <w:rsid w:val="00CB1275"/>
    <w:rsid w:val="00CB2E3A"/>
    <w:rsid w:val="00CB349D"/>
    <w:rsid w:val="00CB5FAF"/>
    <w:rsid w:val="00CB771B"/>
    <w:rsid w:val="00CB7BD9"/>
    <w:rsid w:val="00CC202C"/>
    <w:rsid w:val="00CD2CAC"/>
    <w:rsid w:val="00CD58C8"/>
    <w:rsid w:val="00CD58E1"/>
    <w:rsid w:val="00CD6F15"/>
    <w:rsid w:val="00CD726C"/>
    <w:rsid w:val="00CE1086"/>
    <w:rsid w:val="00CE116A"/>
    <w:rsid w:val="00CE19AD"/>
    <w:rsid w:val="00CE31C5"/>
    <w:rsid w:val="00CE6502"/>
    <w:rsid w:val="00CF1EC2"/>
    <w:rsid w:val="00CF24A6"/>
    <w:rsid w:val="00CF5ED4"/>
    <w:rsid w:val="00D007E0"/>
    <w:rsid w:val="00D00B38"/>
    <w:rsid w:val="00D013AE"/>
    <w:rsid w:val="00D0567E"/>
    <w:rsid w:val="00D065D1"/>
    <w:rsid w:val="00D06C37"/>
    <w:rsid w:val="00D13156"/>
    <w:rsid w:val="00D15A6E"/>
    <w:rsid w:val="00D16EF4"/>
    <w:rsid w:val="00D20104"/>
    <w:rsid w:val="00D21974"/>
    <w:rsid w:val="00D24806"/>
    <w:rsid w:val="00D24E42"/>
    <w:rsid w:val="00D265DB"/>
    <w:rsid w:val="00D27AB2"/>
    <w:rsid w:val="00D31754"/>
    <w:rsid w:val="00D3244D"/>
    <w:rsid w:val="00D32834"/>
    <w:rsid w:val="00D344F4"/>
    <w:rsid w:val="00D357E2"/>
    <w:rsid w:val="00D3619B"/>
    <w:rsid w:val="00D37191"/>
    <w:rsid w:val="00D3735D"/>
    <w:rsid w:val="00D402EC"/>
    <w:rsid w:val="00D41738"/>
    <w:rsid w:val="00D43977"/>
    <w:rsid w:val="00D50C59"/>
    <w:rsid w:val="00D50EE9"/>
    <w:rsid w:val="00D51473"/>
    <w:rsid w:val="00D51813"/>
    <w:rsid w:val="00D53F84"/>
    <w:rsid w:val="00D55501"/>
    <w:rsid w:val="00D55931"/>
    <w:rsid w:val="00D55CD5"/>
    <w:rsid w:val="00D60D6E"/>
    <w:rsid w:val="00D63A5E"/>
    <w:rsid w:val="00D6712E"/>
    <w:rsid w:val="00D6747C"/>
    <w:rsid w:val="00D70C11"/>
    <w:rsid w:val="00D711E5"/>
    <w:rsid w:val="00D76C55"/>
    <w:rsid w:val="00D80282"/>
    <w:rsid w:val="00D81AF4"/>
    <w:rsid w:val="00D83BC8"/>
    <w:rsid w:val="00D84292"/>
    <w:rsid w:val="00D85ED1"/>
    <w:rsid w:val="00D8793B"/>
    <w:rsid w:val="00D917AD"/>
    <w:rsid w:val="00D9206B"/>
    <w:rsid w:val="00D92271"/>
    <w:rsid w:val="00D93ACA"/>
    <w:rsid w:val="00D95E7D"/>
    <w:rsid w:val="00D96AF2"/>
    <w:rsid w:val="00DA4DEE"/>
    <w:rsid w:val="00DA5800"/>
    <w:rsid w:val="00DA5A3D"/>
    <w:rsid w:val="00DA5B5E"/>
    <w:rsid w:val="00DA68DA"/>
    <w:rsid w:val="00DA7224"/>
    <w:rsid w:val="00DA7766"/>
    <w:rsid w:val="00DB030F"/>
    <w:rsid w:val="00DB1AB8"/>
    <w:rsid w:val="00DB36DD"/>
    <w:rsid w:val="00DB5724"/>
    <w:rsid w:val="00DB7A7C"/>
    <w:rsid w:val="00DC02AA"/>
    <w:rsid w:val="00DC0992"/>
    <w:rsid w:val="00DC0DC8"/>
    <w:rsid w:val="00DC1702"/>
    <w:rsid w:val="00DC26A9"/>
    <w:rsid w:val="00DC55A8"/>
    <w:rsid w:val="00DC612D"/>
    <w:rsid w:val="00DD15C5"/>
    <w:rsid w:val="00DD26AA"/>
    <w:rsid w:val="00DD2A6F"/>
    <w:rsid w:val="00DD3241"/>
    <w:rsid w:val="00DD35F9"/>
    <w:rsid w:val="00DD662D"/>
    <w:rsid w:val="00DD699F"/>
    <w:rsid w:val="00DD7E8C"/>
    <w:rsid w:val="00DE2530"/>
    <w:rsid w:val="00DF1218"/>
    <w:rsid w:val="00DF1C58"/>
    <w:rsid w:val="00DF1CFA"/>
    <w:rsid w:val="00DF2D84"/>
    <w:rsid w:val="00DF3981"/>
    <w:rsid w:val="00DF4166"/>
    <w:rsid w:val="00DF72D5"/>
    <w:rsid w:val="00DF783F"/>
    <w:rsid w:val="00E01A9D"/>
    <w:rsid w:val="00E03C71"/>
    <w:rsid w:val="00E0758E"/>
    <w:rsid w:val="00E12001"/>
    <w:rsid w:val="00E13CBF"/>
    <w:rsid w:val="00E20D50"/>
    <w:rsid w:val="00E2158E"/>
    <w:rsid w:val="00E24594"/>
    <w:rsid w:val="00E25184"/>
    <w:rsid w:val="00E25AA9"/>
    <w:rsid w:val="00E27757"/>
    <w:rsid w:val="00E31159"/>
    <w:rsid w:val="00E31531"/>
    <w:rsid w:val="00E32D1F"/>
    <w:rsid w:val="00E33032"/>
    <w:rsid w:val="00E37A0C"/>
    <w:rsid w:val="00E40242"/>
    <w:rsid w:val="00E40951"/>
    <w:rsid w:val="00E457A0"/>
    <w:rsid w:val="00E50E67"/>
    <w:rsid w:val="00E55415"/>
    <w:rsid w:val="00E562B0"/>
    <w:rsid w:val="00E61B85"/>
    <w:rsid w:val="00E630C9"/>
    <w:rsid w:val="00E635CA"/>
    <w:rsid w:val="00E63CA1"/>
    <w:rsid w:val="00E64D04"/>
    <w:rsid w:val="00E656C6"/>
    <w:rsid w:val="00E65EBD"/>
    <w:rsid w:val="00E667BC"/>
    <w:rsid w:val="00E66A60"/>
    <w:rsid w:val="00E67752"/>
    <w:rsid w:val="00E70C3E"/>
    <w:rsid w:val="00E70C50"/>
    <w:rsid w:val="00E7240A"/>
    <w:rsid w:val="00E724D8"/>
    <w:rsid w:val="00E72AE5"/>
    <w:rsid w:val="00E74A24"/>
    <w:rsid w:val="00E77C64"/>
    <w:rsid w:val="00E77D46"/>
    <w:rsid w:val="00E80CDA"/>
    <w:rsid w:val="00E82F96"/>
    <w:rsid w:val="00E9022B"/>
    <w:rsid w:val="00E937F1"/>
    <w:rsid w:val="00E93F23"/>
    <w:rsid w:val="00E945D1"/>
    <w:rsid w:val="00E9467E"/>
    <w:rsid w:val="00E94792"/>
    <w:rsid w:val="00E94CBA"/>
    <w:rsid w:val="00E952A8"/>
    <w:rsid w:val="00E95B09"/>
    <w:rsid w:val="00E95F72"/>
    <w:rsid w:val="00E9646A"/>
    <w:rsid w:val="00E96927"/>
    <w:rsid w:val="00EA2E09"/>
    <w:rsid w:val="00EA3A0F"/>
    <w:rsid w:val="00EA4169"/>
    <w:rsid w:val="00EA4FF4"/>
    <w:rsid w:val="00EA62D5"/>
    <w:rsid w:val="00EA6816"/>
    <w:rsid w:val="00EA6890"/>
    <w:rsid w:val="00EA7390"/>
    <w:rsid w:val="00EB2E75"/>
    <w:rsid w:val="00EC012E"/>
    <w:rsid w:val="00EC12EE"/>
    <w:rsid w:val="00EC231A"/>
    <w:rsid w:val="00EC3F01"/>
    <w:rsid w:val="00EC595E"/>
    <w:rsid w:val="00EC650E"/>
    <w:rsid w:val="00EC74E8"/>
    <w:rsid w:val="00ED0DFB"/>
    <w:rsid w:val="00ED3212"/>
    <w:rsid w:val="00ED3A2A"/>
    <w:rsid w:val="00ED5DE1"/>
    <w:rsid w:val="00EE00E0"/>
    <w:rsid w:val="00EE094F"/>
    <w:rsid w:val="00EE0B53"/>
    <w:rsid w:val="00EE18D6"/>
    <w:rsid w:val="00EE2720"/>
    <w:rsid w:val="00EE336F"/>
    <w:rsid w:val="00EE64F3"/>
    <w:rsid w:val="00EF1B29"/>
    <w:rsid w:val="00EF5C98"/>
    <w:rsid w:val="00EF71F8"/>
    <w:rsid w:val="00EF731C"/>
    <w:rsid w:val="00EF74BD"/>
    <w:rsid w:val="00F023D7"/>
    <w:rsid w:val="00F02507"/>
    <w:rsid w:val="00F037A6"/>
    <w:rsid w:val="00F055A0"/>
    <w:rsid w:val="00F068D2"/>
    <w:rsid w:val="00F07550"/>
    <w:rsid w:val="00F11589"/>
    <w:rsid w:val="00F24339"/>
    <w:rsid w:val="00F277CC"/>
    <w:rsid w:val="00F3173A"/>
    <w:rsid w:val="00F31FE0"/>
    <w:rsid w:val="00F33FD4"/>
    <w:rsid w:val="00F36B08"/>
    <w:rsid w:val="00F3772B"/>
    <w:rsid w:val="00F40305"/>
    <w:rsid w:val="00F408B1"/>
    <w:rsid w:val="00F42331"/>
    <w:rsid w:val="00F4347E"/>
    <w:rsid w:val="00F43FE8"/>
    <w:rsid w:val="00F440CC"/>
    <w:rsid w:val="00F45888"/>
    <w:rsid w:val="00F46E34"/>
    <w:rsid w:val="00F5038F"/>
    <w:rsid w:val="00F50716"/>
    <w:rsid w:val="00F53952"/>
    <w:rsid w:val="00F53955"/>
    <w:rsid w:val="00F56CEB"/>
    <w:rsid w:val="00F5704D"/>
    <w:rsid w:val="00F57E52"/>
    <w:rsid w:val="00F645B0"/>
    <w:rsid w:val="00F657B2"/>
    <w:rsid w:val="00F71560"/>
    <w:rsid w:val="00F71B98"/>
    <w:rsid w:val="00F75B6E"/>
    <w:rsid w:val="00F77275"/>
    <w:rsid w:val="00F819E1"/>
    <w:rsid w:val="00F8235E"/>
    <w:rsid w:val="00F8435C"/>
    <w:rsid w:val="00F9045E"/>
    <w:rsid w:val="00F90D3B"/>
    <w:rsid w:val="00F95938"/>
    <w:rsid w:val="00F95A0D"/>
    <w:rsid w:val="00F96469"/>
    <w:rsid w:val="00F96FCE"/>
    <w:rsid w:val="00FA31D3"/>
    <w:rsid w:val="00FA360E"/>
    <w:rsid w:val="00FB025A"/>
    <w:rsid w:val="00FB07B3"/>
    <w:rsid w:val="00FB1221"/>
    <w:rsid w:val="00FB3D03"/>
    <w:rsid w:val="00FB3D8D"/>
    <w:rsid w:val="00FB5264"/>
    <w:rsid w:val="00FB6229"/>
    <w:rsid w:val="00FB686D"/>
    <w:rsid w:val="00FC0193"/>
    <w:rsid w:val="00FC14EA"/>
    <w:rsid w:val="00FC44D7"/>
    <w:rsid w:val="00FC6427"/>
    <w:rsid w:val="00FD1824"/>
    <w:rsid w:val="00FD294A"/>
    <w:rsid w:val="00FD2E43"/>
    <w:rsid w:val="00FD5F37"/>
    <w:rsid w:val="00FD6FB3"/>
    <w:rsid w:val="00FD7F36"/>
    <w:rsid w:val="00FE2278"/>
    <w:rsid w:val="00FE2297"/>
    <w:rsid w:val="00FE3474"/>
    <w:rsid w:val="00FE492F"/>
    <w:rsid w:val="00FE4F58"/>
    <w:rsid w:val="00FE5E22"/>
    <w:rsid w:val="00FE5FF9"/>
    <w:rsid w:val="00FE6B4C"/>
    <w:rsid w:val="00FE7C2B"/>
    <w:rsid w:val="00FF04A9"/>
    <w:rsid w:val="00FF0769"/>
    <w:rsid w:val="00FF2F2C"/>
    <w:rsid w:val="00FF6DA0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86B9A"/>
  <w15:docId w15:val="{4D36F35C-49D5-4A60-8266-410A092F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4561B8"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link w:val="Heading1Char"/>
    <w:uiPriority w:val="1"/>
    <w:qFormat/>
    <w:rsid w:val="006B49B7"/>
    <w:pPr>
      <w:keepNext/>
      <w:widowControl/>
      <w:numPr>
        <w:numId w:val="11"/>
      </w:numPr>
      <w:autoSpaceDE/>
      <w:autoSpaceDN/>
      <w:spacing w:before="600" w:after="120"/>
      <w:ind w:left="567" w:hanging="567"/>
      <w:outlineLvl w:val="0"/>
    </w:pPr>
    <w:rPr>
      <w:rFonts w:ascii="Arial" w:hAnsi="Arial" w:cs="Arial"/>
      <w:b/>
      <w:bCs/>
      <w:color w:val="004259"/>
      <w:sz w:val="28"/>
      <w:szCs w:val="26"/>
    </w:rPr>
  </w:style>
  <w:style w:type="paragraph" w:styleId="Heading2">
    <w:name w:val="heading 2"/>
    <w:basedOn w:val="Normal"/>
    <w:uiPriority w:val="1"/>
    <w:qFormat/>
    <w:rsid w:val="006B49B7"/>
    <w:pPr>
      <w:keepNext/>
      <w:spacing w:before="360"/>
      <w:ind w:left="567" w:hanging="567"/>
      <w:outlineLvl w:val="1"/>
    </w:pPr>
    <w:rPr>
      <w:rFonts w:ascii="Arial" w:eastAsia="SimSun" w:hAnsi="Arial" w:cs="Arial"/>
      <w:b/>
      <w:bCs/>
      <w:color w:val="004259"/>
      <w:sz w:val="24"/>
      <w:szCs w:val="26"/>
    </w:rPr>
  </w:style>
  <w:style w:type="paragraph" w:styleId="Heading3">
    <w:name w:val="heading 3"/>
    <w:basedOn w:val="Normal"/>
    <w:link w:val="Heading3Char"/>
    <w:qFormat/>
    <w:rsid w:val="00F42331"/>
    <w:pPr>
      <w:keepNext/>
      <w:spacing w:before="360" w:after="120"/>
      <w:ind w:left="992" w:hanging="567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Heading3"/>
    <w:rsid w:val="004561B8"/>
    <w:pPr>
      <w:outlineLvl w:val="3"/>
    </w:pPr>
    <w:rPr>
      <w:i/>
      <w:iCs/>
      <w:lang w:val="en-US"/>
    </w:rPr>
  </w:style>
  <w:style w:type="paragraph" w:styleId="Heading5">
    <w:name w:val="heading 5"/>
    <w:basedOn w:val="Heading4"/>
    <w:next w:val="Normal"/>
    <w:link w:val="Heading5Char"/>
    <w:rsid w:val="00C427EC"/>
    <w:pPr>
      <w:widowControl/>
      <w:tabs>
        <w:tab w:val="num" w:pos="1021"/>
      </w:tabs>
      <w:autoSpaceDE/>
      <w:autoSpaceDN/>
      <w:spacing w:after="200"/>
      <w:ind w:left="1021" w:hanging="454"/>
      <w:outlineLvl w:val="4"/>
    </w:pPr>
    <w:rPr>
      <w:b w:val="0"/>
      <w:bCs w:val="0"/>
    </w:rPr>
  </w:style>
  <w:style w:type="paragraph" w:styleId="Heading6">
    <w:name w:val="heading 6"/>
    <w:basedOn w:val="Normal"/>
    <w:next w:val="Normal"/>
    <w:link w:val="Heading6Char"/>
    <w:rsid w:val="00C427EC"/>
    <w:pPr>
      <w:widowControl/>
      <w:tabs>
        <w:tab w:val="num" w:pos="1588"/>
      </w:tabs>
      <w:autoSpaceDE/>
      <w:autoSpaceDN/>
      <w:spacing w:after="200"/>
      <w:ind w:left="1588" w:hanging="567"/>
      <w:outlineLvl w:val="5"/>
    </w:pPr>
    <w:rPr>
      <w:rFonts w:ascii="Arial" w:hAnsi="Arial"/>
      <w:bCs/>
      <w:sz w:val="20"/>
    </w:rPr>
  </w:style>
  <w:style w:type="paragraph" w:styleId="Heading7">
    <w:name w:val="heading 7"/>
    <w:basedOn w:val="Normal"/>
    <w:next w:val="Normal"/>
    <w:link w:val="Heading7Char"/>
    <w:unhideWhenUsed/>
    <w:rsid w:val="000940DD"/>
    <w:pPr>
      <w:keepNext/>
      <w:keepLines/>
      <w:widowControl/>
      <w:autoSpaceDE/>
      <w:autoSpaceDN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US" w:eastAsia="ja-JP"/>
    </w:rPr>
  </w:style>
  <w:style w:type="paragraph" w:styleId="Heading8">
    <w:name w:val="heading 8"/>
    <w:basedOn w:val="Normal"/>
    <w:next w:val="Normal"/>
    <w:link w:val="Heading8Char"/>
    <w:unhideWhenUsed/>
    <w:rsid w:val="000940DD"/>
    <w:pPr>
      <w:keepNext/>
      <w:keepLines/>
      <w:widowControl/>
      <w:autoSpaceDE/>
      <w:autoSpaceDN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nhideWhenUsed/>
    <w:rsid w:val="000940DD"/>
    <w:pPr>
      <w:keepNext/>
      <w:keepLines/>
      <w:widowControl/>
      <w:autoSpaceDE/>
      <w:autoSpaceDN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D51813"/>
    <w:pPr>
      <w:tabs>
        <w:tab w:val="left" w:pos="567"/>
        <w:tab w:val="right" w:leader="dot" w:pos="9356"/>
      </w:tabs>
      <w:spacing w:before="120"/>
      <w:ind w:left="709" w:hanging="567"/>
    </w:pPr>
    <w:rPr>
      <w:rFonts w:ascii="Arial" w:hAnsi="Arial"/>
      <w:b/>
      <w:sz w:val="18"/>
      <w:szCs w:val="18"/>
    </w:rPr>
  </w:style>
  <w:style w:type="paragraph" w:styleId="TOC2">
    <w:name w:val="toc 2"/>
    <w:basedOn w:val="Normal"/>
    <w:uiPriority w:val="39"/>
    <w:qFormat/>
    <w:rsid w:val="00D51813"/>
    <w:pPr>
      <w:tabs>
        <w:tab w:val="left" w:pos="1134"/>
        <w:tab w:val="right" w:leader="dot" w:pos="9356"/>
      </w:tabs>
      <w:spacing w:before="60"/>
      <w:ind w:left="1134" w:hanging="567"/>
    </w:pPr>
    <w:rPr>
      <w:rFonts w:ascii="Arial" w:hAnsi="Arial"/>
      <w:bCs/>
      <w:sz w:val="18"/>
    </w:rPr>
  </w:style>
  <w:style w:type="paragraph" w:styleId="TOC3">
    <w:name w:val="toc 3"/>
    <w:basedOn w:val="Normal"/>
    <w:uiPriority w:val="39"/>
    <w:pPr>
      <w:spacing w:line="252" w:lineRule="exact"/>
      <w:ind w:left="1571" w:hanging="852"/>
    </w:pPr>
  </w:style>
  <w:style w:type="paragraph" w:styleId="BodyText">
    <w:name w:val="Body Text"/>
    <w:basedOn w:val="Style6"/>
    <w:link w:val="BodyTextChar"/>
    <w:uiPriority w:val="1"/>
    <w:rsid w:val="001B7F72"/>
    <w:pPr>
      <w:numPr>
        <w:ilvl w:val="0"/>
        <w:numId w:val="0"/>
      </w:numPr>
      <w:spacing w:before="240" w:after="120"/>
      <w:ind w:left="34"/>
    </w:pPr>
    <w:rPr>
      <w:bCs/>
    </w:rPr>
  </w:style>
  <w:style w:type="paragraph" w:styleId="ListParagraph">
    <w:name w:val="List Paragraph"/>
    <w:basedOn w:val="Normal"/>
    <w:link w:val="ListParagraphChar"/>
    <w:uiPriority w:val="1"/>
    <w:pPr>
      <w:ind w:left="993" w:hanging="852"/>
    </w:pPr>
  </w:style>
  <w:style w:type="paragraph" w:customStyle="1" w:styleId="TableParagraph">
    <w:name w:val="Table Paragraph"/>
    <w:basedOn w:val="Normal"/>
    <w:uiPriority w:val="1"/>
    <w:pPr>
      <w:spacing w:before="54"/>
      <w:ind w:left="103"/>
    </w:pPr>
  </w:style>
  <w:style w:type="paragraph" w:customStyle="1" w:styleId="Style1">
    <w:name w:val="Style1"/>
    <w:basedOn w:val="ListParagraph"/>
    <w:link w:val="Style1Char"/>
    <w:uiPriority w:val="1"/>
    <w:rsid w:val="00557601"/>
    <w:pPr>
      <w:widowControl/>
      <w:autoSpaceDE/>
      <w:autoSpaceDN/>
      <w:spacing w:before="360" w:after="120"/>
      <w:ind w:left="0" w:firstLine="0"/>
      <w:outlineLvl w:val="0"/>
    </w:pPr>
    <w:rPr>
      <w:rFonts w:ascii="Arial" w:eastAsia="SimSun" w:hAnsi="Arial" w:cs="Arial"/>
      <w:b/>
      <w:bCs/>
      <w:color w:val="244061" w:themeColor="accent1" w:themeShade="80"/>
      <w:sz w:val="28"/>
      <w:szCs w:val="28"/>
      <w:lang w:eastAsia="ja-JP"/>
    </w:rPr>
  </w:style>
  <w:style w:type="paragraph" w:customStyle="1" w:styleId="Style2">
    <w:name w:val="Style2"/>
    <w:basedOn w:val="ListParagraph"/>
    <w:link w:val="Style2Char"/>
    <w:uiPriority w:val="1"/>
    <w:rsid w:val="00F023D7"/>
    <w:pPr>
      <w:keepNext/>
      <w:keepLines/>
      <w:widowControl/>
      <w:tabs>
        <w:tab w:val="left" w:pos="993"/>
      </w:tabs>
      <w:autoSpaceDE/>
      <w:autoSpaceDN/>
      <w:spacing w:before="240" w:after="120"/>
      <w:ind w:left="0" w:firstLine="0"/>
      <w:outlineLvl w:val="1"/>
    </w:pPr>
    <w:rPr>
      <w:rFonts w:ascii="Arial" w:eastAsia="SimSun" w:hAnsi="Arial" w:cs="Arial"/>
      <w:b/>
      <w:color w:val="365F91" w:themeColor="accent1" w:themeShade="BF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03A16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ListParagraphChar"/>
    <w:link w:val="Style1"/>
    <w:uiPriority w:val="1"/>
    <w:rsid w:val="00557601"/>
    <w:rPr>
      <w:rFonts w:ascii="Arial" w:eastAsia="SimSun" w:hAnsi="Arial" w:cs="Arial"/>
      <w:b/>
      <w:bCs/>
      <w:color w:val="244061" w:themeColor="accent1" w:themeShade="80"/>
      <w:sz w:val="28"/>
      <w:szCs w:val="28"/>
      <w:lang w:val="en-AU" w:eastAsia="ja-JP"/>
    </w:rPr>
  </w:style>
  <w:style w:type="paragraph" w:customStyle="1" w:styleId="Style3">
    <w:name w:val="Style3"/>
    <w:basedOn w:val="BodyText"/>
    <w:link w:val="Style3Char"/>
    <w:uiPriority w:val="1"/>
    <w:rsid w:val="002652B9"/>
    <w:pPr>
      <w:numPr>
        <w:numId w:val="1"/>
      </w:numPr>
    </w:pPr>
  </w:style>
  <w:style w:type="character" w:customStyle="1" w:styleId="Style2Char">
    <w:name w:val="Style2 Char"/>
    <w:basedOn w:val="ListParagraphChar"/>
    <w:link w:val="Style2"/>
    <w:uiPriority w:val="1"/>
    <w:rsid w:val="00F023D7"/>
    <w:rPr>
      <w:rFonts w:ascii="Arial" w:eastAsia="SimSun" w:hAnsi="Arial" w:cs="Arial"/>
      <w:b/>
      <w:color w:val="365F91" w:themeColor="accent1" w:themeShade="BF"/>
      <w:lang w:val="en-AU" w:eastAsia="ja-JP"/>
    </w:rPr>
  </w:style>
  <w:style w:type="paragraph" w:customStyle="1" w:styleId="Style4">
    <w:name w:val="Style4"/>
    <w:basedOn w:val="ListParagraph"/>
    <w:link w:val="Style4Char"/>
    <w:uiPriority w:val="1"/>
    <w:rsid w:val="000115DE"/>
    <w:pPr>
      <w:numPr>
        <w:numId w:val="8"/>
      </w:numPr>
      <w:tabs>
        <w:tab w:val="left" w:pos="2268"/>
      </w:tabs>
      <w:spacing w:before="119"/>
      <w:ind w:right="306"/>
    </w:pPr>
    <w:rPr>
      <w:rFonts w:ascii="Arial" w:hAnsi="Arial" w:cs="Arial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B7F72"/>
    <w:rPr>
      <w:rFonts w:ascii="Arial" w:eastAsiaTheme="minorEastAsia" w:hAnsi="Arial" w:cs="Times New Roman"/>
      <w:bCs/>
      <w:sz w:val="20"/>
      <w:szCs w:val="20"/>
      <w:lang w:eastAsia="ja-JP"/>
    </w:rPr>
  </w:style>
  <w:style w:type="character" w:customStyle="1" w:styleId="Style3Char">
    <w:name w:val="Style3 Char"/>
    <w:basedOn w:val="BodyTextChar"/>
    <w:link w:val="Style3"/>
    <w:uiPriority w:val="1"/>
    <w:rsid w:val="002652B9"/>
    <w:rPr>
      <w:rFonts w:ascii="Arial" w:eastAsiaTheme="minorEastAsia" w:hAnsi="Arial" w:cs="Times New Roman"/>
      <w:bCs/>
      <w:sz w:val="20"/>
      <w:szCs w:val="20"/>
      <w:lang w:eastAsia="ja-JP"/>
    </w:rPr>
  </w:style>
  <w:style w:type="paragraph" w:customStyle="1" w:styleId="Subheading">
    <w:name w:val="Subheading"/>
    <w:basedOn w:val="Heading3"/>
    <w:link w:val="SubheadingChar"/>
    <w:uiPriority w:val="1"/>
    <w:rsid w:val="00E95B09"/>
    <w:pPr>
      <w:numPr>
        <w:numId w:val="4"/>
      </w:numPr>
      <w:spacing w:before="180" w:after="60"/>
    </w:pPr>
    <w:rPr>
      <w:sz w:val="22"/>
      <w:szCs w:val="22"/>
    </w:rPr>
  </w:style>
  <w:style w:type="character" w:customStyle="1" w:styleId="Style4Char">
    <w:name w:val="Style4 Char"/>
    <w:basedOn w:val="ListParagraphChar"/>
    <w:link w:val="Style4"/>
    <w:uiPriority w:val="1"/>
    <w:rsid w:val="000115DE"/>
    <w:rPr>
      <w:rFonts w:ascii="Arial" w:eastAsia="Times New Roman" w:hAnsi="Arial" w:cs="Arial"/>
      <w:noProof/>
      <w:sz w:val="20"/>
      <w:szCs w:val="20"/>
      <w:lang w:val="en-AU"/>
    </w:rPr>
  </w:style>
  <w:style w:type="numbering" w:customStyle="1" w:styleId="Style5">
    <w:name w:val="Style5"/>
    <w:uiPriority w:val="99"/>
    <w:rsid w:val="0087697A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rsid w:val="00F42331"/>
    <w:rPr>
      <w:rFonts w:ascii="Arial" w:eastAsia="Times New Roman" w:hAnsi="Arial" w:cs="Arial"/>
      <w:b/>
      <w:bCs/>
      <w:sz w:val="20"/>
      <w:szCs w:val="20"/>
      <w:lang w:val="en-AU"/>
    </w:rPr>
  </w:style>
  <w:style w:type="character" w:customStyle="1" w:styleId="SubheadingChar">
    <w:name w:val="Subheading Char"/>
    <w:basedOn w:val="Heading3Char"/>
    <w:link w:val="Subheading"/>
    <w:uiPriority w:val="1"/>
    <w:rsid w:val="00E95B09"/>
    <w:rPr>
      <w:rFonts w:ascii="Arial" w:eastAsia="Times New Roman" w:hAnsi="Arial" w:cs="Arial"/>
      <w:b/>
      <w:bCs/>
      <w:sz w:val="20"/>
      <w:szCs w:val="20"/>
      <w:lang w:val="en-AU"/>
    </w:rPr>
  </w:style>
  <w:style w:type="paragraph" w:customStyle="1" w:styleId="Paragraph">
    <w:name w:val="Paragraph"/>
    <w:basedOn w:val="Normal"/>
    <w:link w:val="ParagraphChar"/>
    <w:rsid w:val="00760D5D"/>
    <w:pPr>
      <w:widowControl/>
      <w:tabs>
        <w:tab w:val="num" w:pos="1134"/>
      </w:tabs>
      <w:autoSpaceDE/>
      <w:autoSpaceDN/>
      <w:spacing w:after="60"/>
      <w:ind w:left="1134" w:hanging="425"/>
      <w:jc w:val="both"/>
    </w:pPr>
    <w:rPr>
      <w:noProof/>
      <w:sz w:val="20"/>
      <w:szCs w:val="20"/>
    </w:rPr>
  </w:style>
  <w:style w:type="paragraph" w:customStyle="1" w:styleId="Heading1RestartNumbering">
    <w:name w:val="Heading 1 Restart Numbering"/>
    <w:basedOn w:val="Heading1"/>
    <w:next w:val="Heading2"/>
    <w:rsid w:val="00760D5D"/>
    <w:pPr>
      <w:keepLines/>
      <w:tabs>
        <w:tab w:val="num" w:pos="360"/>
      </w:tabs>
      <w:spacing w:before="60"/>
      <w:ind w:left="0"/>
    </w:pPr>
    <w:rPr>
      <w:rFonts w:ascii="Arial Black" w:hAnsi="Arial Black"/>
      <w:b w:val="0"/>
      <w:bCs w:val="0"/>
      <w:sz w:val="40"/>
      <w:szCs w:val="20"/>
    </w:rPr>
  </w:style>
  <w:style w:type="paragraph" w:customStyle="1" w:styleId="Sub-paragraph">
    <w:name w:val="Sub-paragraph"/>
    <w:basedOn w:val="Normal"/>
    <w:link w:val="Sub-paragraphChar"/>
    <w:rsid w:val="00760D5D"/>
    <w:pPr>
      <w:widowControl/>
      <w:tabs>
        <w:tab w:val="num" w:pos="1559"/>
      </w:tabs>
      <w:autoSpaceDE/>
      <w:autoSpaceDN/>
      <w:spacing w:after="60"/>
      <w:ind w:left="1559" w:hanging="425"/>
      <w:jc w:val="both"/>
    </w:pPr>
    <w:rPr>
      <w:noProof/>
      <w:sz w:val="20"/>
      <w:szCs w:val="20"/>
    </w:rPr>
  </w:style>
  <w:style w:type="paragraph" w:customStyle="1" w:styleId="Sub-sub-paragraph">
    <w:name w:val="Sub-sub-paragraph"/>
    <w:basedOn w:val="Sub-paragraph"/>
    <w:rsid w:val="00760D5D"/>
    <w:pPr>
      <w:tabs>
        <w:tab w:val="clear" w:pos="1559"/>
        <w:tab w:val="num" w:pos="1985"/>
      </w:tabs>
      <w:ind w:left="1985" w:hanging="426"/>
      <w:outlineLvl w:val="6"/>
    </w:pPr>
    <w:rPr>
      <w:noProof w:val="0"/>
    </w:rPr>
  </w:style>
  <w:style w:type="paragraph" w:customStyle="1" w:styleId="Sub-sub-sub-paragraph">
    <w:name w:val="Sub-sub-sub-paragraph"/>
    <w:basedOn w:val="Sub-sub-paragraph"/>
    <w:rsid w:val="00760D5D"/>
    <w:pPr>
      <w:tabs>
        <w:tab w:val="clear" w:pos="1985"/>
        <w:tab w:val="num" w:pos="2410"/>
      </w:tabs>
      <w:ind w:left="2410" w:hanging="425"/>
    </w:pPr>
  </w:style>
  <w:style w:type="paragraph" w:customStyle="1" w:styleId="Style6">
    <w:name w:val="Style6"/>
    <w:basedOn w:val="Style13"/>
    <w:link w:val="Style6Char"/>
    <w:uiPriority w:val="1"/>
    <w:rsid w:val="006B49B7"/>
    <w:pPr>
      <w:numPr>
        <w:ilvl w:val="1"/>
        <w:numId w:val="11"/>
      </w:numPr>
      <w:ind w:left="567" w:hanging="567"/>
    </w:pPr>
  </w:style>
  <w:style w:type="numbering" w:customStyle="1" w:styleId="Style7">
    <w:name w:val="Style7"/>
    <w:uiPriority w:val="99"/>
    <w:rsid w:val="0041075A"/>
    <w:pPr>
      <w:numPr>
        <w:numId w:val="3"/>
      </w:numPr>
    </w:pPr>
  </w:style>
  <w:style w:type="character" w:customStyle="1" w:styleId="ParagraphChar">
    <w:name w:val="Paragraph Char"/>
    <w:basedOn w:val="DefaultParagraphFont"/>
    <w:link w:val="Paragraph"/>
    <w:rsid w:val="00760D5D"/>
    <w:rPr>
      <w:rFonts w:ascii="Times New Roman" w:eastAsia="Times New Roman" w:hAnsi="Times New Roman" w:cs="Times New Roman"/>
      <w:noProof/>
      <w:sz w:val="20"/>
      <w:szCs w:val="20"/>
      <w:lang w:val="en-AU"/>
    </w:rPr>
  </w:style>
  <w:style w:type="character" w:customStyle="1" w:styleId="Style6Char">
    <w:name w:val="Style6 Char"/>
    <w:basedOn w:val="ParagraphChar"/>
    <w:link w:val="Style6"/>
    <w:uiPriority w:val="1"/>
    <w:rsid w:val="006B49B7"/>
    <w:rPr>
      <w:rFonts w:ascii="Arial" w:eastAsiaTheme="minorEastAsia" w:hAnsi="Arial" w:cs="Times New Roman"/>
      <w:noProof/>
      <w:sz w:val="20"/>
      <w:szCs w:val="20"/>
      <w:lang w:val="en-AU" w:eastAsia="ja-JP"/>
    </w:rPr>
  </w:style>
  <w:style w:type="character" w:customStyle="1" w:styleId="Sub-paragraphChar">
    <w:name w:val="Sub-paragraph Char"/>
    <w:link w:val="Sub-paragraph"/>
    <w:rsid w:val="00FE6B4C"/>
    <w:rPr>
      <w:rFonts w:ascii="Times New Roman" w:eastAsia="Times New Roman" w:hAnsi="Times New Roman" w:cs="Times New Roman"/>
      <w:noProof/>
      <w:sz w:val="20"/>
      <w:szCs w:val="20"/>
      <w:lang w:val="en-AU"/>
    </w:rPr>
  </w:style>
  <w:style w:type="paragraph" w:customStyle="1" w:styleId="Bodynumbered1">
    <w:name w:val="Body numbered 1"/>
    <w:basedOn w:val="Style6"/>
    <w:link w:val="Bodynumbered1Char"/>
    <w:qFormat/>
    <w:rsid w:val="00462624"/>
    <w:pPr>
      <w:keepLines/>
      <w:spacing w:before="240" w:after="120"/>
    </w:pPr>
    <w:rPr>
      <w:lang w:val="en-AU"/>
    </w:rPr>
  </w:style>
  <w:style w:type="paragraph" w:customStyle="1" w:styleId="Bodynumbered2">
    <w:name w:val="Body numbered 2"/>
    <w:basedOn w:val="Bodynumbered1"/>
    <w:qFormat/>
    <w:rsid w:val="00CF24A6"/>
    <w:pPr>
      <w:numPr>
        <w:ilvl w:val="0"/>
        <w:numId w:val="27"/>
      </w:numPr>
      <w:spacing w:before="120"/>
    </w:pPr>
  </w:style>
  <w:style w:type="paragraph" w:customStyle="1" w:styleId="Bodynumbered3">
    <w:name w:val="Body numbered 3"/>
    <w:basedOn w:val="Bodynumbered2"/>
    <w:qFormat/>
    <w:rsid w:val="009F08ED"/>
    <w:pPr>
      <w:numPr>
        <w:numId w:val="30"/>
      </w:numPr>
    </w:pPr>
  </w:style>
  <w:style w:type="paragraph" w:customStyle="1" w:styleId="AnnexureHeading">
    <w:name w:val="Annexure Heading"/>
    <w:basedOn w:val="Style1"/>
    <w:link w:val="AnnexureHeadingChar"/>
    <w:uiPriority w:val="1"/>
    <w:rsid w:val="006B49B7"/>
    <w:pPr>
      <w:pageBreakBefore/>
      <w:ind w:left="2268" w:hanging="2268"/>
    </w:pPr>
    <w:rPr>
      <w:color w:val="004259"/>
    </w:rPr>
  </w:style>
  <w:style w:type="paragraph" w:styleId="Header">
    <w:name w:val="header"/>
    <w:basedOn w:val="Normal"/>
    <w:link w:val="HeaderChar"/>
    <w:uiPriority w:val="99"/>
    <w:unhideWhenUsed/>
    <w:rsid w:val="00FB3D8D"/>
    <w:pPr>
      <w:tabs>
        <w:tab w:val="center" w:pos="4513"/>
        <w:tab w:val="right" w:pos="9026"/>
      </w:tabs>
    </w:pPr>
  </w:style>
  <w:style w:type="character" w:customStyle="1" w:styleId="AnnexureHeadingChar">
    <w:name w:val="Annexure Heading Char"/>
    <w:basedOn w:val="Style1Char"/>
    <w:link w:val="AnnexureHeading"/>
    <w:uiPriority w:val="1"/>
    <w:rsid w:val="006B49B7"/>
    <w:rPr>
      <w:rFonts w:ascii="Arial" w:eastAsia="SimSun" w:hAnsi="Arial" w:cs="Arial"/>
      <w:b/>
      <w:bCs/>
      <w:color w:val="004259"/>
      <w:sz w:val="28"/>
      <w:szCs w:val="28"/>
      <w:lang w:val="en-AU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B3D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B3D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D8D"/>
    <w:rPr>
      <w:rFonts w:ascii="Times New Roman" w:eastAsia="Times New Roman" w:hAnsi="Times New Roman" w:cs="Times New Roman"/>
    </w:rPr>
  </w:style>
  <w:style w:type="table" w:customStyle="1" w:styleId="SimpleTable1">
    <w:name w:val="Simple Table1"/>
    <w:basedOn w:val="TableNormal"/>
    <w:next w:val="TableGrid"/>
    <w:uiPriority w:val="39"/>
    <w:rsid w:val="00FB3D8D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Style8">
    <w:name w:val="Style8"/>
    <w:uiPriority w:val="99"/>
    <w:rsid w:val="00FB3D8D"/>
    <w:pPr>
      <w:numPr>
        <w:numId w:val="5"/>
      </w:numPr>
    </w:pPr>
  </w:style>
  <w:style w:type="table" w:styleId="TableGrid">
    <w:name w:val="Table Grid"/>
    <w:aliases w:val="Simple Table"/>
    <w:basedOn w:val="TableNormal"/>
    <w:uiPriority w:val="39"/>
    <w:rsid w:val="00FB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71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191"/>
    <w:rPr>
      <w:color w:val="808080"/>
      <w:shd w:val="clear" w:color="auto" w:fill="E6E6E6"/>
    </w:rPr>
  </w:style>
  <w:style w:type="table" w:customStyle="1" w:styleId="SimpleTable2">
    <w:name w:val="Simple Table2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TableFigureLevel1Bullet">
    <w:name w:val="Table / Figure Level 1 Bullet"/>
    <w:rsid w:val="00B14381"/>
    <w:pPr>
      <w:widowControl/>
      <w:numPr>
        <w:numId w:val="6"/>
      </w:numPr>
      <w:tabs>
        <w:tab w:val="clear" w:pos="284"/>
        <w:tab w:val="num" w:pos="176"/>
      </w:tabs>
      <w:autoSpaceDE/>
      <w:autoSpaceDN/>
      <w:spacing w:before="40" w:after="40"/>
      <w:ind w:left="176" w:hanging="176"/>
    </w:pPr>
    <w:rPr>
      <w:rFonts w:ascii="Arial Narrow" w:eastAsia="SimSun" w:hAnsi="Arial Narrow" w:cs="Times New Roman"/>
      <w:sz w:val="18"/>
      <w:szCs w:val="18"/>
      <w:lang w:val="en-AU" w:eastAsia="en-AU"/>
    </w:rPr>
  </w:style>
  <w:style w:type="table" w:customStyle="1" w:styleId="SimpleTable3">
    <w:name w:val="Simple Table3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Default">
    <w:name w:val="Default"/>
    <w:rsid w:val="008747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81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9E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9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F81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19E1"/>
    <w:rPr>
      <w:rFonts w:ascii="Segoe UI" w:eastAsia="Times New Roman" w:hAnsi="Segoe UI" w:cs="Segoe UI"/>
      <w:sz w:val="18"/>
      <w:szCs w:val="18"/>
    </w:rPr>
  </w:style>
  <w:style w:type="paragraph" w:customStyle="1" w:styleId="Style9">
    <w:name w:val="Style9"/>
    <w:basedOn w:val="Style4"/>
    <w:link w:val="Style9Char"/>
    <w:uiPriority w:val="1"/>
    <w:rsid w:val="00B93D9E"/>
    <w:pPr>
      <w:numPr>
        <w:numId w:val="7"/>
      </w:numPr>
    </w:pPr>
  </w:style>
  <w:style w:type="paragraph" w:customStyle="1" w:styleId="TableBodyText">
    <w:name w:val="Table Body Text"/>
    <w:basedOn w:val="BodyText"/>
    <w:link w:val="TableBodyTextCharChar"/>
    <w:rsid w:val="0059043A"/>
    <w:pPr>
      <w:spacing w:before="60" w:after="60"/>
      <w:ind w:left="28"/>
    </w:pPr>
    <w:rPr>
      <w:color w:val="000000"/>
      <w:lang w:val="en-AU" w:eastAsia="en-AU"/>
    </w:rPr>
  </w:style>
  <w:style w:type="character" w:customStyle="1" w:styleId="Style9Char">
    <w:name w:val="Style9 Char"/>
    <w:basedOn w:val="Style4Char"/>
    <w:link w:val="Style9"/>
    <w:uiPriority w:val="1"/>
    <w:rsid w:val="00B93D9E"/>
    <w:rPr>
      <w:rFonts w:ascii="Arial" w:eastAsia="Times New Roman" w:hAnsi="Arial" w:cs="Arial"/>
      <w:noProof/>
      <w:sz w:val="20"/>
      <w:szCs w:val="20"/>
      <w:lang w:val="en-AU"/>
    </w:rPr>
  </w:style>
  <w:style w:type="character" w:customStyle="1" w:styleId="TableBodyTextCharChar">
    <w:name w:val="Table Body Text Char Char"/>
    <w:link w:val="TableBodyText"/>
    <w:rsid w:val="0059043A"/>
    <w:rPr>
      <w:rFonts w:ascii="Arial" w:eastAsiaTheme="minorEastAsia" w:hAnsi="Arial" w:cs="Times New Roman"/>
      <w:bCs/>
      <w:color w:val="000000"/>
      <w:sz w:val="20"/>
      <w:szCs w:val="20"/>
      <w:lang w:val="en-AU" w:eastAsia="en-AU"/>
    </w:rPr>
  </w:style>
  <w:style w:type="paragraph" w:customStyle="1" w:styleId="TableHeading">
    <w:name w:val="Table Heading"/>
    <w:basedOn w:val="BodyText"/>
    <w:link w:val="TableHeadingChar"/>
    <w:rsid w:val="004561B8"/>
    <w:pPr>
      <w:spacing w:before="60" w:after="60" w:line="240" w:lineRule="atLeast"/>
      <w:ind w:left="0"/>
    </w:pPr>
    <w:rPr>
      <w:b/>
      <w:bCs w:val="0"/>
      <w:color w:val="FFFFFF" w:themeColor="background1"/>
      <w:szCs w:val="22"/>
      <w:lang w:eastAsia="en-AU"/>
    </w:rPr>
  </w:style>
  <w:style w:type="character" w:customStyle="1" w:styleId="TableHeadingChar">
    <w:name w:val="Table Heading Char"/>
    <w:link w:val="TableHeading"/>
    <w:rsid w:val="004561B8"/>
    <w:rPr>
      <w:rFonts w:ascii="Arial" w:eastAsiaTheme="minorEastAsia" w:hAnsi="Arial" w:cs="Times New Roman"/>
      <w:b/>
      <w:color w:val="FFFFFF" w:themeColor="background1"/>
      <w:sz w:val="20"/>
      <w:lang w:eastAsia="en-AU"/>
    </w:rPr>
  </w:style>
  <w:style w:type="table" w:customStyle="1" w:styleId="TableGrid1">
    <w:name w:val="Table Grid1"/>
    <w:basedOn w:val="TableNormal"/>
    <w:next w:val="TableGrid"/>
    <w:semiHidden/>
    <w:rsid w:val="002E7CDE"/>
    <w:pPr>
      <w:keepNext/>
      <w:keepLines/>
      <w:widowControl/>
      <w:autoSpaceDE/>
      <w:autoSpaceDN/>
    </w:pPr>
    <w:rPr>
      <w:rFonts w:ascii="Arial" w:eastAsia="Times New Roman" w:hAnsi="Arial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2E7CDE"/>
    <w:pPr>
      <w:numPr>
        <w:numId w:val="9"/>
      </w:numPr>
    </w:pPr>
  </w:style>
  <w:style w:type="paragraph" w:styleId="Revision">
    <w:name w:val="Revision"/>
    <w:hidden/>
    <w:uiPriority w:val="99"/>
    <w:semiHidden/>
    <w:rsid w:val="00D402EC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uiPriority w:val="39"/>
    <w:rsid w:val="0055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DC02AA"/>
    <w:pPr>
      <w:keepLines/>
      <w:spacing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table" w:customStyle="1" w:styleId="TableGrid3">
    <w:name w:val="Table Grid3"/>
    <w:basedOn w:val="TableNormal"/>
    <w:next w:val="TableGrid"/>
    <w:uiPriority w:val="39"/>
    <w:rsid w:val="00E40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4024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E40242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427EC"/>
    <w:rPr>
      <w:rFonts w:ascii="Arial" w:eastAsia="Times New Roman" w:hAnsi="Arial" w:cs="Times New Roman"/>
      <w:sz w:val="20"/>
      <w:lang w:val="en-AU"/>
    </w:rPr>
  </w:style>
  <w:style w:type="character" w:customStyle="1" w:styleId="Heading6Char">
    <w:name w:val="Heading 6 Char"/>
    <w:basedOn w:val="DefaultParagraphFont"/>
    <w:link w:val="Heading6"/>
    <w:rsid w:val="00C427EC"/>
    <w:rPr>
      <w:rFonts w:ascii="Arial" w:eastAsia="Times New Roman" w:hAnsi="Arial" w:cs="Times New Roman"/>
      <w:bCs/>
      <w:sz w:val="20"/>
      <w:lang w:val="en-AU"/>
    </w:rPr>
  </w:style>
  <w:style w:type="paragraph" w:customStyle="1" w:styleId="Heading5SS">
    <w:name w:val="Heading 5 +SS"/>
    <w:basedOn w:val="Heading5"/>
    <w:rsid w:val="00485E41"/>
    <w:pPr>
      <w:keepNext w:val="0"/>
      <w:tabs>
        <w:tab w:val="clear" w:pos="1021"/>
        <w:tab w:val="left" w:pos="454"/>
      </w:tabs>
      <w:spacing w:after="0"/>
      <w:ind w:left="454"/>
      <w:outlineLvl w:val="9"/>
    </w:pPr>
  </w:style>
  <w:style w:type="paragraph" w:customStyle="1" w:styleId="Style10">
    <w:name w:val="Style10"/>
    <w:link w:val="Style10Char"/>
    <w:uiPriority w:val="1"/>
    <w:rsid w:val="00761330"/>
    <w:pPr>
      <w:ind w:left="709"/>
    </w:pPr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4">
    <w:name w:val="Simple Table4"/>
    <w:basedOn w:val="TableNormal"/>
    <w:next w:val="TableGrid"/>
    <w:uiPriority w:val="39"/>
    <w:rsid w:val="004845D9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character" w:customStyle="1" w:styleId="Style10Char">
    <w:name w:val="Style10 Char"/>
    <w:basedOn w:val="DefaultParagraphFont"/>
    <w:link w:val="Style10"/>
    <w:uiPriority w:val="1"/>
    <w:rsid w:val="00761330"/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5">
    <w:name w:val="Simple Table5"/>
    <w:basedOn w:val="TableNormal"/>
    <w:next w:val="TableGrid"/>
    <w:uiPriority w:val="39"/>
    <w:rsid w:val="002E4E55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6">
    <w:name w:val="Simple Table6"/>
    <w:basedOn w:val="TableNormal"/>
    <w:next w:val="TableGrid"/>
    <w:uiPriority w:val="39"/>
    <w:rsid w:val="00A50483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Style11">
    <w:name w:val="Style11"/>
    <w:link w:val="Style11Char"/>
    <w:rsid w:val="00E95F72"/>
    <w:pPr>
      <w:spacing w:before="120"/>
      <w:ind w:left="709" w:hanging="709"/>
    </w:pPr>
    <w:rPr>
      <w:rFonts w:ascii="Arial" w:eastAsia="SimSun" w:hAnsi="Arial" w:cs="Arial"/>
      <w:b/>
      <w:bCs/>
      <w:lang w:val="en-AU" w:eastAsia="ja-JP"/>
    </w:rPr>
  </w:style>
  <w:style w:type="character" w:customStyle="1" w:styleId="Style11Char">
    <w:name w:val="Style11 Char"/>
    <w:basedOn w:val="DefaultParagraphFont"/>
    <w:link w:val="Style11"/>
    <w:rsid w:val="00E95F72"/>
    <w:rPr>
      <w:rFonts w:ascii="Arial" w:eastAsia="SimSun" w:hAnsi="Arial" w:cs="Arial"/>
      <w:b/>
      <w:bCs/>
      <w:lang w:val="en-AU" w:eastAsia="ja-JP"/>
    </w:rPr>
  </w:style>
  <w:style w:type="table" w:customStyle="1" w:styleId="SimpleTable7">
    <w:name w:val="Simple Table7"/>
    <w:basedOn w:val="TableNormal"/>
    <w:next w:val="TableGrid"/>
    <w:uiPriority w:val="39"/>
    <w:rsid w:val="0093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F7CD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6B49B7"/>
    <w:rPr>
      <w:rFonts w:ascii="Arial" w:eastAsia="Times New Roman" w:hAnsi="Arial" w:cs="Arial"/>
      <w:b/>
      <w:bCs/>
      <w:color w:val="004259"/>
      <w:sz w:val="28"/>
      <w:szCs w:val="26"/>
      <w:lang w:val="en-AU"/>
    </w:rPr>
  </w:style>
  <w:style w:type="paragraph" w:customStyle="1" w:styleId="Style13">
    <w:name w:val="Style13"/>
    <w:basedOn w:val="ListParagraph"/>
    <w:link w:val="Style13Char"/>
    <w:rsid w:val="00950912"/>
    <w:pPr>
      <w:widowControl/>
      <w:autoSpaceDE/>
      <w:autoSpaceDN/>
      <w:spacing w:before="180"/>
      <w:ind w:left="1002" w:hanging="576"/>
    </w:pPr>
    <w:rPr>
      <w:rFonts w:ascii="Arial" w:eastAsiaTheme="minorEastAsia" w:hAnsi="Arial"/>
      <w:sz w:val="20"/>
      <w:szCs w:val="20"/>
      <w:lang w:val="en-US" w:eastAsia="ja-JP"/>
    </w:rPr>
  </w:style>
  <w:style w:type="character" w:customStyle="1" w:styleId="Style13Char">
    <w:name w:val="Style13 Char"/>
    <w:basedOn w:val="ListParagraphChar"/>
    <w:link w:val="Style13"/>
    <w:rsid w:val="00950912"/>
    <w:rPr>
      <w:rFonts w:ascii="Arial" w:eastAsiaTheme="minorEastAsia" w:hAnsi="Arial" w:cs="Times New Roman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rsid w:val="000940D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eastAsia="ja-JP"/>
    </w:rPr>
  </w:style>
  <w:style w:type="character" w:customStyle="1" w:styleId="Heading8Char">
    <w:name w:val="Heading 8 Char"/>
    <w:basedOn w:val="DefaultParagraphFont"/>
    <w:link w:val="Heading8"/>
    <w:rsid w:val="000940DD"/>
    <w:rPr>
      <w:rFonts w:asciiTheme="majorHAnsi" w:eastAsiaTheme="majorEastAsia" w:hAnsiTheme="majorHAnsi" w:cstheme="majorBidi"/>
      <w:color w:val="404040" w:themeColor="text1" w:themeTint="BF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0940D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ja-JP"/>
    </w:rPr>
  </w:style>
  <w:style w:type="paragraph" w:customStyle="1" w:styleId="TableHeader">
    <w:name w:val="Table Header"/>
    <w:rsid w:val="004561B8"/>
    <w:pPr>
      <w:keepNext/>
      <w:widowControl/>
      <w:autoSpaceDE/>
      <w:autoSpaceDN/>
      <w:spacing w:before="40" w:after="40"/>
    </w:pPr>
    <w:rPr>
      <w:rFonts w:ascii="Arial" w:eastAsia="SimSun" w:hAnsi="Arial" w:cs="Arial"/>
      <w:b/>
      <w:bCs/>
      <w:sz w:val="20"/>
      <w:szCs w:val="20"/>
      <w:shd w:val="clear" w:color="auto" w:fill="000000"/>
      <w:lang w:val="en-AU" w:eastAsia="en-AU"/>
    </w:rPr>
  </w:style>
  <w:style w:type="paragraph" w:customStyle="1" w:styleId="TableFigureLeft">
    <w:name w:val="Table / Figure Left"/>
    <w:rsid w:val="00AF1D72"/>
    <w:pPr>
      <w:widowControl/>
      <w:autoSpaceDE/>
      <w:autoSpaceDN/>
      <w:spacing w:before="40" w:after="40" w:line="240" w:lineRule="atLeast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paragraph" w:customStyle="1" w:styleId="CommentaryHeading1">
    <w:name w:val="Commentary Heading 1"/>
    <w:next w:val="Paragraph"/>
    <w:rsid w:val="00AF1D72"/>
    <w:pPr>
      <w:widowControl/>
      <w:numPr>
        <w:numId w:val="12"/>
      </w:numPr>
      <w:autoSpaceDE/>
      <w:autoSpaceDN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sz w:val="32"/>
      <w:szCs w:val="32"/>
      <w:lang w:val="en-AU" w:eastAsia="en-AU"/>
    </w:rPr>
  </w:style>
  <w:style w:type="paragraph" w:customStyle="1" w:styleId="CommentaryHeading2">
    <w:name w:val="Commentary Heading 2"/>
    <w:next w:val="Paragraph"/>
    <w:rsid w:val="00AF1D72"/>
    <w:pPr>
      <w:widowControl/>
      <w:numPr>
        <w:ilvl w:val="1"/>
        <w:numId w:val="12"/>
      </w:numPr>
      <w:autoSpaceDE/>
      <w:autoSpaceDN/>
      <w:spacing w:before="120" w:after="120" w:line="240" w:lineRule="atLeast"/>
      <w:outlineLvl w:val="1"/>
    </w:pPr>
    <w:rPr>
      <w:rFonts w:ascii="Arial" w:eastAsia="Times New Roman" w:hAnsi="Arial" w:cs="Times New Roman"/>
      <w:b/>
      <w:sz w:val="28"/>
      <w:lang w:val="en-AU" w:eastAsia="en-AU"/>
    </w:rPr>
  </w:style>
  <w:style w:type="paragraph" w:customStyle="1" w:styleId="CommentaryHeading3">
    <w:name w:val="Commentary Heading 3"/>
    <w:next w:val="Paragraph"/>
    <w:rsid w:val="00AF1D72"/>
    <w:pPr>
      <w:widowControl/>
      <w:numPr>
        <w:ilvl w:val="2"/>
        <w:numId w:val="12"/>
      </w:numPr>
      <w:autoSpaceDE/>
      <w:autoSpaceDN/>
      <w:spacing w:before="120" w:after="120" w:line="240" w:lineRule="atLeast"/>
      <w:outlineLvl w:val="2"/>
    </w:pPr>
    <w:rPr>
      <w:rFonts w:ascii="Arial" w:eastAsia="Times New Roman" w:hAnsi="Arial" w:cs="Times New Roman"/>
      <w:b/>
      <w:i/>
      <w:lang w:val="en-AU" w:eastAsia="en-AU"/>
    </w:rPr>
  </w:style>
  <w:style w:type="paragraph" w:customStyle="1" w:styleId="TableFigureCenter">
    <w:name w:val="Table / Figure Center"/>
    <w:rsid w:val="00AF1D72"/>
    <w:pPr>
      <w:widowControl/>
      <w:autoSpaceDE/>
      <w:autoSpaceDN/>
      <w:spacing w:before="40" w:after="40" w:line="240" w:lineRule="atLeast"/>
      <w:jc w:val="center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table" w:customStyle="1" w:styleId="TMTable">
    <w:name w:val="TM Table"/>
    <w:basedOn w:val="TableNormal"/>
    <w:uiPriority w:val="99"/>
    <w:rsid w:val="00AF1D72"/>
    <w:pPr>
      <w:widowControl/>
      <w:autoSpaceDE/>
      <w:autoSpaceDN/>
    </w:pPr>
    <w:rPr>
      <w:rFonts w:ascii="Arial" w:eastAsia="Times New Roman" w:hAnsi="Arial" w:cs="Times New Roman"/>
      <w:sz w:val="18"/>
      <w:szCs w:val="20"/>
      <w:lang w:val="en-AU" w:eastAsia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808080" w:themeColor="background1" w:themeShade="80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customStyle="1" w:styleId="Heading1nonumber">
    <w:name w:val="Heading 1 no number"/>
    <w:basedOn w:val="Heading1RestartNumbering"/>
    <w:uiPriority w:val="1"/>
    <w:qFormat/>
    <w:rsid w:val="006B49B7"/>
    <w:pPr>
      <w:numPr>
        <w:numId w:val="0"/>
      </w:numPr>
    </w:pPr>
    <w:rPr>
      <w:rFonts w:ascii="Arial" w:hAnsi="Arial"/>
      <w:b/>
      <w:bCs/>
      <w:sz w:val="28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A54C0A"/>
    <w:pPr>
      <w:keepLines/>
      <w:widowControl/>
      <w:spacing w:before="240" w:after="120"/>
      <w:ind w:left="567"/>
    </w:pPr>
    <w:rPr>
      <w:rFonts w:ascii="Arial" w:hAnsi="Arial"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54C0A"/>
    <w:rPr>
      <w:rFonts w:ascii="Arial" w:eastAsia="Times New Roman" w:hAnsi="Arial" w:cs="Times New Roman"/>
      <w:bCs/>
      <w:sz w:val="20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4561B8"/>
    <w:pPr>
      <w:widowControl w:val="0"/>
      <w:autoSpaceDE w:val="0"/>
      <w:autoSpaceDN w:val="0"/>
      <w:spacing w:before="0"/>
      <w:ind w:left="0" w:firstLine="360"/>
    </w:pPr>
    <w:rPr>
      <w:rFonts w:ascii="Times New Roman" w:eastAsia="Times New Roman" w:hAnsi="Times New Roman"/>
      <w:bCs w:val="0"/>
      <w:sz w:val="22"/>
      <w:szCs w:val="22"/>
      <w:lang w:val="en-AU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4561B8"/>
    <w:rPr>
      <w:rFonts w:ascii="Times New Roman" w:eastAsia="Times New Roman" w:hAnsi="Times New Roman" w:cs="Times New Roman"/>
      <w:bCs w:val="0"/>
      <w:sz w:val="20"/>
      <w:szCs w:val="20"/>
      <w:lang w:val="en-AU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601192"/>
    <w:pPr>
      <w:keepNext/>
      <w:spacing w:before="120" w:after="120"/>
      <w:ind w:left="1134" w:hanging="567"/>
    </w:pPr>
    <w:rPr>
      <w:rFonts w:ascii="Arial" w:eastAsia="Arial" w:hAnsi="Arial" w:cs="Arial"/>
      <w:b/>
      <w:bCs/>
      <w:sz w:val="18"/>
      <w:szCs w:val="18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CE6502"/>
    <w:pPr>
      <w:keepLines/>
      <w:widowControl/>
      <w:tabs>
        <w:tab w:val="left" w:pos="1276"/>
      </w:tabs>
      <w:autoSpaceDE/>
      <w:autoSpaceDN/>
      <w:spacing w:before="240"/>
      <w:ind w:left="425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uiPriority w:val="99"/>
    <w:rsid w:val="00CE6502"/>
    <w:rPr>
      <w:rFonts w:ascii="Arial" w:eastAsia="Times New Roman" w:hAnsi="Arial" w:cs="Arial"/>
      <w:b/>
      <w:bCs/>
      <w:i/>
      <w:iCs/>
      <w:sz w:val="18"/>
      <w:szCs w:val="18"/>
      <w:lang w:val="en-AU"/>
    </w:rPr>
  </w:style>
  <w:style w:type="paragraph" w:customStyle="1" w:styleId="Notes">
    <w:name w:val="Notes"/>
    <w:basedOn w:val="ListParagraph"/>
    <w:uiPriority w:val="1"/>
    <w:qFormat/>
    <w:rsid w:val="003772BF"/>
    <w:pPr>
      <w:keepLines/>
      <w:widowControl/>
      <w:numPr>
        <w:numId w:val="14"/>
      </w:numPr>
      <w:tabs>
        <w:tab w:val="left" w:pos="1276"/>
      </w:tabs>
      <w:autoSpaceDE/>
      <w:autoSpaceDN/>
      <w:spacing w:before="120" w:after="120"/>
      <w:ind w:left="709" w:hanging="284"/>
    </w:pPr>
    <w:rPr>
      <w:rFonts w:ascii="Arial" w:hAnsi="Arial" w:cs="Arial"/>
      <w:i/>
      <w:iCs/>
      <w:sz w:val="18"/>
      <w:szCs w:val="18"/>
    </w:rPr>
  </w:style>
  <w:style w:type="paragraph" w:customStyle="1" w:styleId="PubTableBullet1">
    <w:name w:val="Pub Table Bullet 1"/>
    <w:basedOn w:val="Normal"/>
    <w:uiPriority w:val="3"/>
    <w:rsid w:val="003F4501"/>
    <w:pPr>
      <w:widowControl/>
      <w:numPr>
        <w:numId w:val="15"/>
      </w:numPr>
      <w:autoSpaceDE/>
      <w:autoSpaceDN/>
      <w:spacing w:before="40" w:after="40"/>
      <w:ind w:left="206" w:hanging="206"/>
    </w:pPr>
    <w:rPr>
      <w:rFonts w:ascii="Arial" w:eastAsiaTheme="minorHAnsi" w:hAnsi="Arial" w:cstheme="minorBidi"/>
      <w:sz w:val="16"/>
      <w:szCs w:val="16"/>
    </w:rPr>
  </w:style>
  <w:style w:type="paragraph" w:customStyle="1" w:styleId="TableBullet2">
    <w:name w:val="Table Bullet 2"/>
    <w:basedOn w:val="PubTableBullet1"/>
    <w:uiPriority w:val="3"/>
    <w:rsid w:val="003F4501"/>
    <w:pPr>
      <w:numPr>
        <w:ilvl w:val="1"/>
      </w:numPr>
      <w:spacing w:before="20" w:after="20"/>
      <w:ind w:left="447" w:hanging="141"/>
    </w:pPr>
    <w:rPr>
      <w:sz w:val="18"/>
    </w:rPr>
  </w:style>
  <w:style w:type="paragraph" w:customStyle="1" w:styleId="TableBullet3">
    <w:name w:val="Table Bullet 3"/>
    <w:basedOn w:val="TableBullet2"/>
    <w:uiPriority w:val="3"/>
    <w:rsid w:val="003F4501"/>
    <w:pPr>
      <w:numPr>
        <w:ilvl w:val="2"/>
      </w:numPr>
      <w:ind w:left="731" w:hanging="142"/>
    </w:pPr>
  </w:style>
  <w:style w:type="numbering" w:styleId="111111">
    <w:name w:val="Outline List 2"/>
    <w:basedOn w:val="NoList"/>
    <w:semiHidden/>
    <w:rsid w:val="00C2036C"/>
    <w:pPr>
      <w:numPr>
        <w:numId w:val="16"/>
      </w:numPr>
    </w:pPr>
  </w:style>
  <w:style w:type="paragraph" w:styleId="BlockText">
    <w:name w:val="Block Text"/>
    <w:basedOn w:val="Normal"/>
    <w:uiPriority w:val="99"/>
    <w:unhideWhenUsed/>
    <w:rsid w:val="00627CF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table" w:customStyle="1" w:styleId="MainTableStyle">
    <w:name w:val="Main Table Style"/>
    <w:basedOn w:val="TableNormal"/>
    <w:uiPriority w:val="99"/>
    <w:rsid w:val="00627CFE"/>
    <w:pPr>
      <w:widowControl/>
      <w:autoSpaceDE/>
      <w:autoSpaceDN/>
      <w:spacing w:before="80" w:after="80"/>
    </w:pPr>
    <w:rPr>
      <w:rFonts w:ascii="Arial" w:hAnsi="Arial"/>
      <w:sz w:val="18"/>
      <w:lang w:val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12" w:space="0" w:color="427D97"/>
        <w:right w:val="single" w:sz="4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D3DD"/>
    </w:tcPr>
    <w:tblStylePr w:type="firstRow">
      <w:pPr>
        <w:keepNext/>
        <w:keepLines/>
        <w:widowControl/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427D97"/>
      </w:tcPr>
    </w:tblStylePr>
    <w:tblStylePr w:type="lastRow">
      <w:pPr>
        <w:keepLines/>
        <w:widowControl/>
        <w:wordWrap/>
        <w:jc w:val="left"/>
      </w:pPr>
      <w:rPr>
        <w:b/>
      </w:rPr>
      <w:tblPr/>
      <w:tcPr>
        <w:shd w:val="clear" w:color="auto" w:fill="C5D3DD"/>
      </w:tcPr>
    </w:tblStylePr>
  </w:style>
  <w:style w:type="paragraph" w:customStyle="1" w:styleId="Tabletext">
    <w:name w:val="Table text"/>
    <w:basedOn w:val="Normal"/>
    <w:rsid w:val="00627CFE"/>
    <w:pPr>
      <w:widowControl/>
      <w:autoSpaceDE/>
      <w:autoSpaceDN/>
      <w:spacing w:before="60" w:after="60"/>
      <w:ind w:left="2268" w:hanging="1417"/>
    </w:pPr>
    <w:rPr>
      <w:rFonts w:ascii="Arial" w:eastAsia="Calibri" w:hAnsi="Arial"/>
      <w:kern w:val="20"/>
      <w:sz w:val="18"/>
      <w:szCs w:val="20"/>
      <w:lang w:val="en-US"/>
    </w:rPr>
  </w:style>
  <w:style w:type="paragraph" w:customStyle="1" w:styleId="Style15">
    <w:name w:val="Style15"/>
    <w:basedOn w:val="Normal"/>
    <w:link w:val="Style15Char"/>
    <w:rsid w:val="00C741C0"/>
    <w:pPr>
      <w:widowControl/>
      <w:autoSpaceDE/>
      <w:autoSpaceDN/>
      <w:spacing w:after="160"/>
      <w:ind w:left="1002" w:hanging="576"/>
    </w:pPr>
    <w:rPr>
      <w:rFonts w:ascii="Arial" w:eastAsiaTheme="minorEastAsia" w:hAnsi="Arial" w:cstheme="minorBidi"/>
      <w:sz w:val="20"/>
      <w:szCs w:val="20"/>
      <w:lang w:val="en-US" w:eastAsia="ja-JP"/>
    </w:rPr>
  </w:style>
  <w:style w:type="character" w:customStyle="1" w:styleId="Style15Char">
    <w:name w:val="Style15 Char"/>
    <w:basedOn w:val="DefaultParagraphFont"/>
    <w:link w:val="Style15"/>
    <w:rsid w:val="00C741C0"/>
    <w:rPr>
      <w:rFonts w:ascii="Arial" w:eastAsiaTheme="minorEastAsia" w:hAnsi="Arial"/>
      <w:sz w:val="20"/>
      <w:szCs w:val="20"/>
      <w:lang w:eastAsia="ja-JP"/>
    </w:rPr>
  </w:style>
  <w:style w:type="paragraph" w:customStyle="1" w:styleId="Style12">
    <w:name w:val="Style12"/>
    <w:basedOn w:val="Normal"/>
    <w:link w:val="Style12Char"/>
    <w:rsid w:val="00170376"/>
    <w:pPr>
      <w:numPr>
        <w:numId w:val="17"/>
      </w:numPr>
      <w:tabs>
        <w:tab w:val="left" w:pos="1701"/>
      </w:tabs>
      <w:spacing w:before="119"/>
      <w:ind w:right="306"/>
    </w:pPr>
    <w:rPr>
      <w:rFonts w:ascii="Arial" w:eastAsiaTheme="minorEastAsia" w:hAnsi="Arial" w:cstheme="minorBidi"/>
      <w:sz w:val="18"/>
      <w:szCs w:val="18"/>
      <w:lang w:val="en-US" w:eastAsia="ja-JP"/>
    </w:rPr>
  </w:style>
  <w:style w:type="character" w:customStyle="1" w:styleId="Style12Char">
    <w:name w:val="Style12 Char"/>
    <w:basedOn w:val="DefaultParagraphFont"/>
    <w:link w:val="Style12"/>
    <w:rsid w:val="00170376"/>
    <w:rPr>
      <w:rFonts w:ascii="Arial" w:eastAsiaTheme="minorEastAsia" w:hAnsi="Arial"/>
      <w:sz w:val="18"/>
      <w:szCs w:val="18"/>
      <w:lang w:eastAsia="ja-JP"/>
    </w:rPr>
  </w:style>
  <w:style w:type="paragraph" w:styleId="BodyTextIndent2">
    <w:name w:val="Body Text Indent 2"/>
    <w:basedOn w:val="BodyTextIndent"/>
    <w:link w:val="BodyTextIndent2Char"/>
    <w:uiPriority w:val="99"/>
    <w:unhideWhenUsed/>
    <w:rsid w:val="00170376"/>
    <w:pPr>
      <w:spacing w:before="120"/>
      <w:ind w:left="141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70376"/>
    <w:rPr>
      <w:rFonts w:ascii="Arial" w:eastAsia="Times New Roman" w:hAnsi="Arial" w:cs="Times New Roman"/>
      <w:sz w:val="2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D09CA"/>
    <w:pPr>
      <w:spacing w:before="0" w:after="0"/>
      <w:ind w:left="360" w:firstLine="360"/>
    </w:pPr>
    <w:rPr>
      <w:rFonts w:ascii="Times New Roman" w:hAnsi="Times New Roman"/>
      <w:sz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D09CA"/>
    <w:rPr>
      <w:rFonts w:ascii="Times New Roman" w:eastAsia="Times New Roman" w:hAnsi="Times New Roman" w:cs="Times New Roman"/>
      <w:bCs/>
      <w:sz w:val="20"/>
      <w:lang w:val="en-AU"/>
    </w:rPr>
  </w:style>
  <w:style w:type="character" w:customStyle="1" w:styleId="Style14Char">
    <w:name w:val="Style14 Char"/>
    <w:basedOn w:val="DefaultParagraphFont"/>
    <w:link w:val="Style14"/>
    <w:locked/>
    <w:rsid w:val="003E31BA"/>
    <w:rPr>
      <w:rFonts w:ascii="Arial" w:hAnsi="Arial" w:cs="Arial"/>
      <w:b/>
      <w:color w:val="004259"/>
      <w:sz w:val="20"/>
      <w:szCs w:val="20"/>
    </w:rPr>
  </w:style>
  <w:style w:type="paragraph" w:customStyle="1" w:styleId="Style14">
    <w:name w:val="Style14"/>
    <w:basedOn w:val="Normal"/>
    <w:link w:val="Style14Char"/>
    <w:rsid w:val="003E31BA"/>
    <w:pPr>
      <w:widowControl/>
      <w:autoSpaceDE/>
      <w:autoSpaceDN/>
      <w:spacing w:before="180"/>
      <w:ind w:left="1134" w:hanging="142"/>
    </w:pPr>
    <w:rPr>
      <w:rFonts w:ascii="Arial" w:eastAsiaTheme="minorHAnsi" w:hAnsi="Arial" w:cs="Arial"/>
      <w:b/>
      <w:color w:val="004259"/>
      <w:sz w:val="20"/>
      <w:szCs w:val="20"/>
      <w:lang w:val="en-US"/>
    </w:rPr>
  </w:style>
  <w:style w:type="character" w:styleId="BookTitle">
    <w:name w:val="Book Title"/>
    <w:basedOn w:val="DefaultParagraphFont"/>
    <w:uiPriority w:val="33"/>
    <w:rsid w:val="00A54C0A"/>
    <w:rPr>
      <w:b/>
      <w:bCs/>
      <w:i/>
      <w:iCs/>
      <w:spacing w:val="5"/>
    </w:rPr>
  </w:style>
  <w:style w:type="paragraph" w:customStyle="1" w:styleId="TableFigureNotesList">
    <w:name w:val="Table / Figure Notes List"/>
    <w:rsid w:val="00897DC5"/>
    <w:pPr>
      <w:widowControl/>
      <w:numPr>
        <w:numId w:val="18"/>
      </w:numPr>
      <w:autoSpaceDE/>
      <w:autoSpaceDN/>
      <w:spacing w:before="120"/>
      <w:contextualSpacing/>
    </w:pPr>
    <w:rPr>
      <w:rFonts w:ascii="Arial" w:eastAsiaTheme="minorEastAsia" w:hAnsi="Arial" w:cs="Times New Roman"/>
      <w:i/>
      <w:color w:val="6F7C87"/>
      <w:sz w:val="18"/>
      <w:szCs w:val="18"/>
      <w:lang w:eastAsia="en-AU"/>
    </w:rPr>
  </w:style>
  <w:style w:type="numbering" w:styleId="1ai">
    <w:name w:val="Outline List 1"/>
    <w:basedOn w:val="NoList"/>
    <w:semiHidden/>
    <w:rsid w:val="00885442"/>
    <w:pPr>
      <w:numPr>
        <w:numId w:val="20"/>
      </w:numPr>
    </w:pPr>
  </w:style>
  <w:style w:type="table" w:customStyle="1" w:styleId="TMTable1">
    <w:name w:val="TM Table1"/>
    <w:basedOn w:val="TableNormal"/>
    <w:uiPriority w:val="99"/>
    <w:rsid w:val="00F50716"/>
    <w:pPr>
      <w:widowControl/>
      <w:autoSpaceDE/>
      <w:autoSpaceDN/>
    </w:pPr>
    <w:rPr>
      <w:rFonts w:ascii="Arial" w:eastAsia="Times New Roman" w:hAnsi="Arial" w:cs="Times New Roman"/>
      <w:sz w:val="18"/>
      <w:szCs w:val="20"/>
      <w:lang w:val="en-AU" w:eastAsia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6" w:space="0" w:color="00425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cPr>
        <w:shd w:val="clear" w:color="auto" w:fill="004259"/>
      </w:tcPr>
    </w:tblStylePr>
  </w:style>
  <w:style w:type="paragraph" w:customStyle="1" w:styleId="TableText0">
    <w:name w:val="Table Text"/>
    <w:basedOn w:val="TableBodyText"/>
    <w:link w:val="TableTextChar"/>
    <w:uiPriority w:val="1"/>
    <w:qFormat/>
    <w:rsid w:val="00A74CAD"/>
    <w:pPr>
      <w:spacing w:before="80" w:after="80"/>
    </w:pPr>
    <w:rPr>
      <w:rFonts w:eastAsia="SimSun"/>
    </w:rPr>
  </w:style>
  <w:style w:type="character" w:customStyle="1" w:styleId="TableTextChar">
    <w:name w:val="Table Text Char"/>
    <w:basedOn w:val="TableBodyTextCharChar"/>
    <w:link w:val="TableText0"/>
    <w:uiPriority w:val="1"/>
    <w:rsid w:val="00A74CAD"/>
    <w:rPr>
      <w:rFonts w:ascii="Arial" w:eastAsia="SimSun" w:hAnsi="Arial" w:cs="Times New Roman"/>
      <w:bCs/>
      <w:color w:val="000000"/>
      <w:sz w:val="20"/>
      <w:szCs w:val="20"/>
      <w:lang w:val="en-AU" w:eastAsia="en-AU"/>
    </w:rPr>
  </w:style>
  <w:style w:type="character" w:customStyle="1" w:styleId="Bodynumbered1Char">
    <w:name w:val="Body numbered 1 Char"/>
    <w:basedOn w:val="Style6Char"/>
    <w:link w:val="Bodynumbered1"/>
    <w:rsid w:val="00D50EE9"/>
    <w:rPr>
      <w:rFonts w:ascii="Arial" w:eastAsiaTheme="minorEastAsia" w:hAnsi="Arial" w:cs="Times New Roman"/>
      <w:noProof/>
      <w:sz w:val="20"/>
      <w:szCs w:val="20"/>
      <w:lang w:val="en-A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CE0"/>
            <w:right w:val="none" w:sz="0" w:space="0" w:color="auto"/>
          </w:divBdr>
          <w:divsChild>
            <w:div w:id="204829074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F99B7CCA5BB4F9EF6F99E5DA175B5" ma:contentTypeVersion="2" ma:contentTypeDescription="Create a new document." ma:contentTypeScope="" ma:versionID="7c42f3b0410dfe4a6de576468aeb2cbe">
  <xsd:schema xmlns:xsd="http://www.w3.org/2001/XMLSchema" xmlns:xs="http://www.w3.org/2001/XMLSchema" xmlns:p="http://schemas.microsoft.com/office/2006/metadata/properties" xmlns:ns2="e85daaf6-55f8-4e64-9dc5-0f62b5e2d7b1" targetNamespace="http://schemas.microsoft.com/office/2006/metadata/properties" ma:root="true" ma:fieldsID="b5589d9d1fe16f3bbc7fd597b73c68d6" ns2:_="">
    <xsd:import namespace="e85daaf6-55f8-4e64-9dc5-0f62b5e2d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aaf6-55f8-4e64-9dc5-0f62b5e2d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2EB2C6-A5C2-4C37-BA7E-CB6AB28CD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4E03CE-FB5F-4798-82B9-960A7FF78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21A41-3AA5-416F-80A1-657ECA9348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7DC4D6-06DB-4923-B557-D857BC840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aaf6-55f8-4e64-9dc5-0f62b5e2d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13</Pages>
  <Words>3430</Words>
  <Characters>17837</Characters>
  <Application>Microsoft Office Word</Application>
  <DocSecurity>0</DocSecurity>
  <Lines>457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B201 - Steelwork for Bridges</vt:lpstr>
    </vt:vector>
  </TitlesOfParts>
  <Company/>
  <LinksUpToDate>false</LinksUpToDate>
  <CharactersWithSpaces>20901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3535 Supply of Roller Compacted Concrete</dc:title>
  <dc:subject/>
  <dc:creator>Austroads</dc:creator>
  <cp:keywords/>
  <cp:lastModifiedBy>Allison Gillespie</cp:lastModifiedBy>
  <cp:revision>203</cp:revision>
  <dcterms:created xsi:type="dcterms:W3CDTF">2024-11-20T00:00:00Z</dcterms:created>
  <dcterms:modified xsi:type="dcterms:W3CDTF">2025-02-14T06:26:00Z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2018-05-21T00:00:00Z</vt:filetime>
  </property>
  <property fmtid="{D5CDD505-2E9C-101B-9397-08002B2CF9AE}" pid="5" name="ContentTypeId">
    <vt:lpwstr>0x010100F02F99B7CCA5BB4F9EF6F99E5DA175B5</vt:lpwstr>
  </property>
</Properties>
</file>