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0141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6E2A3EE" wp14:editId="589DEAF5">
            <wp:simplePos x="0" y="0"/>
            <wp:positionH relativeFrom="page">
              <wp:posOffset>6000750</wp:posOffset>
            </wp:positionH>
            <wp:positionV relativeFrom="page">
              <wp:posOffset>695325</wp:posOffset>
            </wp:positionV>
            <wp:extent cx="887095" cy="783590"/>
            <wp:effectExtent l="0" t="0" r="8255" b="0"/>
            <wp:wrapTight wrapText="bothSides">
              <wp:wrapPolygon edited="0">
                <wp:start x="11132" y="0"/>
                <wp:lineTo x="5566" y="1575"/>
                <wp:lineTo x="1392" y="5776"/>
                <wp:lineTo x="464" y="21005"/>
                <wp:lineTo x="20409" y="21005"/>
                <wp:lineTo x="21337" y="14703"/>
                <wp:lineTo x="19946" y="12603"/>
                <wp:lineTo x="17162" y="9452"/>
                <wp:lineTo x="13452" y="0"/>
                <wp:lineTo x="1113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9D163" w14:textId="1367E046" w:rsidR="003507B5" w:rsidRDefault="00AF1869" w:rsidP="007003A4">
      <w:pPr>
        <w:pStyle w:val="Heading-nonumbering"/>
      </w:pPr>
      <w:r>
        <w:t xml:space="preserve">AUSTROADS TEST METHOD </w:t>
      </w:r>
      <w:r w:rsidR="00447EAC">
        <w:fldChar w:fldCharType="begin"/>
      </w:r>
      <w:r w:rsidR="00447EAC">
        <w:instrText xml:space="preserve"> DOCPROPERTY a_project_number </w:instrText>
      </w:r>
      <w:r w:rsidR="00447EAC">
        <w:fldChar w:fldCharType="separate"/>
      </w:r>
      <w:r w:rsidR="00C430F8">
        <w:t>AGPT/T272</w:t>
      </w:r>
      <w:r w:rsidR="00447EAC">
        <w:fldChar w:fldCharType="end"/>
      </w:r>
    </w:p>
    <w:p w14:paraId="54029456" w14:textId="09A39CAB" w:rsidR="007003A4" w:rsidRPr="00AF1869" w:rsidRDefault="00C430F8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Determination of Abrasion Loss of Bituminous Slurry (Wet Track Abrasion Test)</w:t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520D361F" w14:textId="77777777" w:rsidTr="00114D11">
        <w:trPr>
          <w:trHeight w:val="9810"/>
        </w:trPr>
        <w:tc>
          <w:tcPr>
            <w:tcW w:w="3892" w:type="dxa"/>
            <w:shd w:val="clear" w:color="auto" w:fill="F2F2F2" w:themeFill="background1" w:themeFillShade="F2"/>
          </w:tcPr>
          <w:p w14:paraId="02018B20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24386B55" w14:textId="67DCD5FD" w:rsidR="00AA1C34" w:rsidRDefault="003D494A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513546069" w:history="1">
              <w:r w:rsidR="00AA1C34" w:rsidRPr="007C3122">
                <w:rPr>
                  <w:rStyle w:val="Hyperlink"/>
                  <w:noProof/>
                </w:rPr>
                <w:t>1.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Preface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_Toc513546069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 w:rsidR="00447EAC">
                <w:rPr>
                  <w:noProof/>
                  <w:webHidden/>
                </w:rPr>
                <w:t>1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237A6310" w14:textId="3CF7A8B7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0" w:history="1">
              <w:r w:rsidR="00AA1C34" w:rsidRPr="007C3122">
                <w:rPr>
                  <w:rStyle w:val="Hyperlink"/>
                  <w:noProof/>
                </w:rPr>
                <w:t>2.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Principle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_Toc513546070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293725B8" w14:textId="7A79A597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1" w:history="1">
              <w:r w:rsidR="00AA1C34" w:rsidRPr="007C3122">
                <w:rPr>
                  <w:rStyle w:val="Hyperlink"/>
                  <w:noProof/>
                </w:rPr>
                <w:t>3.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Scope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_Toc513546071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43AED391" w14:textId="7BB15C14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2" w:history="1">
              <w:r w:rsidR="00AA1C34" w:rsidRPr="007C3122">
                <w:rPr>
                  <w:rStyle w:val="Hyperlink"/>
                  <w:noProof/>
                </w:rPr>
                <w:t>4.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Further Development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_Toc513546072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24F745B5" w14:textId="026E39C0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3" w:history="1">
              <w:r w:rsidR="00AA1C34" w:rsidRPr="007C3122">
                <w:rPr>
                  <w:rStyle w:val="Hyperlink"/>
                  <w:noProof/>
                </w:rPr>
                <w:t>5.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Safety Disclaimer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_Toc513546073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3D39F70A" w14:textId="5C493A92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4" w:history="1">
              <w:r w:rsidR="00AA1C34" w:rsidRPr="007C3122">
                <w:rPr>
                  <w:rStyle w:val="Hyperlink"/>
                  <w:noProof/>
                </w:rPr>
                <w:t>6.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References</w:t>
              </w:r>
              <w:bookmarkStart w:id="0" w:name="_GoBack"/>
              <w:bookmarkEnd w:id="0"/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_Toc513546074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73C6FCA4" w14:textId="55C9D0FA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5" w:history="1">
              <w:r w:rsidR="00AA1C34" w:rsidRPr="007C3122">
                <w:rPr>
                  <w:rStyle w:val="Hyperlink"/>
                  <w:noProof/>
                </w:rPr>
                <w:t>7.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Equipment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_Toc513546075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33D720C1" w14:textId="7C931A99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6" w:history="1">
              <w:r w:rsidR="00AA1C34" w:rsidRPr="007C3122">
                <w:rPr>
                  <w:rStyle w:val="Hyperlink"/>
                  <w:noProof/>
                </w:rPr>
                <w:t>8.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Sample Preparation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_Toc513546076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5F106BA5" w14:textId="5C5B7F90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7" w:history="1">
              <w:r w:rsidR="00AA1C34" w:rsidRPr="007C3122">
                <w:rPr>
                  <w:rStyle w:val="Hyperlink"/>
                  <w:noProof/>
                </w:rPr>
                <w:t>9.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Procedure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_Toc513546077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13FE897D" w14:textId="598BCF77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8" w:history="1">
              <w:r w:rsidR="00AA1C34" w:rsidRPr="007C3122">
                <w:rPr>
                  <w:rStyle w:val="Hyperlink"/>
                  <w:noProof/>
                </w:rPr>
                <w:t>10.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Calculation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_Toc513546078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26ED2D25" w14:textId="7DB2B9D1" w:rsidR="00AA1C34" w:rsidRDefault="00447EAC" w:rsidP="00AA1C34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6079" w:history="1">
              <w:r w:rsidR="00AA1C34" w:rsidRPr="007C3122">
                <w:rPr>
                  <w:rStyle w:val="Hyperlink"/>
                  <w:noProof/>
                </w:rPr>
                <w:t>11.</w:t>
              </w:r>
              <w:r w:rsidR="00AA1C34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AA1C34" w:rsidRPr="007C3122">
                <w:rPr>
                  <w:rStyle w:val="Hyperlink"/>
                  <w:noProof/>
                </w:rPr>
                <w:t>Reporting</w:t>
              </w:r>
              <w:r w:rsidR="00AA1C34">
                <w:rPr>
                  <w:noProof/>
                  <w:webHidden/>
                </w:rPr>
                <w:tab/>
              </w:r>
              <w:r w:rsidR="00AA1C34">
                <w:rPr>
                  <w:noProof/>
                  <w:webHidden/>
                </w:rPr>
                <w:fldChar w:fldCharType="begin"/>
              </w:r>
              <w:r w:rsidR="00AA1C34">
                <w:rPr>
                  <w:noProof/>
                  <w:webHidden/>
                </w:rPr>
                <w:instrText xml:space="preserve"> PAGEREF _Toc513546079 \h </w:instrText>
              </w:r>
              <w:r w:rsidR="00AA1C34">
                <w:rPr>
                  <w:noProof/>
                  <w:webHidden/>
                </w:rPr>
              </w:r>
              <w:r w:rsidR="00AA1C3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AA1C34">
                <w:rPr>
                  <w:noProof/>
                  <w:webHidden/>
                </w:rPr>
                <w:fldChar w:fldCharType="end"/>
              </w:r>
            </w:hyperlink>
          </w:p>
          <w:p w14:paraId="40532DB4" w14:textId="621A40E5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5FE21408" w14:textId="77777777" w:rsidR="006155F1" w:rsidRDefault="004842EC" w:rsidP="001D7D7C">
      <w:pPr>
        <w:pStyle w:val="Heading1"/>
      </w:pPr>
      <w:bookmarkStart w:id="1" w:name="_Toc513546069"/>
      <w:r>
        <w:t>Preface</w:t>
      </w:r>
      <w:bookmarkEnd w:id="1"/>
    </w:p>
    <w:p w14:paraId="7F276FC3" w14:textId="727CC82F" w:rsidR="007003A4" w:rsidRDefault="004842EC" w:rsidP="002500F7">
      <w:pPr>
        <w:pStyle w:val="Paragraph"/>
        <w:rPr>
          <w:b/>
        </w:rPr>
      </w:pPr>
      <w:r w:rsidRPr="004842EC">
        <w:t xml:space="preserve">This test method was prepared by </w:t>
      </w:r>
      <w:r w:rsidR="00517619">
        <w:t>the Bitum</w:t>
      </w:r>
      <w:r w:rsidR="006841A0">
        <w:t>inous</w:t>
      </w:r>
      <w:r w:rsidR="00517619">
        <w:t xml:space="preserve"> Surfacings Working Group</w:t>
      </w:r>
      <w:r w:rsidRPr="004842EC">
        <w:t xml:space="preserve"> </w:t>
      </w:r>
      <w:r w:rsidR="00587759">
        <w:t xml:space="preserve">(BSWG) </w:t>
      </w:r>
      <w:r w:rsidRPr="004842EC">
        <w:t xml:space="preserve">on behalf of </w:t>
      </w:r>
      <w:r w:rsidR="00587759">
        <w:t xml:space="preserve">the </w:t>
      </w:r>
      <w:r w:rsidRPr="004842EC">
        <w:t>Austroads</w:t>
      </w:r>
      <w:r w:rsidR="00587759">
        <w:t xml:space="preserve"> Pavement Task Force (PTF)</w:t>
      </w:r>
      <w:r w:rsidRPr="004842EC">
        <w:t xml:space="preserve">. </w:t>
      </w:r>
      <w:r w:rsidR="00AC3FF0">
        <w:t xml:space="preserve"> </w:t>
      </w:r>
      <w:r w:rsidRPr="004842EC">
        <w:t xml:space="preserve">Representatives of Austroads, </w:t>
      </w:r>
      <w:r w:rsidR="00F90CC0">
        <w:t>Australian Road Research Board</w:t>
      </w:r>
      <w:r w:rsidR="00587759">
        <w:t xml:space="preserve"> (ARRB)</w:t>
      </w:r>
      <w:r w:rsidR="00F90CC0">
        <w:t>,</w:t>
      </w:r>
      <w:r w:rsidRPr="004842EC">
        <w:t xml:space="preserve"> and the Australian Asphalt Pavement Association </w:t>
      </w:r>
      <w:r w:rsidR="00587759">
        <w:t xml:space="preserve">(AAPA) </w:t>
      </w:r>
      <w:r w:rsidRPr="004842EC">
        <w:t>have been involved in the development and review of this test method.</w:t>
      </w:r>
    </w:p>
    <w:p w14:paraId="26F78B85" w14:textId="77777777" w:rsidR="00DD79B3" w:rsidRDefault="004842EC" w:rsidP="004842EC">
      <w:pPr>
        <w:pStyle w:val="Heading1"/>
      </w:pPr>
      <w:bookmarkStart w:id="2" w:name="_Toc513546070"/>
      <w:r>
        <w:t>Principle</w:t>
      </w:r>
      <w:bookmarkEnd w:id="2"/>
    </w:p>
    <w:p w14:paraId="01B03494" w14:textId="24079A8C" w:rsidR="00DD79B3" w:rsidRDefault="00ED6941" w:rsidP="00DD79B3">
      <w:pPr>
        <w:pStyle w:val="Paragraph"/>
      </w:pPr>
      <w:r>
        <w:t>Circular specimen s</w:t>
      </w:r>
      <w:r w:rsidR="004842EC" w:rsidRPr="004842EC">
        <w:t>amples of bituminous slurry are prepared</w:t>
      </w:r>
      <w:r w:rsidR="00787AB9">
        <w:t>,</w:t>
      </w:r>
      <w:r w:rsidR="004842EC" w:rsidRPr="004842EC">
        <w:t xml:space="preserve"> fully </w:t>
      </w:r>
      <w:r w:rsidR="00787AB9" w:rsidRPr="004842EC">
        <w:t>oven</w:t>
      </w:r>
      <w:r w:rsidR="00787AB9">
        <w:t>-</w:t>
      </w:r>
      <w:r w:rsidR="004842EC" w:rsidRPr="004842EC">
        <w:t>cured and then soaked in water</w:t>
      </w:r>
      <w:r>
        <w:t>, prior to subjecting to mechanical abrasion testing</w:t>
      </w:r>
      <w:r w:rsidR="004842EC" w:rsidRPr="004842EC">
        <w:t xml:space="preserve">. </w:t>
      </w:r>
      <w:r w:rsidR="00AC3FF0">
        <w:t xml:space="preserve"> </w:t>
      </w:r>
      <w:r w:rsidR="004842EC" w:rsidRPr="004842EC">
        <w:t xml:space="preserve">The test determines the amount of material lost when the samples are subjected to a predetermined abrasive </w:t>
      </w:r>
      <w:r w:rsidR="00296F4D">
        <w:t>action</w:t>
      </w:r>
      <w:r w:rsidR="004842EC" w:rsidRPr="004842EC">
        <w:t>.</w:t>
      </w:r>
      <w:r w:rsidR="00AC3FF0">
        <w:t xml:space="preserve"> </w:t>
      </w:r>
      <w:r w:rsidR="004842EC" w:rsidRPr="004842EC">
        <w:t xml:space="preserve"> </w:t>
      </w:r>
      <w:r w:rsidR="00812D90" w:rsidRPr="00812D90">
        <w:t xml:space="preserve">The quantity of material lost </w:t>
      </w:r>
      <w:r w:rsidR="001C63FD">
        <w:t xml:space="preserve">during testing </w:t>
      </w:r>
      <w:r w:rsidR="00812D90" w:rsidRPr="00812D90">
        <w:t>is an indicator of how compatible are the ingredients of the mix and its likely resistance to wear in service</w:t>
      </w:r>
      <w:r w:rsidR="00F2020C" w:rsidRPr="00812D90">
        <w:t>.</w:t>
      </w:r>
    </w:p>
    <w:p w14:paraId="5FDDBB46" w14:textId="77777777" w:rsidR="004842EC" w:rsidRPr="00DD79B3" w:rsidRDefault="004842EC" w:rsidP="004842EC">
      <w:pPr>
        <w:pStyle w:val="Heading1"/>
      </w:pPr>
      <w:bookmarkStart w:id="3" w:name="_Toc513546071"/>
      <w:r>
        <w:t>Scope</w:t>
      </w:r>
      <w:bookmarkEnd w:id="3"/>
    </w:p>
    <w:p w14:paraId="58665E66" w14:textId="36BCE3ED" w:rsidR="004842EC" w:rsidRDefault="004842EC" w:rsidP="006D7716">
      <w:pPr>
        <w:pStyle w:val="Paragraph"/>
      </w:pPr>
      <w:r w:rsidRPr="004842EC">
        <w:t xml:space="preserve">This </w:t>
      </w:r>
      <w:r w:rsidR="00982DC7">
        <w:t xml:space="preserve">test method </w:t>
      </w:r>
      <w:r w:rsidRPr="004842EC">
        <w:t xml:space="preserve">sets out the </w:t>
      </w:r>
      <w:r w:rsidR="00982DC7">
        <w:t>procedure to</w:t>
      </w:r>
      <w:r w:rsidRPr="004842EC">
        <w:t xml:space="preserve"> </w:t>
      </w:r>
      <w:r w:rsidR="00982DC7">
        <w:t xml:space="preserve">evaluate </w:t>
      </w:r>
      <w:r w:rsidRPr="004842EC">
        <w:t xml:space="preserve">the wearing </w:t>
      </w:r>
      <w:r w:rsidR="00982DC7">
        <w:t xml:space="preserve">resistance </w:t>
      </w:r>
      <w:r w:rsidRPr="004842EC">
        <w:t xml:space="preserve">of bituminous slurry surfacing </w:t>
      </w:r>
      <w:r w:rsidR="00C92F24">
        <w:t>materials</w:t>
      </w:r>
      <w:r w:rsidRPr="004842EC">
        <w:t xml:space="preserve"> under wet abrasion conditions</w:t>
      </w:r>
      <w:r w:rsidR="00982DC7">
        <w:t>.</w:t>
      </w:r>
    </w:p>
    <w:p w14:paraId="6A404419" w14:textId="77777777" w:rsidR="004842EC" w:rsidRDefault="004842EC" w:rsidP="004842EC">
      <w:pPr>
        <w:pStyle w:val="Heading1"/>
      </w:pPr>
      <w:bookmarkStart w:id="4" w:name="_Toc513546072"/>
      <w:r>
        <w:t>Further Development</w:t>
      </w:r>
      <w:bookmarkEnd w:id="4"/>
    </w:p>
    <w:p w14:paraId="3E815324" w14:textId="585DC862" w:rsidR="004842EC" w:rsidRDefault="004842EC" w:rsidP="004842EC">
      <w:pPr>
        <w:pStyle w:val="Paragraph"/>
      </w:pPr>
      <w:r w:rsidRPr="004842EC">
        <w:t>There are no further plans for the development of this test method.</w:t>
      </w:r>
    </w:p>
    <w:p w14:paraId="5BF6C83F" w14:textId="77777777" w:rsidR="00982DC7" w:rsidRDefault="00982DC7" w:rsidP="00982DC7">
      <w:pPr>
        <w:pStyle w:val="Heading1"/>
      </w:pPr>
      <w:bookmarkStart w:id="5" w:name="_Toc487639698"/>
      <w:bookmarkStart w:id="6" w:name="_Toc513546073"/>
      <w:r>
        <w:t>Safety Disclaimer</w:t>
      </w:r>
      <w:bookmarkEnd w:id="5"/>
      <w:bookmarkEnd w:id="6"/>
    </w:p>
    <w:p w14:paraId="256D11E6" w14:textId="435AEED6" w:rsidR="00982DC7" w:rsidRDefault="00982DC7" w:rsidP="00982DC7">
      <w:pPr>
        <w:pStyle w:val="Paragraph"/>
      </w:pPr>
      <w:r>
        <w:rPr>
          <w:b/>
          <w:bCs/>
        </w:rPr>
        <w:t xml:space="preserve">Warning: </w:t>
      </w:r>
      <w:r>
        <w:t xml:space="preserve">The use of this Austroads test method may involve hazardous materials, operations and equipment. </w:t>
      </w:r>
      <w:r w:rsidR="00AC3FF0">
        <w:t xml:space="preserve"> </w:t>
      </w:r>
      <w:r>
        <w:t xml:space="preserve">This Austroads test method does not purport to address the safety requirements associated with its use. </w:t>
      </w:r>
      <w:r w:rsidR="00AC3FF0">
        <w:t xml:space="preserve"> </w:t>
      </w:r>
      <w:r>
        <w:t>It is the responsibility of the user of this Austroads test method to establish appropriate work health and safety practices and determine the applicability of regulatory limitations prior to use.</w:t>
      </w:r>
    </w:p>
    <w:p w14:paraId="200C8319" w14:textId="77777777" w:rsidR="005C0049" w:rsidRDefault="007003A4" w:rsidP="001D7D7C">
      <w:pPr>
        <w:pStyle w:val="Heading1"/>
      </w:pPr>
      <w:bookmarkStart w:id="7" w:name="_INTRODUCTION"/>
      <w:bookmarkStart w:id="8" w:name="_Toc131221135"/>
      <w:bookmarkStart w:id="9" w:name="_Toc417301712"/>
      <w:bookmarkStart w:id="10" w:name="_Toc417301865"/>
      <w:bookmarkStart w:id="11" w:name="_Toc417301902"/>
      <w:bookmarkStart w:id="12" w:name="_Toc417301993"/>
      <w:bookmarkStart w:id="13" w:name="_Toc417302005"/>
      <w:bookmarkStart w:id="14" w:name="_Toc417302478"/>
      <w:bookmarkStart w:id="15" w:name="_Toc417302511"/>
      <w:bookmarkStart w:id="16" w:name="_Toc417302527"/>
      <w:bookmarkStart w:id="17" w:name="_Toc417302540"/>
      <w:bookmarkStart w:id="18" w:name="_Toc417302553"/>
      <w:bookmarkStart w:id="19" w:name="_Toc417302566"/>
      <w:bookmarkStart w:id="20" w:name="_Toc419709963"/>
      <w:bookmarkStart w:id="21" w:name="_Toc419710742"/>
      <w:bookmarkStart w:id="22" w:name="_Toc513546074"/>
      <w:bookmarkStart w:id="23" w:name="_Ref241385664"/>
      <w:bookmarkStart w:id="24" w:name="_Ref241385686"/>
      <w:bookmarkStart w:id="25" w:name="_Ref241385716"/>
      <w:bookmarkStart w:id="26" w:name="_Ref241385742"/>
      <w:bookmarkStart w:id="27" w:name="_Ref241385869"/>
      <w:bookmarkStart w:id="28" w:name="_Ref241385905"/>
      <w:bookmarkStart w:id="29" w:name="_Toc261610811"/>
      <w:bookmarkEnd w:id="7"/>
      <w:bookmarkEnd w:id="8"/>
      <w:r>
        <w:lastRenderedPageBreak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23"/>
    <w:bookmarkEnd w:id="24"/>
    <w:bookmarkEnd w:id="25"/>
    <w:bookmarkEnd w:id="26"/>
    <w:bookmarkEnd w:id="27"/>
    <w:bookmarkEnd w:id="28"/>
    <w:bookmarkEnd w:id="29"/>
    <w:p w14:paraId="1B0E1D0B" w14:textId="77777777" w:rsidR="003507B5" w:rsidRDefault="007003A4" w:rsidP="007003A4">
      <w:pPr>
        <w:pStyle w:val="Paragraph"/>
      </w:pPr>
      <w:r>
        <w:t>The following documents are referred to in this method: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68"/>
        <w:gridCol w:w="7671"/>
      </w:tblGrid>
      <w:tr w:rsidR="00426893" w:rsidRPr="007003A4" w14:paraId="01BA948D" w14:textId="77777777" w:rsidTr="00426893">
        <w:trPr>
          <w:cantSplit/>
          <w:tblHeader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8FA505" w14:textId="0BA7A01E" w:rsidR="00426893" w:rsidRPr="00426893" w:rsidRDefault="00426893" w:rsidP="00787AB9">
            <w:pPr>
              <w:pStyle w:val="Paragraph"/>
              <w:spacing w:before="60" w:after="60"/>
              <w:rPr>
                <w:b/>
              </w:rPr>
            </w:pPr>
            <w:r w:rsidRPr="00426893">
              <w:rPr>
                <w:b/>
              </w:rPr>
              <w:t>Austroads Test Method</w:t>
            </w:r>
          </w:p>
        </w:tc>
      </w:tr>
      <w:tr w:rsidR="007003A4" w14:paraId="76F6A2A6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6DE18FA1" w14:textId="001EB0A5" w:rsidR="007003A4" w:rsidRDefault="004842EC" w:rsidP="00787AB9">
            <w:pPr>
              <w:pStyle w:val="Paragraph"/>
              <w:spacing w:before="60" w:after="60"/>
            </w:pPr>
            <w:r w:rsidRPr="004842EC">
              <w:t>AGPT/T270</w:t>
            </w:r>
          </w:p>
        </w:tc>
        <w:tc>
          <w:tcPr>
            <w:tcW w:w="3979" w:type="pct"/>
            <w:shd w:val="clear" w:color="auto" w:fill="auto"/>
          </w:tcPr>
          <w:p w14:paraId="01500C5B" w14:textId="049A8191" w:rsidR="007003A4" w:rsidRPr="006841A0" w:rsidRDefault="0056306B" w:rsidP="00787AB9">
            <w:pPr>
              <w:pStyle w:val="Paragraph"/>
              <w:spacing w:before="60" w:after="60"/>
              <w:rPr>
                <w:i/>
              </w:rPr>
            </w:pPr>
            <w:r w:rsidRPr="0056306B">
              <w:rPr>
                <w:i/>
              </w:rPr>
              <w:t>Determination of Optimum Amount of Added Water for Bituminous Slurry (Consistency Test)</w:t>
            </w:r>
            <w:r w:rsidR="005D0D2E">
              <w:rPr>
                <w:i/>
              </w:rPr>
              <w:t>.</w:t>
            </w:r>
          </w:p>
        </w:tc>
      </w:tr>
      <w:tr w:rsidR="00426893" w14:paraId="3DED0173" w14:textId="77777777" w:rsidTr="00426893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E3D3A28" w14:textId="1805BC6B" w:rsidR="00426893" w:rsidRDefault="00426893" w:rsidP="00787AB9">
            <w:pPr>
              <w:pStyle w:val="Paragraph"/>
              <w:spacing w:before="60" w:after="60"/>
            </w:pPr>
            <w:r w:rsidRPr="00B3367E">
              <w:rPr>
                <w:b/>
                <w:w w:val="105"/>
              </w:rPr>
              <w:t>Australian Standards</w:t>
            </w:r>
          </w:p>
        </w:tc>
      </w:tr>
      <w:tr w:rsidR="00B01290" w14:paraId="552A300B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D517726" w14:textId="441BB7AB" w:rsidR="00B01290" w:rsidRDefault="00B01290" w:rsidP="00787AB9">
            <w:pPr>
              <w:pStyle w:val="Paragraph"/>
              <w:spacing w:before="60" w:after="60"/>
              <w:rPr>
                <w:w w:val="105"/>
              </w:rPr>
            </w:pPr>
            <w:r>
              <w:rPr>
                <w:w w:val="105"/>
              </w:rPr>
              <w:t>AS 1141.1</w:t>
            </w:r>
          </w:p>
        </w:tc>
        <w:tc>
          <w:tcPr>
            <w:tcW w:w="3979" w:type="pct"/>
            <w:shd w:val="clear" w:color="auto" w:fill="auto"/>
          </w:tcPr>
          <w:p w14:paraId="4954CC30" w14:textId="1D44B0F6" w:rsidR="00B01290" w:rsidRDefault="00B01290" w:rsidP="00787AB9">
            <w:pPr>
              <w:pStyle w:val="Paragraph"/>
              <w:spacing w:before="60" w:after="60"/>
              <w:rPr>
                <w:i/>
              </w:rPr>
            </w:pPr>
            <w:r>
              <w:rPr>
                <w:i/>
              </w:rPr>
              <w:t>Methods for sampling and testing aggregate</w:t>
            </w:r>
            <w:r w:rsidR="0056306B">
              <w:rPr>
                <w:i/>
              </w:rPr>
              <w:t>s</w:t>
            </w:r>
            <w:r>
              <w:rPr>
                <w:i/>
              </w:rPr>
              <w:t>: definitions.</w:t>
            </w:r>
          </w:p>
        </w:tc>
      </w:tr>
      <w:tr w:rsidR="009F10E2" w14:paraId="63896BC7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0FA881B" w14:textId="6A8C5968" w:rsidR="009F10E2" w:rsidRDefault="009F10E2" w:rsidP="00787AB9">
            <w:pPr>
              <w:pStyle w:val="Paragraph"/>
              <w:spacing w:before="60" w:after="60"/>
              <w:rPr>
                <w:w w:val="105"/>
              </w:rPr>
            </w:pPr>
            <w:r>
              <w:rPr>
                <w:w w:val="105"/>
              </w:rPr>
              <w:t>AS 1289.0</w:t>
            </w:r>
          </w:p>
        </w:tc>
        <w:tc>
          <w:tcPr>
            <w:tcW w:w="3979" w:type="pct"/>
            <w:shd w:val="clear" w:color="auto" w:fill="auto"/>
          </w:tcPr>
          <w:p w14:paraId="66444149" w14:textId="63D54A4A" w:rsidR="009F10E2" w:rsidRPr="00D3619A" w:rsidRDefault="009F10E2" w:rsidP="00787AB9">
            <w:pPr>
              <w:pStyle w:val="Paragraph"/>
              <w:spacing w:before="60" w:after="60"/>
              <w:rPr>
                <w:i/>
              </w:rPr>
            </w:pPr>
            <w:r>
              <w:rPr>
                <w:i/>
              </w:rPr>
              <w:t>Methods of testing soils for engineering purposes: definitions and general requirements.</w:t>
            </w:r>
          </w:p>
        </w:tc>
      </w:tr>
      <w:tr w:rsidR="00426893" w14:paraId="61A662CB" w14:textId="77777777" w:rsidTr="00426893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56E31B97" w14:textId="20B06079" w:rsidR="00426893" w:rsidRPr="00426893" w:rsidRDefault="00426893" w:rsidP="00787AB9">
            <w:pPr>
              <w:pStyle w:val="Paragraph"/>
              <w:tabs>
                <w:tab w:val="left" w:pos="1951"/>
              </w:tabs>
              <w:spacing w:before="60" w:after="60"/>
              <w:rPr>
                <w:b/>
                <w:w w:val="105"/>
              </w:rPr>
            </w:pPr>
            <w:r w:rsidRPr="00B3367E">
              <w:rPr>
                <w:b/>
                <w:w w:val="105"/>
              </w:rPr>
              <w:t>International Slurry Surfacing Association</w:t>
            </w:r>
          </w:p>
        </w:tc>
      </w:tr>
      <w:tr w:rsidR="00426893" w14:paraId="53191549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3B2384AB" w14:textId="42B7ED07" w:rsidR="00426893" w:rsidRDefault="00426893" w:rsidP="00787AB9">
            <w:pPr>
              <w:pStyle w:val="Paragraph"/>
              <w:spacing w:before="60" w:after="60"/>
              <w:rPr>
                <w:w w:val="105"/>
              </w:rPr>
            </w:pPr>
            <w:r w:rsidRPr="00F12FAC">
              <w:rPr>
                <w:w w:val="105"/>
              </w:rPr>
              <w:t>ISSA TB100</w:t>
            </w:r>
            <w:r w:rsidR="00982DC7">
              <w:rPr>
                <w:w w:val="105"/>
              </w:rPr>
              <w:t>-2017</w:t>
            </w:r>
          </w:p>
        </w:tc>
        <w:tc>
          <w:tcPr>
            <w:tcW w:w="3979" w:type="pct"/>
            <w:shd w:val="clear" w:color="auto" w:fill="auto"/>
          </w:tcPr>
          <w:p w14:paraId="5CA578D3" w14:textId="455A33AB" w:rsidR="00426893" w:rsidRDefault="002E4E8C" w:rsidP="00787AB9">
            <w:pPr>
              <w:pStyle w:val="Paragraph"/>
              <w:spacing w:before="60" w:after="60"/>
              <w:rPr>
                <w:w w:val="105"/>
              </w:rPr>
            </w:pPr>
            <w:r>
              <w:rPr>
                <w:i/>
                <w:w w:val="105"/>
              </w:rPr>
              <w:t>Laboratory test method for w</w:t>
            </w:r>
            <w:r w:rsidR="00426893" w:rsidRPr="00D3619A">
              <w:rPr>
                <w:i/>
                <w:w w:val="105"/>
              </w:rPr>
              <w:t xml:space="preserve">et track abrasion </w:t>
            </w:r>
            <w:r>
              <w:rPr>
                <w:i/>
                <w:w w:val="105"/>
              </w:rPr>
              <w:t xml:space="preserve">of </w:t>
            </w:r>
            <w:r w:rsidR="00426893" w:rsidRPr="00D3619A">
              <w:rPr>
                <w:i/>
                <w:w w:val="105"/>
              </w:rPr>
              <w:t>slurry s</w:t>
            </w:r>
            <w:r>
              <w:rPr>
                <w:i/>
                <w:w w:val="105"/>
              </w:rPr>
              <w:t>urfacing systems</w:t>
            </w:r>
            <w:r w:rsidR="00426893">
              <w:rPr>
                <w:i/>
                <w:w w:val="105"/>
              </w:rPr>
              <w:t>.</w:t>
            </w:r>
          </w:p>
        </w:tc>
      </w:tr>
    </w:tbl>
    <w:p w14:paraId="04527B2C" w14:textId="77777777" w:rsidR="0080586D" w:rsidRDefault="0080586D" w:rsidP="001D7D7C">
      <w:pPr>
        <w:pStyle w:val="Heading1"/>
      </w:pPr>
      <w:bookmarkStart w:id="30" w:name="_Toc419709965"/>
      <w:bookmarkStart w:id="31" w:name="_Toc419710744"/>
      <w:bookmarkStart w:id="32" w:name="_Toc513546075"/>
      <w:r>
        <w:t>Equipment</w:t>
      </w:r>
      <w:bookmarkEnd w:id="30"/>
      <w:bookmarkEnd w:id="31"/>
      <w:bookmarkEnd w:id="32"/>
    </w:p>
    <w:p w14:paraId="6B4BFECE" w14:textId="77777777" w:rsidR="004842EC" w:rsidRDefault="004842EC" w:rsidP="00787AB9">
      <w:pPr>
        <w:pStyle w:val="Para66ptspaceafter"/>
      </w:pPr>
      <w:r>
        <w:t>The following apparatus is required:</w:t>
      </w:r>
    </w:p>
    <w:p w14:paraId="5D7B0B09" w14:textId="1F64AE11" w:rsidR="004842EC" w:rsidRDefault="004842EC" w:rsidP="00787AB9">
      <w:pPr>
        <w:pStyle w:val="NumberedList"/>
        <w:spacing w:line="240" w:lineRule="atLeast"/>
      </w:pPr>
      <w:r>
        <w:t>Balance of sufficient capacity (2</w:t>
      </w:r>
      <w:r w:rsidR="00787AB9">
        <w:t> </w:t>
      </w:r>
      <w:r>
        <w:t xml:space="preserve">kg or greater) with a limit of performance not </w:t>
      </w:r>
      <w:r w:rsidR="001E67F0">
        <w:t xml:space="preserve">exceeding </w:t>
      </w:r>
      <w:r>
        <w:t>±</w:t>
      </w:r>
      <w:r w:rsidR="00787AB9">
        <w:t> </w:t>
      </w:r>
      <w:r>
        <w:t>0.</w:t>
      </w:r>
      <w:r w:rsidR="00C75583">
        <w:t>1</w:t>
      </w:r>
      <w:r w:rsidR="00787AB9">
        <w:t> </w:t>
      </w:r>
      <w:r>
        <w:t>g.</w:t>
      </w:r>
    </w:p>
    <w:p w14:paraId="54634F2E" w14:textId="4E189DD9" w:rsidR="00F12FAC" w:rsidRDefault="001E67F0" w:rsidP="00787AB9">
      <w:pPr>
        <w:pStyle w:val="NumberedList"/>
        <w:spacing w:line="240" w:lineRule="atLeast"/>
      </w:pPr>
      <w:r>
        <w:t xml:space="preserve">A planetary-type mechanical mixer </w:t>
      </w:r>
      <w:r w:rsidR="00913FBD">
        <w:t xml:space="preserve">equivalent to </w:t>
      </w:r>
      <w:r w:rsidR="007D64D8">
        <w:t>Hobart mixer Model C-100, A-120 or N</w:t>
      </w:r>
      <w:r w:rsidR="00AC3FF0">
        <w:noBreakHyphen/>
      </w:r>
      <w:r w:rsidR="007D64D8">
        <w:t xml:space="preserve">50 (including modified model). </w:t>
      </w:r>
      <w:r w:rsidR="00AC3FF0">
        <w:t xml:space="preserve"> </w:t>
      </w:r>
      <w:r w:rsidR="007D64D8">
        <w:t>The m</w:t>
      </w:r>
      <w:r w:rsidR="00FF0745">
        <w:t xml:space="preserve">ixer shall </w:t>
      </w:r>
      <w:r w:rsidR="00C850EC">
        <w:t>be equipped</w:t>
      </w:r>
      <w:r w:rsidR="004842EC">
        <w:t xml:space="preserve"> with an abrasion head of mass of 2.27</w:t>
      </w:r>
      <w:r w:rsidR="00787AB9">
        <w:t> </w:t>
      </w:r>
      <w:r w:rsidR="004842EC">
        <w:t>kg, quick</w:t>
      </w:r>
      <w:r w:rsidR="00AC3FF0">
        <w:noBreakHyphen/>
      </w:r>
      <w:r w:rsidR="004842EC">
        <w:t>clamp mounting plate and flat bottom metal pan</w:t>
      </w:r>
      <w:r w:rsidR="00812D90">
        <w:t xml:space="preserve"> with a diameter </w:t>
      </w:r>
      <w:r w:rsidR="00C850EC">
        <w:t>of approximately</w:t>
      </w:r>
      <w:r w:rsidR="00812D90">
        <w:t xml:space="preserve"> 330</w:t>
      </w:r>
      <w:r w:rsidR="00787AB9">
        <w:t> </w:t>
      </w:r>
      <w:r w:rsidR="00812D90">
        <w:t>mm.</w:t>
      </w:r>
      <w:r w:rsidR="00913FBD" w:rsidRPr="00913FBD">
        <w:t xml:space="preserve"> </w:t>
      </w:r>
      <w:r w:rsidR="00AC3FF0">
        <w:t xml:space="preserve"> </w:t>
      </w:r>
      <w:r w:rsidR="00913FBD" w:rsidRPr="00913FBD">
        <w:t xml:space="preserve">A </w:t>
      </w:r>
      <w:r w:rsidR="00913FBD">
        <w:t xml:space="preserve">mixer </w:t>
      </w:r>
      <w:r w:rsidR="00913FBD" w:rsidRPr="00913FBD">
        <w:t>a</w:t>
      </w:r>
      <w:r w:rsidR="00C2664E">
        <w:t>nd associated parts a</w:t>
      </w:r>
      <w:r w:rsidR="00913FBD" w:rsidRPr="00913FBD">
        <w:t xml:space="preserve">s </w:t>
      </w:r>
      <w:r w:rsidR="00C2664E">
        <w:t xml:space="preserve">described in Clause 5.2 of </w:t>
      </w:r>
      <w:r w:rsidR="00913FBD">
        <w:t>ISSA TB100-2017</w:t>
      </w:r>
      <w:r w:rsidR="00913FBD" w:rsidRPr="00913FBD">
        <w:t xml:space="preserve"> ha</w:t>
      </w:r>
      <w:r w:rsidR="00031C52">
        <w:t>ve</w:t>
      </w:r>
      <w:r w:rsidR="00913FBD" w:rsidRPr="00913FBD">
        <w:t xml:space="preserve"> been found to be suitable.</w:t>
      </w:r>
    </w:p>
    <w:p w14:paraId="00E17BAB" w14:textId="4F176F2E" w:rsidR="004842EC" w:rsidRDefault="00812D90" w:rsidP="00787AB9">
      <w:pPr>
        <w:pStyle w:val="NumberedList"/>
        <w:spacing w:line="240" w:lineRule="atLeast"/>
      </w:pPr>
      <w:r>
        <w:t xml:space="preserve">Mixing bowl </w:t>
      </w:r>
      <w:r w:rsidR="004A2ADD">
        <w:t xml:space="preserve">of appropriate size, </w:t>
      </w:r>
      <w:r>
        <w:t>made of non-corrosive metal.</w:t>
      </w:r>
    </w:p>
    <w:p w14:paraId="65520E6F" w14:textId="46F82F49" w:rsidR="004842EC" w:rsidRDefault="004842EC" w:rsidP="00787AB9">
      <w:pPr>
        <w:pStyle w:val="NumberedList"/>
        <w:spacing w:line="240" w:lineRule="atLeast"/>
      </w:pPr>
      <w:r>
        <w:t>Long-handled mixing spoon of sufficient length to project 100</w:t>
      </w:r>
      <w:r w:rsidR="00787AB9">
        <w:t> </w:t>
      </w:r>
      <w:r>
        <w:t>mm or more out of the mixing bowl during mixing.</w:t>
      </w:r>
    </w:p>
    <w:p w14:paraId="1800A4D3" w14:textId="3BFD9D60" w:rsidR="004842EC" w:rsidRDefault="004842EC" w:rsidP="00787AB9">
      <w:pPr>
        <w:pStyle w:val="NumberedList"/>
        <w:spacing w:line="240" w:lineRule="atLeast"/>
      </w:pPr>
      <w:r>
        <w:t>Felt discs, approximately 290</w:t>
      </w:r>
      <w:r w:rsidR="00787AB9">
        <w:t> </w:t>
      </w:r>
      <w:r>
        <w:t xml:space="preserve">mm </w:t>
      </w:r>
      <w:r w:rsidR="00787AB9">
        <w:t xml:space="preserve">in </w:t>
      </w:r>
      <w:r>
        <w:t>diameter cut from</w:t>
      </w:r>
      <w:r w:rsidR="00F12FAC">
        <w:t xml:space="preserve"> heavyweight</w:t>
      </w:r>
      <w:r>
        <w:t xml:space="preserve"> roofing felt or damp course felt.</w:t>
      </w:r>
    </w:p>
    <w:p w14:paraId="6BBFF230" w14:textId="29B060E1" w:rsidR="004842EC" w:rsidRDefault="004842EC" w:rsidP="00787AB9">
      <w:pPr>
        <w:pStyle w:val="NumberedList"/>
        <w:spacing w:after="60" w:line="240" w:lineRule="atLeast"/>
      </w:pPr>
      <w:r>
        <w:t>Specimen moulds, 7</w:t>
      </w:r>
      <w:r w:rsidR="00787AB9">
        <w:t> </w:t>
      </w:r>
      <w:r>
        <w:t>±</w:t>
      </w:r>
      <w:r w:rsidR="00787AB9">
        <w:t> </w:t>
      </w:r>
      <w:r>
        <w:t>0.2</w:t>
      </w:r>
      <w:r w:rsidR="00787AB9">
        <w:t> </w:t>
      </w:r>
      <w:r>
        <w:t>mm deep and inside diameter of 280</w:t>
      </w:r>
      <w:r w:rsidR="00787AB9">
        <w:t> </w:t>
      </w:r>
      <w:r>
        <w:t>±</w:t>
      </w:r>
      <w:r w:rsidR="00787AB9">
        <w:t> </w:t>
      </w:r>
      <w:r>
        <w:t>5</w:t>
      </w:r>
      <w:r w:rsidR="00787AB9">
        <w:t> </w:t>
      </w:r>
      <w:r>
        <w:t>mm.</w:t>
      </w:r>
    </w:p>
    <w:p w14:paraId="3DBB1CD7" w14:textId="5AD2F477" w:rsidR="004842EC" w:rsidRPr="006D7716" w:rsidRDefault="004842EC" w:rsidP="006D7716">
      <w:pPr>
        <w:pStyle w:val="NumberedList"/>
        <w:numPr>
          <w:ilvl w:val="0"/>
          <w:numId w:val="0"/>
        </w:numPr>
        <w:ind w:left="567"/>
        <w:rPr>
          <w:i/>
        </w:rPr>
      </w:pPr>
      <w:r w:rsidRPr="006D7716">
        <w:rPr>
          <w:i/>
        </w:rPr>
        <w:t>Note: A raised lip mould is preferred, but a flat surface poly</w:t>
      </w:r>
      <w:r w:rsidR="0056306B" w:rsidRPr="006D7716">
        <w:rPr>
          <w:i/>
        </w:rPr>
        <w:t>(</w:t>
      </w:r>
      <w:r w:rsidRPr="006D7716">
        <w:rPr>
          <w:i/>
        </w:rPr>
        <w:t>methyl methacrylate</w:t>
      </w:r>
      <w:r w:rsidR="0056306B" w:rsidRPr="006D7716">
        <w:rPr>
          <w:i/>
        </w:rPr>
        <w:t>)</w:t>
      </w:r>
      <w:r w:rsidRPr="006D7716">
        <w:rPr>
          <w:i/>
        </w:rPr>
        <w:t xml:space="preserve"> mould </w:t>
      </w:r>
      <w:r w:rsidR="004A2ADD" w:rsidRPr="006D7716">
        <w:rPr>
          <w:i/>
        </w:rPr>
        <w:t>can also be</w:t>
      </w:r>
      <w:r w:rsidR="00787AB9" w:rsidRPr="006D7716">
        <w:rPr>
          <w:i/>
        </w:rPr>
        <w:t xml:space="preserve"> </w:t>
      </w:r>
      <w:r w:rsidR="004A2ADD" w:rsidRPr="006D7716">
        <w:rPr>
          <w:i/>
        </w:rPr>
        <w:t>used</w:t>
      </w:r>
      <w:r w:rsidRPr="006D7716">
        <w:rPr>
          <w:i/>
        </w:rPr>
        <w:t>.</w:t>
      </w:r>
    </w:p>
    <w:p w14:paraId="4E4E3241" w14:textId="54EC3903" w:rsidR="004842EC" w:rsidRDefault="004842EC" w:rsidP="00787AB9">
      <w:pPr>
        <w:pStyle w:val="NumberedList"/>
        <w:spacing w:line="240" w:lineRule="atLeast"/>
      </w:pPr>
      <w:r>
        <w:t>Strike-off tool, such as a 25</w:t>
      </w:r>
      <w:r w:rsidR="00787AB9">
        <w:t> </w:t>
      </w:r>
      <w:r>
        <w:t xml:space="preserve">mm diameter </w:t>
      </w:r>
      <w:r w:rsidR="004A2ADD">
        <w:sym w:font="Symbol" w:char="F0B4"/>
      </w:r>
      <w:r w:rsidR="006841A0">
        <w:t xml:space="preserve"> </w:t>
      </w:r>
      <w:r>
        <w:t>350</w:t>
      </w:r>
      <w:r w:rsidR="00787AB9">
        <w:t> </w:t>
      </w:r>
      <w:r>
        <w:t>mm long metal or wooden dowel or a mechanically</w:t>
      </w:r>
      <w:r w:rsidR="00AC3FF0">
        <w:noBreakHyphen/>
      </w:r>
      <w:r>
        <w:t>tracked one-pass squeegee.</w:t>
      </w:r>
    </w:p>
    <w:p w14:paraId="0D0DC026" w14:textId="0543346A" w:rsidR="009F10E2" w:rsidRDefault="004842EC" w:rsidP="00787AB9">
      <w:pPr>
        <w:pStyle w:val="NumberedList"/>
        <w:spacing w:after="60" w:line="240" w:lineRule="atLeast"/>
      </w:pPr>
      <w:r>
        <w:t xml:space="preserve">Drying oven, </w:t>
      </w:r>
      <w:r w:rsidR="009F10E2">
        <w:t>which satisfies the requirements of the drying ovens described in AS 1289.0</w:t>
      </w:r>
      <w:r w:rsidR="006709D6">
        <w:t xml:space="preserve"> and </w:t>
      </w:r>
      <w:r w:rsidR="00031C52">
        <w:t xml:space="preserve">is </w:t>
      </w:r>
      <w:r w:rsidR="006709D6">
        <w:t>also able to control to 60</w:t>
      </w:r>
      <w:r w:rsidR="00787AB9">
        <w:t> </w:t>
      </w:r>
      <w:r w:rsidR="006709D6">
        <w:rPr>
          <w:rFonts w:cs="Arial"/>
        </w:rPr>
        <w:t>±</w:t>
      </w:r>
      <w:r w:rsidR="00787AB9">
        <w:t> </w:t>
      </w:r>
      <w:r w:rsidR="006709D6">
        <w:t>3</w:t>
      </w:r>
      <w:r w:rsidR="00787AB9">
        <w:t> </w:t>
      </w:r>
      <w:r w:rsidR="006709D6">
        <w:rPr>
          <w:rFonts w:ascii="Calibri" w:hAnsi="Calibri" w:cs="Arial"/>
        </w:rPr>
        <w:t>°</w:t>
      </w:r>
      <w:r w:rsidR="006709D6">
        <w:t>C</w:t>
      </w:r>
      <w:r>
        <w:t>.</w:t>
      </w:r>
    </w:p>
    <w:p w14:paraId="28EAD2C3" w14:textId="50EDC616" w:rsidR="004842EC" w:rsidRDefault="009F10E2" w:rsidP="00787AB9">
      <w:pPr>
        <w:pStyle w:val="NumberedList"/>
        <w:numPr>
          <w:ilvl w:val="0"/>
          <w:numId w:val="0"/>
        </w:numPr>
        <w:spacing w:line="240" w:lineRule="atLeast"/>
        <w:ind w:left="567"/>
      </w:pPr>
      <w:r w:rsidRPr="009F10E2">
        <w:rPr>
          <w:i/>
        </w:rPr>
        <w:t>Note: A microwave oven for drying aggregate and filler may also be used</w:t>
      </w:r>
      <w:r>
        <w:t>.</w:t>
      </w:r>
      <w:r w:rsidR="004842EC">
        <w:t xml:space="preserve"> </w:t>
      </w:r>
    </w:p>
    <w:p w14:paraId="53A452F0" w14:textId="3E42846D" w:rsidR="004842EC" w:rsidRDefault="004842EC" w:rsidP="00787AB9">
      <w:pPr>
        <w:pStyle w:val="NumberedList"/>
        <w:spacing w:line="240" w:lineRule="atLeast"/>
      </w:pPr>
      <w:r>
        <w:t>Water bath capable of maintaining a temperature of 25 ± 1</w:t>
      </w:r>
      <w:r w:rsidR="005510B0">
        <w:t> </w:t>
      </w:r>
      <w:r>
        <w:t>°C.</w:t>
      </w:r>
    </w:p>
    <w:p w14:paraId="620EA1B2" w14:textId="03ACAFB2" w:rsidR="004842EC" w:rsidRDefault="004842EC" w:rsidP="00787AB9">
      <w:pPr>
        <w:pStyle w:val="NumberedList"/>
        <w:spacing w:line="240" w:lineRule="atLeast"/>
      </w:pPr>
      <w:r>
        <w:t>Lengths of reinforced rubber covered hose</w:t>
      </w:r>
      <w:r w:rsidR="00250B86">
        <w:t xml:space="preserve"> </w:t>
      </w:r>
      <w:r w:rsidR="005510B0">
        <w:t>that satisf</w:t>
      </w:r>
      <w:r w:rsidR="00250B86">
        <w:t>ies</w:t>
      </w:r>
      <w:r w:rsidR="005510B0">
        <w:t xml:space="preserve"> </w:t>
      </w:r>
      <w:r w:rsidR="001E1839">
        <w:t>the material and</w:t>
      </w:r>
      <w:r w:rsidR="00991F8D">
        <w:t xml:space="preserve"> </w:t>
      </w:r>
      <w:r w:rsidR="001E1839">
        <w:t>dimensional requirements of Clause</w:t>
      </w:r>
      <w:r w:rsidR="00AC3FF0">
        <w:t> </w:t>
      </w:r>
      <w:r w:rsidR="001E1839">
        <w:t xml:space="preserve">5.10 of </w:t>
      </w:r>
      <w:r w:rsidR="008533F8">
        <w:t>ISSA TB100</w:t>
      </w:r>
      <w:r w:rsidR="001E1839">
        <w:t>-2017</w:t>
      </w:r>
      <w:r>
        <w:t>.</w:t>
      </w:r>
    </w:p>
    <w:p w14:paraId="3F7440A4" w14:textId="77777777" w:rsidR="004842EC" w:rsidRDefault="004842EC" w:rsidP="00120C5D">
      <w:pPr>
        <w:pStyle w:val="NumberedLista12"/>
      </w:pPr>
      <w:r>
        <w:t>A suitable prop block or similar device to support the pan and mounting plate assembly during the test.</w:t>
      </w:r>
    </w:p>
    <w:p w14:paraId="3009E129" w14:textId="77777777" w:rsidR="004842EC" w:rsidRDefault="004842EC" w:rsidP="00447EAC">
      <w:pPr>
        <w:pStyle w:val="Heading1"/>
        <w:pageBreakBefore/>
      </w:pPr>
      <w:bookmarkStart w:id="33" w:name="_Toc513546076"/>
      <w:r>
        <w:lastRenderedPageBreak/>
        <w:t>Sample Preparation</w:t>
      </w:r>
      <w:bookmarkEnd w:id="33"/>
    </w:p>
    <w:p w14:paraId="060FA9AE" w14:textId="77777777" w:rsidR="004842EC" w:rsidRDefault="004842EC" w:rsidP="00787AB9">
      <w:pPr>
        <w:pStyle w:val="Para66ptspaceafter"/>
      </w:pPr>
      <w:r>
        <w:t>Test specimens shall be prepared as follows:</w:t>
      </w:r>
    </w:p>
    <w:p w14:paraId="21ED2C23" w14:textId="441FC207" w:rsidR="004842EC" w:rsidRDefault="002C1366" w:rsidP="00787AB9">
      <w:pPr>
        <w:pStyle w:val="NumberedList"/>
        <w:numPr>
          <w:ilvl w:val="0"/>
          <w:numId w:val="35"/>
        </w:numPr>
        <w:spacing w:line="240" w:lineRule="atLeast"/>
      </w:pPr>
      <w:r w:rsidRPr="002C1366">
        <w:t>Use a mix design reported in Austroads AGPT/T270</w:t>
      </w:r>
      <w:r w:rsidR="006B0DA5">
        <w:t>.</w:t>
      </w:r>
    </w:p>
    <w:p w14:paraId="22C30FD6" w14:textId="12DCF8C3" w:rsidR="003169C4" w:rsidRDefault="007334B9" w:rsidP="00787AB9">
      <w:pPr>
        <w:pStyle w:val="NumberedList"/>
        <w:numPr>
          <w:ilvl w:val="0"/>
          <w:numId w:val="35"/>
        </w:numPr>
        <w:spacing w:line="240" w:lineRule="atLeast"/>
      </w:pPr>
      <w:r>
        <w:t>D</w:t>
      </w:r>
      <w:r w:rsidRPr="007334B9">
        <w:t>ry the aggregate in a drying oven or microwave oven until constant mass is a</w:t>
      </w:r>
      <w:r>
        <w:t>chieved as defined in AS</w:t>
      </w:r>
      <w:r w:rsidR="006D7716">
        <w:t> </w:t>
      </w:r>
      <w:r>
        <w:t>1141.1.</w:t>
      </w:r>
      <w:r w:rsidR="004842EC">
        <w:t xml:space="preserve"> </w:t>
      </w:r>
      <w:r w:rsidR="00AC3FF0">
        <w:t xml:space="preserve"> </w:t>
      </w:r>
      <w:r w:rsidR="004842EC">
        <w:t>Remove the aggregate from the oven and allow to cool to room temperature.</w:t>
      </w:r>
    </w:p>
    <w:p w14:paraId="1FCA7742" w14:textId="1E4B65F0" w:rsidR="004842EC" w:rsidRDefault="004842EC" w:rsidP="00787AB9">
      <w:pPr>
        <w:pStyle w:val="NumberedList"/>
        <w:numPr>
          <w:ilvl w:val="0"/>
          <w:numId w:val="35"/>
        </w:numPr>
        <w:spacing w:line="240" w:lineRule="atLeast"/>
      </w:pPr>
      <w:r>
        <w:t>Weigh sufficient quantities of the individual components of the mix design to obtain a sample of about 1000</w:t>
      </w:r>
      <w:r w:rsidR="00787AB9">
        <w:t> </w:t>
      </w:r>
      <w:r>
        <w:t>g.</w:t>
      </w:r>
    </w:p>
    <w:p w14:paraId="354DD59A" w14:textId="2F4E0DF1" w:rsidR="004842EC" w:rsidRDefault="004842EC" w:rsidP="00787AB9">
      <w:pPr>
        <w:pStyle w:val="NumberedList"/>
        <w:numPr>
          <w:ilvl w:val="0"/>
          <w:numId w:val="35"/>
        </w:numPr>
        <w:spacing w:line="240" w:lineRule="atLeast"/>
      </w:pPr>
      <w:r>
        <w:t>Place the weighed aggregate and the filler into the mixing bowl.</w:t>
      </w:r>
      <w:r w:rsidR="00AC3FF0">
        <w:t xml:space="preserve"> </w:t>
      </w:r>
      <w:r>
        <w:t xml:space="preserve"> Using the spoon, mix for one minute or until uniformly distributed. </w:t>
      </w:r>
      <w:r w:rsidR="00AC3FF0">
        <w:t xml:space="preserve"> </w:t>
      </w:r>
      <w:r>
        <w:t xml:space="preserve">Add the predetermined mass of water and additive </w:t>
      </w:r>
      <w:r w:rsidR="000515FB">
        <w:t>(</w:t>
      </w:r>
      <w:r>
        <w:t>if required</w:t>
      </w:r>
      <w:r w:rsidR="000515FB">
        <w:t>)</w:t>
      </w:r>
      <w:r>
        <w:t xml:space="preserve"> and mix again for </w:t>
      </w:r>
      <w:r w:rsidR="00787AB9">
        <w:t>1</w:t>
      </w:r>
      <w:r>
        <w:t xml:space="preserve"> minute, or until all aggregate particles </w:t>
      </w:r>
      <w:r w:rsidR="00D16708">
        <w:t>appear</w:t>
      </w:r>
      <w:r w:rsidR="008533F8">
        <w:t xml:space="preserve"> </w:t>
      </w:r>
      <w:r>
        <w:t>uniformly wetted.</w:t>
      </w:r>
    </w:p>
    <w:p w14:paraId="06083862" w14:textId="342963C4" w:rsidR="004842EC" w:rsidRDefault="004842EC" w:rsidP="00787AB9">
      <w:pPr>
        <w:pStyle w:val="NumberedList"/>
        <w:numPr>
          <w:ilvl w:val="0"/>
          <w:numId w:val="35"/>
        </w:numPr>
        <w:spacing w:after="60" w:line="240" w:lineRule="atLeast"/>
      </w:pPr>
      <w:r>
        <w:t>Add the predetermined mass of bituminous emulsion and mix for a period of not less than 30</w:t>
      </w:r>
      <w:r w:rsidR="00AC3FF0">
        <w:t> </w:t>
      </w:r>
      <w:r>
        <w:t>seconds and not more than 3 minutes.</w:t>
      </w:r>
    </w:p>
    <w:p w14:paraId="0467CD5D" w14:textId="32E51751" w:rsidR="004842EC" w:rsidRDefault="004842EC" w:rsidP="00787AB9">
      <w:pPr>
        <w:pStyle w:val="NumberedList"/>
        <w:numPr>
          <w:ilvl w:val="0"/>
          <w:numId w:val="0"/>
        </w:numPr>
        <w:spacing w:line="240" w:lineRule="atLeast"/>
        <w:ind w:left="567"/>
      </w:pPr>
      <w:r w:rsidRPr="00120C5D">
        <w:rPr>
          <w:i/>
        </w:rPr>
        <w:t xml:space="preserve">Note: If excessive foaming is likely, mix slowly for the first 15 seconds, then increase </w:t>
      </w:r>
      <w:r w:rsidR="00787AB9">
        <w:rPr>
          <w:i/>
        </w:rPr>
        <w:t xml:space="preserve">the </w:t>
      </w:r>
      <w:r w:rsidRPr="00120C5D">
        <w:rPr>
          <w:i/>
        </w:rPr>
        <w:t xml:space="preserve">mixing rate for the remaining 15 seconds. </w:t>
      </w:r>
      <w:r w:rsidR="00AC3FF0">
        <w:rPr>
          <w:i/>
        </w:rPr>
        <w:t xml:space="preserve"> </w:t>
      </w:r>
      <w:r w:rsidR="002F10FD">
        <w:rPr>
          <w:i/>
        </w:rPr>
        <w:t>Slurry mixture</w:t>
      </w:r>
      <w:r w:rsidRPr="00120C5D">
        <w:rPr>
          <w:i/>
        </w:rPr>
        <w:t xml:space="preserve"> should be mixed and cast at 30 seconds and finished before breaking occurs, typically less than 60 seconds total working time</w:t>
      </w:r>
      <w:r>
        <w:t>.</w:t>
      </w:r>
    </w:p>
    <w:p w14:paraId="1D3E2062" w14:textId="19BC5259" w:rsidR="004842EC" w:rsidRDefault="004842EC" w:rsidP="00787AB9">
      <w:pPr>
        <w:pStyle w:val="NumberedList"/>
        <w:numPr>
          <w:ilvl w:val="0"/>
          <w:numId w:val="35"/>
        </w:numPr>
        <w:spacing w:line="240" w:lineRule="atLeast"/>
      </w:pPr>
      <w:r>
        <w:t>Centre the opening in the specimen mould on a felt disc.</w:t>
      </w:r>
      <w:r w:rsidR="00AC3FF0">
        <w:t xml:space="preserve"> </w:t>
      </w:r>
      <w:r>
        <w:t xml:space="preserve"> Immediately pour the slurry </w:t>
      </w:r>
      <w:r w:rsidR="002F10FD">
        <w:t xml:space="preserve">mixture </w:t>
      </w:r>
      <w:r>
        <w:t>onto the felt disc.</w:t>
      </w:r>
    </w:p>
    <w:p w14:paraId="736D20E5" w14:textId="62966B53" w:rsidR="004842EC" w:rsidRDefault="004842EC" w:rsidP="00787AB9">
      <w:pPr>
        <w:pStyle w:val="NumberedList"/>
        <w:numPr>
          <w:ilvl w:val="0"/>
          <w:numId w:val="35"/>
        </w:numPr>
        <w:spacing w:after="60" w:line="240" w:lineRule="atLeast"/>
      </w:pPr>
      <w:r>
        <w:t>Screed the slurry</w:t>
      </w:r>
      <w:r w:rsidR="002F10FD">
        <w:t xml:space="preserve"> mixture</w:t>
      </w:r>
      <w:r>
        <w:t xml:space="preserve"> level with the top of the mould with a minimum of manipulation </w:t>
      </w:r>
      <w:r w:rsidR="00D16708">
        <w:t>and</w:t>
      </w:r>
      <w:r w:rsidR="006B0DA5">
        <w:t xml:space="preserve"> d</w:t>
      </w:r>
      <w:r>
        <w:t>iscard excess material.</w:t>
      </w:r>
    </w:p>
    <w:p w14:paraId="3C93F477" w14:textId="30012FF0" w:rsidR="00D16708" w:rsidRPr="00120C5D" w:rsidRDefault="00D16708" w:rsidP="00787AB9">
      <w:pPr>
        <w:pStyle w:val="NumberedList"/>
        <w:numPr>
          <w:ilvl w:val="0"/>
          <w:numId w:val="0"/>
        </w:numPr>
        <w:spacing w:line="240" w:lineRule="atLeast"/>
        <w:ind w:left="567"/>
        <w:rPr>
          <w:i/>
        </w:rPr>
      </w:pPr>
      <w:r w:rsidRPr="00120C5D">
        <w:rPr>
          <w:i/>
        </w:rPr>
        <w:t xml:space="preserve">Note: </w:t>
      </w:r>
      <w:r w:rsidR="000515FB">
        <w:rPr>
          <w:i/>
        </w:rPr>
        <w:t>E</w:t>
      </w:r>
      <w:r w:rsidRPr="00120C5D">
        <w:rPr>
          <w:i/>
        </w:rPr>
        <w:t>xcessive working may contribute to segregation.</w:t>
      </w:r>
    </w:p>
    <w:p w14:paraId="13165C10" w14:textId="69794410" w:rsidR="004842EC" w:rsidRDefault="00D16708" w:rsidP="00787AB9">
      <w:pPr>
        <w:pStyle w:val="NumberedList"/>
        <w:numPr>
          <w:ilvl w:val="0"/>
          <w:numId w:val="35"/>
        </w:numPr>
        <w:spacing w:line="240" w:lineRule="atLeast"/>
      </w:pPr>
      <w:r>
        <w:t>R</w:t>
      </w:r>
      <w:r w:rsidRPr="00D16708">
        <w:t>emove the mould without disturbing the casting</w:t>
      </w:r>
      <w:r w:rsidR="007256FC">
        <w:t>.</w:t>
      </w:r>
      <w:r w:rsidR="00AC3FF0">
        <w:t xml:space="preserve"> </w:t>
      </w:r>
      <w:r w:rsidR="007256FC">
        <w:t xml:space="preserve"> P</w:t>
      </w:r>
      <w:r w:rsidRPr="00D16708">
        <w:t>lace the specimen in the drying oven at 60</w:t>
      </w:r>
      <w:r w:rsidR="00787AB9">
        <w:t> </w:t>
      </w:r>
      <w:r w:rsidRPr="00D16708">
        <w:t>°C and dry to constant mass</w:t>
      </w:r>
      <w:r w:rsidR="004842EC">
        <w:t xml:space="preserve"> </w:t>
      </w:r>
      <w:r w:rsidR="006709D6">
        <w:t>as defined in AS 1141.1</w:t>
      </w:r>
      <w:r w:rsidR="000515FB">
        <w:t>.</w:t>
      </w:r>
      <w:r w:rsidR="00AC3FF0">
        <w:t xml:space="preserve"> </w:t>
      </w:r>
      <w:r w:rsidR="000515FB">
        <w:t xml:space="preserve"> </w:t>
      </w:r>
      <w:r w:rsidR="009A4F6F">
        <w:t xml:space="preserve">If the exposed felt edge curls during oven drying, the </w:t>
      </w:r>
      <w:r w:rsidR="004842EC">
        <w:t xml:space="preserve">edge </w:t>
      </w:r>
      <w:r w:rsidR="009A4F6F">
        <w:t xml:space="preserve">can </w:t>
      </w:r>
      <w:r w:rsidR="004842EC">
        <w:t>be weighted down (</w:t>
      </w:r>
      <w:r w:rsidR="009A4F6F">
        <w:t xml:space="preserve">e.g. by using </w:t>
      </w:r>
      <w:r w:rsidR="004842EC">
        <w:t>a 285 mm diameter steel ring) to prevent the specimen from curling.</w:t>
      </w:r>
    </w:p>
    <w:p w14:paraId="5BD69BB1" w14:textId="5BC81628" w:rsidR="004842EC" w:rsidRPr="004842EC" w:rsidRDefault="004842EC" w:rsidP="006D7716">
      <w:pPr>
        <w:pStyle w:val="NumberedLista12"/>
      </w:pPr>
      <w:r>
        <w:t>Allow the dried specimen to cool to room temperature and determine its mass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nor/>
              </m:rPr>
              <w:rPr>
                <w:rFonts w:cs="Arial"/>
              </w:rPr>
              <m:t>m</m:t>
            </m:r>
          </m:e>
          <m:sub>
            <m:r>
              <m:rPr>
                <m:nor/>
              </m:rPr>
              <w:rPr>
                <w:rFonts w:cs="Arial"/>
              </w:rPr>
              <m:t>1</m:t>
            </m:r>
          </m:sub>
        </m:sSub>
      </m:oMath>
      <w:r>
        <w:t>)</w:t>
      </w:r>
      <w:r w:rsidR="00C850EC">
        <w:t>.</w:t>
      </w:r>
    </w:p>
    <w:p w14:paraId="531FB2E3" w14:textId="77777777" w:rsidR="0053443C" w:rsidRDefault="0080586D" w:rsidP="001D7D7C">
      <w:pPr>
        <w:pStyle w:val="Heading1"/>
      </w:pPr>
      <w:bookmarkStart w:id="34" w:name="_Toc419709969"/>
      <w:bookmarkStart w:id="35" w:name="_Toc419710748"/>
      <w:bookmarkStart w:id="36" w:name="_Toc513546077"/>
      <w:r>
        <w:t>Procedure</w:t>
      </w:r>
      <w:bookmarkEnd w:id="34"/>
      <w:bookmarkEnd w:id="35"/>
      <w:bookmarkEnd w:id="36"/>
    </w:p>
    <w:p w14:paraId="021E834A" w14:textId="77777777" w:rsidR="004D3590" w:rsidRDefault="004D3590" w:rsidP="00787AB9">
      <w:pPr>
        <w:pStyle w:val="Para66ptspaceafter"/>
      </w:pPr>
      <w:r>
        <w:t>The procedure shall be as follows:</w:t>
      </w:r>
    </w:p>
    <w:p w14:paraId="207B637A" w14:textId="46DB9AAF" w:rsidR="006A2E90" w:rsidRDefault="006A2E90" w:rsidP="00787AB9">
      <w:pPr>
        <w:pStyle w:val="NumberedList"/>
        <w:numPr>
          <w:ilvl w:val="0"/>
          <w:numId w:val="36"/>
        </w:numPr>
        <w:spacing w:after="60" w:line="240" w:lineRule="atLeast"/>
      </w:pPr>
      <w:bookmarkStart w:id="37" w:name="_Ref497993111"/>
      <w:r>
        <w:t>Place the specimen in the 25</w:t>
      </w:r>
      <w:r w:rsidR="00787AB9">
        <w:t> </w:t>
      </w:r>
      <w:r>
        <w:t xml:space="preserve">°C water bath </w:t>
      </w:r>
      <w:r w:rsidR="00EA63F9">
        <w:t xml:space="preserve">and submerge </w:t>
      </w:r>
      <w:r>
        <w:t>for at least 60 minutes but not exceeding 75</w:t>
      </w:r>
      <w:r w:rsidR="00AC3FF0">
        <w:t> </w:t>
      </w:r>
      <w:r>
        <w:t>minutes.</w:t>
      </w:r>
      <w:bookmarkEnd w:id="37"/>
    </w:p>
    <w:p w14:paraId="38A3FAAB" w14:textId="50C999C0" w:rsidR="006A2E90" w:rsidRDefault="006A2E90" w:rsidP="00787AB9">
      <w:pPr>
        <w:pStyle w:val="NumberedList"/>
        <w:numPr>
          <w:ilvl w:val="0"/>
          <w:numId w:val="0"/>
        </w:numPr>
        <w:spacing w:line="240" w:lineRule="atLeast"/>
        <w:ind w:left="567"/>
      </w:pPr>
      <w:r w:rsidRPr="00120C5D">
        <w:rPr>
          <w:i/>
        </w:rPr>
        <w:t xml:space="preserve">Note: The water in the water bath shall be </w:t>
      </w:r>
      <w:r w:rsidR="008C44C7">
        <w:rPr>
          <w:i/>
        </w:rPr>
        <w:t xml:space="preserve">replaced </w:t>
      </w:r>
      <w:r w:rsidRPr="00120C5D">
        <w:rPr>
          <w:i/>
        </w:rPr>
        <w:t>for each test or set of tests</w:t>
      </w:r>
      <w:r>
        <w:t>.</w:t>
      </w:r>
    </w:p>
    <w:p w14:paraId="679F52AC" w14:textId="71CA0A35" w:rsidR="004D3590" w:rsidRDefault="004D3590" w:rsidP="00787AB9">
      <w:pPr>
        <w:pStyle w:val="NumberedList"/>
        <w:spacing w:after="60" w:line="240" w:lineRule="atLeast"/>
      </w:pPr>
      <w:r>
        <w:t xml:space="preserve">Lock the rubber hose abrasion head on the shaft of the mixing machine. </w:t>
      </w:r>
      <w:r w:rsidR="00AC3FF0">
        <w:t xml:space="preserve"> </w:t>
      </w:r>
      <w:r>
        <w:t>A new hose shall be used for each test.</w:t>
      </w:r>
    </w:p>
    <w:p w14:paraId="66337171" w14:textId="3728FD3B" w:rsidR="004D3590" w:rsidRPr="00120C5D" w:rsidRDefault="004D3590" w:rsidP="00787AB9">
      <w:pPr>
        <w:pStyle w:val="NumberedList"/>
        <w:numPr>
          <w:ilvl w:val="0"/>
          <w:numId w:val="0"/>
        </w:numPr>
        <w:spacing w:line="240" w:lineRule="atLeast"/>
        <w:ind w:left="567"/>
        <w:rPr>
          <w:i/>
        </w:rPr>
      </w:pPr>
      <w:r w:rsidRPr="00120C5D">
        <w:rPr>
          <w:i/>
        </w:rPr>
        <w:t>Note: It is permissible to rotate the hose after each test run to expose a fresh section of hose surface for the next test (maximum of four tests per hose).</w:t>
      </w:r>
    </w:p>
    <w:p w14:paraId="7E6AE6EA" w14:textId="01228842" w:rsidR="004D3590" w:rsidRDefault="006A2E90" w:rsidP="00787AB9">
      <w:pPr>
        <w:pStyle w:val="NumberedList"/>
        <w:numPr>
          <w:ilvl w:val="0"/>
          <w:numId w:val="36"/>
        </w:numPr>
        <w:spacing w:line="240" w:lineRule="atLeast"/>
      </w:pPr>
      <w:r>
        <w:t xml:space="preserve">Transfer the specimen from the water bath to </w:t>
      </w:r>
      <w:r w:rsidR="004D3590">
        <w:t xml:space="preserve">the flat bottom pan. </w:t>
      </w:r>
      <w:r w:rsidR="00AC3FF0">
        <w:t xml:space="preserve"> </w:t>
      </w:r>
      <w:r w:rsidR="004D3590">
        <w:t>Clamp the specimen to the pan and mounting plate by tightening the quick release clamps.</w:t>
      </w:r>
      <w:r w:rsidR="00AC3FF0">
        <w:t xml:space="preserve"> </w:t>
      </w:r>
      <w:r w:rsidR="004D3590">
        <w:t xml:space="preserve"> Ensure that the specimen is properly centred and that the rubber hose will not run close to the edge.</w:t>
      </w:r>
    </w:p>
    <w:p w14:paraId="66299BE9" w14:textId="5CF0B01B" w:rsidR="004D3590" w:rsidRDefault="00EA63F9" w:rsidP="00787AB9">
      <w:pPr>
        <w:pStyle w:val="NumberedList"/>
        <w:numPr>
          <w:ilvl w:val="0"/>
          <w:numId w:val="36"/>
        </w:numPr>
        <w:spacing w:line="240" w:lineRule="atLeast"/>
      </w:pPr>
      <w:r>
        <w:t xml:space="preserve">Take </w:t>
      </w:r>
      <w:r w:rsidR="00E844F4">
        <w:t xml:space="preserve">sufficient </w:t>
      </w:r>
      <w:r>
        <w:t xml:space="preserve">amount of </w:t>
      </w:r>
      <w:r w:rsidR="004D3590">
        <w:t xml:space="preserve">water </w:t>
      </w:r>
      <w:r>
        <w:t xml:space="preserve">from the </w:t>
      </w:r>
      <w:r w:rsidR="004D3590">
        <w:t>25</w:t>
      </w:r>
      <w:r w:rsidR="00787AB9">
        <w:t> </w:t>
      </w:r>
      <w:r w:rsidR="004D3590">
        <w:t xml:space="preserve">°C </w:t>
      </w:r>
      <w:r>
        <w:t xml:space="preserve">water bath and fill up </w:t>
      </w:r>
      <w:r w:rsidR="004D3590">
        <w:t xml:space="preserve">the pan to </w:t>
      </w:r>
      <w:r w:rsidR="00720CC8">
        <w:t xml:space="preserve">submerge </w:t>
      </w:r>
      <w:r w:rsidR="004D3590">
        <w:t>the specimen to a minimum depth of 6</w:t>
      </w:r>
      <w:r w:rsidR="00787AB9">
        <w:t> </w:t>
      </w:r>
      <w:r w:rsidR="004D3590">
        <w:t>mm.</w:t>
      </w:r>
    </w:p>
    <w:p w14:paraId="654F320D" w14:textId="24D1F377" w:rsidR="004D3590" w:rsidRDefault="004D3590" w:rsidP="00787AB9">
      <w:pPr>
        <w:pStyle w:val="NumberedList"/>
        <w:numPr>
          <w:ilvl w:val="0"/>
          <w:numId w:val="36"/>
        </w:numPr>
        <w:spacing w:line="240" w:lineRule="atLeast"/>
      </w:pPr>
      <w:r>
        <w:t xml:space="preserve">Elevate the </w:t>
      </w:r>
      <w:r w:rsidR="00720CC8">
        <w:t xml:space="preserve">pan </w:t>
      </w:r>
      <w:r>
        <w:t xml:space="preserve">resting on the platform of the mixer until the rubber hose </w:t>
      </w:r>
      <w:r w:rsidR="00165336">
        <w:t xml:space="preserve">sits </w:t>
      </w:r>
      <w:r>
        <w:t xml:space="preserve">freely on the surface of the specimen. </w:t>
      </w:r>
      <w:r w:rsidR="00AC3FF0">
        <w:t xml:space="preserve"> </w:t>
      </w:r>
      <w:r w:rsidR="00720CC8">
        <w:t>If necessary, u</w:t>
      </w:r>
      <w:r>
        <w:t>se the prop block to support the platform assembly during testing.</w:t>
      </w:r>
    </w:p>
    <w:p w14:paraId="2A4018F5" w14:textId="24F5816B" w:rsidR="0053443C" w:rsidRDefault="004D3590" w:rsidP="006D7716">
      <w:pPr>
        <w:pStyle w:val="NumberedList"/>
      </w:pPr>
      <w:r>
        <w:t>Operate the mixer at its low</w:t>
      </w:r>
      <w:r w:rsidR="00932D3C">
        <w:t>est</w:t>
      </w:r>
      <w:r>
        <w:t xml:space="preserve"> speed setting for the time shown in </w:t>
      </w:r>
      <w:r w:rsidR="000A60CB">
        <w:fldChar w:fldCharType="begin"/>
      </w:r>
      <w:r w:rsidR="000A60CB">
        <w:instrText xml:space="preserve"> REF _Ref505770713 \h </w:instrText>
      </w:r>
      <w:r w:rsidR="000A60CB">
        <w:fldChar w:fldCharType="separate"/>
      </w:r>
      <w:r w:rsidR="00C430F8">
        <w:t xml:space="preserve">Table </w:t>
      </w:r>
      <w:r w:rsidR="00C430F8">
        <w:rPr>
          <w:noProof/>
        </w:rPr>
        <w:t>9</w:t>
      </w:r>
      <w:r w:rsidR="00C430F8">
        <w:t>.</w:t>
      </w:r>
      <w:r w:rsidR="00C430F8">
        <w:rPr>
          <w:noProof/>
        </w:rPr>
        <w:t>1</w:t>
      </w:r>
      <w:r w:rsidR="000A60CB">
        <w:fldChar w:fldCharType="end"/>
      </w:r>
      <w:r>
        <w:t>.</w:t>
      </w:r>
    </w:p>
    <w:p w14:paraId="780A289F" w14:textId="3A968AA4" w:rsidR="004D3590" w:rsidRPr="00447EAC" w:rsidRDefault="000A60CB" w:rsidP="00447EAC">
      <w:pPr>
        <w:pStyle w:val="TableCaption"/>
      </w:pPr>
      <w:bookmarkStart w:id="38" w:name="_Ref505770713"/>
      <w:r w:rsidRPr="00447EAC">
        <w:lastRenderedPageBreak/>
        <w:t xml:space="preserve">Table </w:t>
      </w:r>
      <w:r w:rsidR="00447EAC" w:rsidRPr="00447EAC">
        <w:fldChar w:fldCharType="begin"/>
      </w:r>
      <w:r w:rsidR="00447EAC" w:rsidRPr="00447EAC">
        <w:instrText xml:space="preserve"> Styleref 1 \s</w:instrText>
      </w:r>
      <w:r w:rsidR="00447EAC" w:rsidRPr="00447EAC">
        <w:instrText xml:space="preserve"> </w:instrText>
      </w:r>
      <w:r w:rsidR="00447EAC" w:rsidRPr="00447EAC">
        <w:fldChar w:fldCharType="separate"/>
      </w:r>
      <w:r w:rsidR="00C430F8" w:rsidRPr="00447EAC">
        <w:t>9</w:t>
      </w:r>
      <w:r w:rsidR="00447EAC" w:rsidRPr="00447EAC">
        <w:fldChar w:fldCharType="end"/>
      </w:r>
      <w:r w:rsidRPr="00447EAC">
        <w:t>.</w:t>
      </w:r>
      <w:r w:rsidR="00447EAC" w:rsidRPr="00447EAC">
        <w:fldChar w:fldCharType="begin"/>
      </w:r>
      <w:r w:rsidR="00447EAC" w:rsidRPr="00447EAC">
        <w:instrText xml:space="preserve"> SEQ Table \* ARABIC \s 1 </w:instrText>
      </w:r>
      <w:r w:rsidR="00447EAC" w:rsidRPr="00447EAC">
        <w:fldChar w:fldCharType="separate"/>
      </w:r>
      <w:r w:rsidR="00C430F8" w:rsidRPr="00447EAC">
        <w:t>1</w:t>
      </w:r>
      <w:r w:rsidR="00447EAC" w:rsidRPr="00447EAC">
        <w:fldChar w:fldCharType="end"/>
      </w:r>
      <w:bookmarkEnd w:id="38"/>
      <w:r w:rsidRPr="00447EAC">
        <w:t xml:space="preserve">:  </w:t>
      </w:r>
      <w:r w:rsidRPr="00447EAC">
        <w:tab/>
      </w:r>
      <w:r w:rsidR="004D3590" w:rsidRPr="00447EAC">
        <w:t>Operating times and conversion factors</w:t>
      </w:r>
    </w:p>
    <w:tbl>
      <w:tblPr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3852"/>
        <w:gridCol w:w="3257"/>
        <w:gridCol w:w="2514"/>
      </w:tblGrid>
      <w:tr w:rsidR="004D3590" w:rsidRPr="00447EAC" w14:paraId="68DEEE5F" w14:textId="77777777" w:rsidTr="00447EAC">
        <w:trPr>
          <w:cantSplit/>
          <w:tblHeader/>
        </w:trPr>
        <w:tc>
          <w:tcPr>
            <w:tcW w:w="3855" w:type="dxa"/>
            <w:shd w:val="clear" w:color="auto" w:fill="BFBFBF" w:themeFill="background1" w:themeFillShade="BF"/>
            <w:vAlign w:val="center"/>
          </w:tcPr>
          <w:p w14:paraId="38C54FC0" w14:textId="0CFAAE44" w:rsidR="004D3590" w:rsidRPr="00447EAC" w:rsidRDefault="00FB05D7" w:rsidP="00B95FF3">
            <w:pPr>
              <w:pStyle w:val="TableHeader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Mechanical mixer type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491597D" w14:textId="73C4EE3A" w:rsidR="004D3590" w:rsidRPr="00447EAC" w:rsidRDefault="004D3590" w:rsidP="00B95FF3">
            <w:pPr>
              <w:pStyle w:val="TableHeader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 xml:space="preserve">Operating </w:t>
            </w:r>
            <w:r w:rsidR="00DD53FA" w:rsidRPr="00447EAC">
              <w:rPr>
                <w:rFonts w:ascii="Arial" w:hAnsi="Arial" w:cs="Arial"/>
              </w:rPr>
              <w:t>t</w:t>
            </w:r>
            <w:r w:rsidRPr="00447EAC">
              <w:rPr>
                <w:rFonts w:ascii="Arial" w:hAnsi="Arial" w:cs="Arial"/>
              </w:rPr>
              <w:t>ime</w:t>
            </w:r>
            <w:r w:rsidR="00932D3C" w:rsidRPr="00447EAC">
              <w:rPr>
                <w:rFonts w:ascii="Arial" w:hAnsi="Arial" w:cs="Arial"/>
              </w:rPr>
              <w:t>,</w:t>
            </w:r>
            <w:r w:rsidRPr="00447EAC">
              <w:rPr>
                <w:rFonts w:ascii="Arial" w:hAnsi="Arial" w:cs="Arial"/>
              </w:rPr>
              <w:t xml:space="preserve"> </w:t>
            </w:r>
            <w:r w:rsidR="00932D3C" w:rsidRPr="00447EAC">
              <w:rPr>
                <w:rFonts w:ascii="Arial" w:hAnsi="Arial" w:cs="Arial"/>
              </w:rPr>
              <w:t>m</w:t>
            </w:r>
            <w:r w:rsidRPr="00447EAC">
              <w:rPr>
                <w:rFonts w:ascii="Arial" w:hAnsi="Arial" w:cs="Arial"/>
              </w:rPr>
              <w:t xml:space="preserve">ins and </w:t>
            </w:r>
            <w:r w:rsidR="00932D3C" w:rsidRPr="00447EAC">
              <w:rPr>
                <w:rFonts w:ascii="Arial" w:hAnsi="Arial" w:cs="Arial"/>
              </w:rPr>
              <w:t>s</w:t>
            </w:r>
            <w:r w:rsidRPr="00447EAC">
              <w:rPr>
                <w:rFonts w:ascii="Arial" w:hAnsi="Arial" w:cs="Arial"/>
              </w:rPr>
              <w:t>ec</w:t>
            </w:r>
            <w:r w:rsidR="00787AB9" w:rsidRPr="00447EAC">
              <w:rPr>
                <w:rFonts w:ascii="Arial" w:hAnsi="Arial" w:cs="Arial"/>
              </w:rPr>
              <w:t>onds</w:t>
            </w:r>
          </w:p>
        </w:tc>
        <w:tc>
          <w:tcPr>
            <w:tcW w:w="2516" w:type="dxa"/>
            <w:shd w:val="clear" w:color="auto" w:fill="BFBFBF" w:themeFill="background1" w:themeFillShade="BF"/>
            <w:vAlign w:val="center"/>
          </w:tcPr>
          <w:p w14:paraId="5722B0A1" w14:textId="48655D9B" w:rsidR="004D3590" w:rsidRPr="00447EAC" w:rsidRDefault="004D3590" w:rsidP="00B95FF3">
            <w:pPr>
              <w:pStyle w:val="TableHeader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 xml:space="preserve">Conversion </w:t>
            </w:r>
            <w:r w:rsidR="00DD53FA" w:rsidRPr="00447EAC">
              <w:rPr>
                <w:rFonts w:ascii="Arial" w:hAnsi="Arial" w:cs="Arial"/>
              </w:rPr>
              <w:t>f</w:t>
            </w:r>
            <w:r w:rsidRPr="00447EAC">
              <w:rPr>
                <w:rFonts w:ascii="Arial" w:hAnsi="Arial" w:cs="Arial"/>
              </w:rPr>
              <w:t>actor</w:t>
            </w:r>
            <w:r w:rsidR="00932D3C" w:rsidRPr="00447EAC">
              <w:rPr>
                <w:rFonts w:ascii="Arial" w:hAnsi="Arial" w:cs="Arial"/>
              </w:rPr>
              <w:t>,</w:t>
            </w:r>
            <w:r w:rsidR="00C850EC" w:rsidRPr="00447EAC">
              <w:rPr>
                <w:rFonts w:ascii="Arial" w:hAnsi="Arial" w:cs="Arial"/>
              </w:rPr>
              <w:t xml:space="preserve"> </w:t>
            </w:r>
            <w:r w:rsidR="00932D3C" w:rsidRPr="00447EAC">
              <w:rPr>
                <w:rFonts w:ascii="Arial" w:hAnsi="Arial" w:cs="Arial"/>
              </w:rPr>
              <w:t>m</w:t>
            </w:r>
            <w:r w:rsidR="00165336" w:rsidRPr="00447EAC">
              <w:rPr>
                <w:rFonts w:ascii="Arial" w:hAnsi="Arial" w:cs="Arial"/>
                <w:vertAlign w:val="superscript"/>
              </w:rPr>
              <w:t>-2</w:t>
            </w:r>
          </w:p>
        </w:tc>
      </w:tr>
      <w:tr w:rsidR="00BE7499" w:rsidRPr="00447EAC" w14:paraId="0C269980" w14:textId="77777777" w:rsidTr="00447EAC">
        <w:trPr>
          <w:cantSplit/>
        </w:trPr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33737E7F" w14:textId="7C9443C7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Hobart Model C-100 equivalent mixer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C8953E" w14:textId="51EB3F97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5 min ± 2 s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5A1253D3" w14:textId="55730C16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32.90</w:t>
            </w:r>
          </w:p>
        </w:tc>
      </w:tr>
      <w:tr w:rsidR="004D3590" w:rsidRPr="00447EAC" w14:paraId="2906D75A" w14:textId="77777777" w:rsidTr="00447EAC">
        <w:trPr>
          <w:cantSplit/>
        </w:trPr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4B6BA334" w14:textId="393194A3" w:rsidR="004D3590" w:rsidRPr="00447EAC" w:rsidRDefault="00FB05D7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 xml:space="preserve">Hobart </w:t>
            </w:r>
            <w:r w:rsidR="00BE7499" w:rsidRPr="00447EAC">
              <w:rPr>
                <w:rFonts w:ascii="Arial" w:hAnsi="Arial" w:cs="Arial"/>
              </w:rPr>
              <w:t xml:space="preserve">Model </w:t>
            </w:r>
            <w:r w:rsidRPr="00447EAC">
              <w:rPr>
                <w:rFonts w:ascii="Arial" w:hAnsi="Arial" w:cs="Arial"/>
              </w:rPr>
              <w:t>A-120</w:t>
            </w:r>
            <w:r w:rsidR="00BE7499" w:rsidRPr="00447EAC">
              <w:rPr>
                <w:rFonts w:ascii="Arial" w:hAnsi="Arial" w:cs="Arial"/>
              </w:rPr>
              <w:t xml:space="preserve"> equivalent mixer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60E2EB" w14:textId="1328A97C" w:rsidR="004D3590" w:rsidRPr="00447EAC" w:rsidRDefault="004D3590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6 min 45</w:t>
            </w:r>
            <w:r w:rsidR="00D16708" w:rsidRPr="00447EAC">
              <w:rPr>
                <w:rFonts w:ascii="Arial" w:hAnsi="Arial" w:cs="Arial"/>
              </w:rPr>
              <w:t xml:space="preserve"> s</w:t>
            </w:r>
            <w:r w:rsidRPr="00447EAC">
              <w:rPr>
                <w:rFonts w:ascii="Arial" w:hAnsi="Arial" w:cs="Arial"/>
              </w:rPr>
              <w:t xml:space="preserve"> ±</w:t>
            </w:r>
            <w:r w:rsidR="00932D3C" w:rsidRPr="00447EAC">
              <w:rPr>
                <w:rFonts w:ascii="Arial" w:hAnsi="Arial" w:cs="Arial"/>
              </w:rPr>
              <w:t xml:space="preserve"> </w:t>
            </w:r>
            <w:r w:rsidRPr="00447EAC">
              <w:rPr>
                <w:rFonts w:ascii="Arial" w:hAnsi="Arial" w:cs="Arial"/>
              </w:rPr>
              <w:t>2 s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4EEE5A31" w14:textId="785C5FC8" w:rsidR="004D3590" w:rsidRPr="00447EAC" w:rsidRDefault="00165336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 xml:space="preserve">34.98 </w:t>
            </w:r>
          </w:p>
        </w:tc>
      </w:tr>
      <w:tr w:rsidR="00BE7499" w:rsidRPr="00447EAC" w14:paraId="1FDBAF74" w14:textId="77777777" w:rsidTr="00447EAC">
        <w:trPr>
          <w:cantSplit/>
        </w:trPr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49BA5B29" w14:textId="7AA45B6F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Hobart Model N-50 equivalent mixer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D480C63" w14:textId="2FCEC485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5 min 15 s ± 2 s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200FF94D" w14:textId="2B65B6C0" w:rsidR="00BE7499" w:rsidRPr="00447EAC" w:rsidRDefault="00BE7499" w:rsidP="00B95FF3">
            <w:pPr>
              <w:pStyle w:val="TableFigureLeft"/>
              <w:keepNext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29.25</w:t>
            </w:r>
          </w:p>
        </w:tc>
      </w:tr>
      <w:tr w:rsidR="00BE7499" w:rsidRPr="00447EAC" w14:paraId="408133A5" w14:textId="77777777" w:rsidTr="00447EAC">
        <w:trPr>
          <w:cantSplit/>
        </w:trPr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53EBBA66" w14:textId="30E9C992" w:rsidR="00BE7499" w:rsidRPr="00447EAC" w:rsidRDefault="00BE7499" w:rsidP="006D7716">
            <w:pPr>
              <w:pStyle w:val="TableFigure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Hobart Model modified N-50 equivalent mixer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55AB38C" w14:textId="43130328" w:rsidR="00BE7499" w:rsidRPr="00447EAC" w:rsidRDefault="00BE7499" w:rsidP="006D7716">
            <w:pPr>
              <w:pStyle w:val="TableFigure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5 min 15 s ± 2 s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53A6C931" w14:textId="569BA26D" w:rsidR="00BE7499" w:rsidRPr="00447EAC" w:rsidRDefault="00BE7499" w:rsidP="006D7716">
            <w:pPr>
              <w:pStyle w:val="TableFigure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32.90</w:t>
            </w:r>
          </w:p>
        </w:tc>
      </w:tr>
    </w:tbl>
    <w:p w14:paraId="088D8693" w14:textId="0C7CF493" w:rsidR="004D3590" w:rsidRDefault="004D3590" w:rsidP="00447EAC">
      <w:pPr>
        <w:pStyle w:val="NumberedList"/>
        <w:keepNext/>
        <w:numPr>
          <w:ilvl w:val="0"/>
          <w:numId w:val="36"/>
        </w:numPr>
        <w:spacing w:before="360"/>
      </w:pPr>
      <w:r>
        <w:t xml:space="preserve">Remove the specimen from the pan after the abrasion cycle and wash off debris. </w:t>
      </w:r>
      <w:r w:rsidR="00AC3FF0">
        <w:t xml:space="preserve"> </w:t>
      </w:r>
      <w:r>
        <w:t>Place the washed test specimen in the 60</w:t>
      </w:r>
      <w:r w:rsidR="00AC3FF0">
        <w:t> </w:t>
      </w:r>
      <w:r>
        <w:t>°C oven and dry to constant mass</w:t>
      </w:r>
      <w:r w:rsidR="00B85634">
        <w:t xml:space="preserve"> as defined in AS 1141.1</w:t>
      </w:r>
      <w:r>
        <w:t>.</w:t>
      </w:r>
    </w:p>
    <w:p w14:paraId="38706C8D" w14:textId="667DC51C" w:rsidR="004D3590" w:rsidRDefault="004D3590" w:rsidP="00120C5D">
      <w:pPr>
        <w:pStyle w:val="NumberedLista12"/>
      </w:pPr>
      <w:r>
        <w:t>Determine the mass (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nor/>
              </m:rPr>
              <w:rPr>
                <w:rFonts w:cs="Arial"/>
              </w:rPr>
              <m:t>m</m:t>
            </m:r>
          </m:e>
          <m:sub>
            <m:r>
              <m:rPr>
                <m:nor/>
              </m:rPr>
              <w:rPr>
                <w:rFonts w:cs="Arial"/>
              </w:rPr>
              <m:t>2</m:t>
            </m:r>
          </m:sub>
        </m:sSub>
      </m:oMath>
      <w:r>
        <w:t>) of the specimen after abrasion.</w:t>
      </w:r>
    </w:p>
    <w:p w14:paraId="4C012B13" w14:textId="77777777" w:rsidR="0080586D" w:rsidRDefault="0080586D" w:rsidP="001D7D7C">
      <w:pPr>
        <w:pStyle w:val="Heading1"/>
      </w:pPr>
      <w:bookmarkStart w:id="39" w:name="_Toc419709970"/>
      <w:bookmarkStart w:id="40" w:name="_Toc419710749"/>
      <w:bookmarkStart w:id="41" w:name="_Toc513546078"/>
      <w:r>
        <w:t>Calculation</w:t>
      </w:r>
      <w:bookmarkEnd w:id="39"/>
      <w:bookmarkEnd w:id="40"/>
      <w:bookmarkEnd w:id="41"/>
    </w:p>
    <w:p w14:paraId="63DE472D" w14:textId="77777777" w:rsidR="00E52772" w:rsidRDefault="002B3ADB" w:rsidP="00120C5D">
      <w:pPr>
        <w:pStyle w:val="Para66ptspaceafter"/>
      </w:pPr>
      <w:r w:rsidRPr="002B3ADB">
        <w:t xml:space="preserve">Calculate the </w:t>
      </w:r>
      <w:r w:rsidR="00E52772">
        <w:t>following:</w:t>
      </w:r>
    </w:p>
    <w:p w14:paraId="615D69EE" w14:textId="77777777" w:rsidR="0080586D" w:rsidRDefault="00E52772" w:rsidP="00120C5D">
      <w:pPr>
        <w:pStyle w:val="NumberedList"/>
        <w:numPr>
          <w:ilvl w:val="0"/>
          <w:numId w:val="38"/>
        </w:numPr>
      </w:pPr>
      <w:r>
        <w:t>M</w:t>
      </w:r>
      <w:r w:rsidR="002B3ADB" w:rsidRPr="002B3ADB">
        <w:t>ass (G) of material lost during abrasion from</w:t>
      </w:r>
      <w:r w:rsidR="0080586D">
        <w:t>: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"/>
        <w:gridCol w:w="7524"/>
        <w:gridCol w:w="546"/>
      </w:tblGrid>
      <w:tr w:rsidR="006D7716" w:rsidRPr="0038744F" w14:paraId="24414DC4" w14:textId="77777777" w:rsidTr="006D7716">
        <w:trPr>
          <w:cantSplit/>
        </w:trPr>
        <w:tc>
          <w:tcPr>
            <w:tcW w:w="4717" w:type="pct"/>
            <w:gridSpan w:val="3"/>
          </w:tcPr>
          <w:p w14:paraId="5BE1DDC9" w14:textId="20468243" w:rsidR="006D7716" w:rsidRPr="00FD631E" w:rsidRDefault="006D7716" w:rsidP="00787AB9">
            <w:pPr>
              <w:pStyle w:val="Equationcentered"/>
              <w:spacing w:before="40" w:after="40" w:line="240" w:lineRule="auto"/>
            </w:pPr>
            <w:r>
              <w:t>G</w:t>
            </w:r>
            <w:r w:rsidRPr="00FD631E">
              <w:t xml:space="preserve"> =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cs="Arial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cs="Arial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</w:rPr>
                <m:t xml:space="preserve"> </m:t>
              </m:r>
              <m:r>
                <m:rPr>
                  <m:nor/>
                </m:rPr>
                <w:rPr>
                  <w:rFonts w:cs="Arial"/>
                </w:rPr>
                <m:t>-</m:t>
              </m:r>
              <m:r>
                <m:rPr>
                  <m:nor/>
                </m:rPr>
                <w:rPr>
                  <w:rFonts w:ascii="Cambria Math" w:cs="Arial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cs="Arial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cs="Arial"/>
                    </w:rPr>
                    <m:t>2</m:t>
                  </m:r>
                </m:sub>
              </m:sSub>
            </m:oMath>
          </w:p>
        </w:tc>
        <w:tc>
          <w:tcPr>
            <w:tcW w:w="283" w:type="pct"/>
          </w:tcPr>
          <w:p w14:paraId="03065040" w14:textId="03FD4124" w:rsidR="006D7716" w:rsidRPr="00FD631E" w:rsidRDefault="00A23B65" w:rsidP="00787AB9">
            <w:pPr>
              <w:pStyle w:val="Equationright"/>
              <w:spacing w:before="40" w:after="40" w:line="240" w:lineRule="auto"/>
            </w:pP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C430F8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262E29" w:rsidRPr="0038744F" w14:paraId="4698EC87" w14:textId="77777777" w:rsidTr="005A27F0">
        <w:tc>
          <w:tcPr>
            <w:tcW w:w="572" w:type="pct"/>
          </w:tcPr>
          <w:p w14:paraId="7851199D" w14:textId="77777777" w:rsidR="00262E29" w:rsidRPr="002B3ED8" w:rsidRDefault="00262E29" w:rsidP="00787AB9">
            <w:pPr>
              <w:pStyle w:val="Equationleft"/>
              <w:spacing w:before="40" w:after="40" w:line="240" w:lineRule="auto"/>
            </w:pPr>
            <w:r w:rsidRPr="001500A7">
              <w:t>where</w:t>
            </w:r>
          </w:p>
        </w:tc>
        <w:tc>
          <w:tcPr>
            <w:tcW w:w="242" w:type="pct"/>
          </w:tcPr>
          <w:p w14:paraId="5A50A2D4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</w:p>
        </w:tc>
        <w:tc>
          <w:tcPr>
            <w:tcW w:w="3903" w:type="pct"/>
          </w:tcPr>
          <w:p w14:paraId="62839686" w14:textId="77777777" w:rsidR="00262E29" w:rsidRPr="00FD631E" w:rsidRDefault="00262E29" w:rsidP="00787AB9">
            <w:pPr>
              <w:pStyle w:val="Equationleft"/>
              <w:spacing w:before="40" w:after="40" w:line="240" w:lineRule="auto"/>
            </w:pPr>
          </w:p>
        </w:tc>
        <w:tc>
          <w:tcPr>
            <w:tcW w:w="283" w:type="pct"/>
          </w:tcPr>
          <w:p w14:paraId="6D328804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</w:p>
        </w:tc>
      </w:tr>
      <w:tr w:rsidR="00262E29" w:rsidRPr="0038744F" w14:paraId="2465014A" w14:textId="77777777" w:rsidTr="00C850EC">
        <w:tc>
          <w:tcPr>
            <w:tcW w:w="572" w:type="pct"/>
          </w:tcPr>
          <w:p w14:paraId="73B6C03F" w14:textId="2E7D32C5" w:rsidR="00262E29" w:rsidRPr="00FD631E" w:rsidRDefault="00C850EC" w:rsidP="00787AB9">
            <w:pPr>
              <w:pStyle w:val="Equationright"/>
              <w:spacing w:before="40" w:after="40" w:line="240" w:lineRule="auto"/>
            </w:pPr>
            <w:r>
              <w:t>G</w:t>
            </w:r>
          </w:p>
        </w:tc>
        <w:tc>
          <w:tcPr>
            <w:tcW w:w="242" w:type="pct"/>
          </w:tcPr>
          <w:p w14:paraId="44FA1C7C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  <w:r w:rsidRPr="00FD631E">
              <w:t>=</w:t>
            </w:r>
          </w:p>
        </w:tc>
        <w:tc>
          <w:tcPr>
            <w:tcW w:w="3903" w:type="pct"/>
          </w:tcPr>
          <w:p w14:paraId="4A239497" w14:textId="0DFDE003" w:rsidR="00262E29" w:rsidRPr="002B3ED8" w:rsidRDefault="002B3ADB" w:rsidP="00787AB9">
            <w:pPr>
              <w:pStyle w:val="Equationleft"/>
              <w:spacing w:before="40" w:after="40" w:line="240" w:lineRule="auto"/>
            </w:pPr>
            <w:r w:rsidRPr="002B3ADB">
              <w:t>mass of material lost during abrasion</w:t>
            </w:r>
            <w:r w:rsidR="00787AB9">
              <w:t xml:space="preserve"> (</w:t>
            </w:r>
            <w:r w:rsidRPr="002B3ADB">
              <w:t>grams</w:t>
            </w:r>
            <w:r w:rsidR="00787AB9">
              <w:t>)</w:t>
            </w:r>
          </w:p>
        </w:tc>
        <w:tc>
          <w:tcPr>
            <w:tcW w:w="283" w:type="pct"/>
          </w:tcPr>
          <w:p w14:paraId="52085300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</w:p>
        </w:tc>
      </w:tr>
      <w:tr w:rsidR="00262E29" w:rsidRPr="0038744F" w14:paraId="1703317D" w14:textId="77777777" w:rsidTr="00C850EC">
        <w:tc>
          <w:tcPr>
            <w:tcW w:w="572" w:type="pct"/>
          </w:tcPr>
          <w:p w14:paraId="51EF4900" w14:textId="2F3DD72E" w:rsidR="00262E29" w:rsidRPr="00B41025" w:rsidRDefault="00447EAC" w:rsidP="00787AB9">
            <w:pPr>
              <w:pStyle w:val="Equationright"/>
              <w:spacing w:before="40" w:after="40" w:line="240" w:lineRule="auto"/>
              <w:rPr>
                <w:rFonts w:cs="Arial"/>
                <w:vertAlign w:val="subscript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2" w:type="pct"/>
          </w:tcPr>
          <w:p w14:paraId="63D06C06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  <w:r w:rsidRPr="00FD631E">
              <w:t>=</w:t>
            </w:r>
          </w:p>
        </w:tc>
        <w:tc>
          <w:tcPr>
            <w:tcW w:w="3903" w:type="pct"/>
          </w:tcPr>
          <w:p w14:paraId="4DCD1904" w14:textId="5F879D58" w:rsidR="00262E29" w:rsidRPr="002B3ED8" w:rsidRDefault="002B3ADB" w:rsidP="00787AB9">
            <w:pPr>
              <w:pStyle w:val="Equationleft"/>
              <w:spacing w:before="40" w:after="40" w:line="240" w:lineRule="auto"/>
            </w:pPr>
            <w:r w:rsidRPr="002B3ADB">
              <w:t>original mass of the specimen</w:t>
            </w:r>
            <w:r w:rsidR="00787AB9">
              <w:t xml:space="preserve"> (</w:t>
            </w:r>
            <w:r w:rsidRPr="002B3ADB">
              <w:t>grams</w:t>
            </w:r>
            <w:r w:rsidR="00787AB9">
              <w:t>)</w:t>
            </w:r>
          </w:p>
        </w:tc>
        <w:tc>
          <w:tcPr>
            <w:tcW w:w="283" w:type="pct"/>
          </w:tcPr>
          <w:p w14:paraId="50458B70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</w:p>
        </w:tc>
      </w:tr>
      <w:tr w:rsidR="00262E29" w:rsidRPr="0038744F" w14:paraId="2245A1FE" w14:textId="77777777" w:rsidTr="00C850EC">
        <w:tc>
          <w:tcPr>
            <w:tcW w:w="572" w:type="pct"/>
          </w:tcPr>
          <w:p w14:paraId="708E4E2A" w14:textId="23FF3608" w:rsidR="00262E29" w:rsidRPr="00B41025" w:rsidRDefault="00447EAC" w:rsidP="00D21402">
            <w:pPr>
              <w:pStyle w:val="Equationright"/>
              <w:spacing w:before="40" w:after="40" w:line="240" w:lineRule="auto"/>
              <w:rPr>
                <w:rFonts w:cs="Arial"/>
                <w:vertAlign w:val="subscript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42" w:type="pct"/>
          </w:tcPr>
          <w:p w14:paraId="1E59A595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  <w:r w:rsidRPr="00FD631E">
              <w:t>=</w:t>
            </w:r>
          </w:p>
        </w:tc>
        <w:tc>
          <w:tcPr>
            <w:tcW w:w="3903" w:type="pct"/>
          </w:tcPr>
          <w:p w14:paraId="70321693" w14:textId="70AC1308" w:rsidR="00262E29" w:rsidRPr="00FD631E" w:rsidRDefault="002B3ADB" w:rsidP="00787AB9">
            <w:pPr>
              <w:pStyle w:val="Equationleft"/>
              <w:spacing w:before="40" w:after="40" w:line="240" w:lineRule="auto"/>
            </w:pPr>
            <w:r w:rsidRPr="002B3ADB">
              <w:t>mass of the specimen after abrasion</w:t>
            </w:r>
            <w:r w:rsidR="00787AB9">
              <w:t xml:space="preserve"> (</w:t>
            </w:r>
            <w:r w:rsidRPr="002B3ADB">
              <w:t>grams</w:t>
            </w:r>
            <w:r w:rsidR="00787AB9">
              <w:t>)</w:t>
            </w:r>
          </w:p>
        </w:tc>
        <w:tc>
          <w:tcPr>
            <w:tcW w:w="283" w:type="pct"/>
          </w:tcPr>
          <w:p w14:paraId="4C98F040" w14:textId="77777777" w:rsidR="00262E29" w:rsidRPr="00FD631E" w:rsidRDefault="00262E29" w:rsidP="00787AB9">
            <w:pPr>
              <w:pStyle w:val="Equationcentered"/>
              <w:spacing w:before="40" w:after="40" w:line="240" w:lineRule="auto"/>
            </w:pPr>
          </w:p>
        </w:tc>
      </w:tr>
    </w:tbl>
    <w:p w14:paraId="64643F79" w14:textId="77777777" w:rsidR="00E52772" w:rsidRDefault="00E52772" w:rsidP="00AC3FF0">
      <w:pPr>
        <w:pStyle w:val="HalfLine"/>
      </w:pPr>
    </w:p>
    <w:p w14:paraId="74E3F99E" w14:textId="4F4545F4" w:rsidR="00E52772" w:rsidRDefault="00E52772" w:rsidP="00120C5D">
      <w:pPr>
        <w:pStyle w:val="NumberedList"/>
      </w:pPr>
      <w:r w:rsidRPr="00E52772">
        <w:t>The Wear Value (WTAT) from</w:t>
      </w:r>
      <w:r w:rsidR="00DD53FA">
        <w:t>: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"/>
        <w:gridCol w:w="7524"/>
        <w:gridCol w:w="546"/>
      </w:tblGrid>
      <w:tr w:rsidR="00AC3FF0" w:rsidRPr="0038744F" w14:paraId="65989871" w14:textId="77777777" w:rsidTr="00AC3FF0">
        <w:trPr>
          <w:cantSplit/>
        </w:trPr>
        <w:tc>
          <w:tcPr>
            <w:tcW w:w="4717" w:type="pct"/>
            <w:gridSpan w:val="3"/>
          </w:tcPr>
          <w:p w14:paraId="738C1E2C" w14:textId="20D9AB78" w:rsidR="00AC3FF0" w:rsidRPr="00FD631E" w:rsidRDefault="00AC3FF0" w:rsidP="00787AB9">
            <w:pPr>
              <w:pStyle w:val="Equationcentered"/>
              <w:spacing w:before="40" w:after="40" w:line="240" w:lineRule="auto"/>
            </w:pPr>
            <w:r w:rsidRPr="00EC4B23">
              <w:t>WTAT</w:t>
            </w:r>
            <w:r w:rsidRPr="00FD631E">
              <w:t xml:space="preserve"> =</w:t>
            </w:r>
            <w:r w:rsidRPr="00B41025">
              <w:rPr>
                <w:rFonts w:cs="Arial"/>
              </w:rPr>
              <w:t xml:space="preserve"> </w:t>
            </w:r>
            <m:oMath>
              <m:r>
                <m:rPr>
                  <m:nor/>
                </m:rPr>
                <w:rPr>
                  <w:rFonts w:cs="Arial"/>
                </w:rPr>
                <m:t>G × F</m:t>
              </m:r>
              <m:r>
                <w:rPr>
                  <w:rFonts w:ascii="Cambria Math" w:hAnsi="Cambria Math" w:cs="Arial"/>
                </w:rPr>
                <m:t xml:space="preserve"> </m:t>
              </m:r>
            </m:oMath>
          </w:p>
        </w:tc>
        <w:tc>
          <w:tcPr>
            <w:tcW w:w="283" w:type="pct"/>
          </w:tcPr>
          <w:p w14:paraId="616E7558" w14:textId="4B98F904" w:rsidR="00AC3FF0" w:rsidRPr="00FD631E" w:rsidRDefault="00447EAC" w:rsidP="00787AB9">
            <w:pPr>
              <w:pStyle w:val="Equationright"/>
              <w:spacing w:before="40" w:after="40" w:line="240" w:lineRule="auto"/>
            </w:pP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C430F8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E52772" w:rsidRPr="0038744F" w14:paraId="51EA0BB0" w14:textId="77777777" w:rsidTr="009F10E2">
        <w:tc>
          <w:tcPr>
            <w:tcW w:w="572" w:type="pct"/>
          </w:tcPr>
          <w:p w14:paraId="2A1D2156" w14:textId="77777777" w:rsidR="00E52772" w:rsidRPr="002B3ED8" w:rsidRDefault="00E52772" w:rsidP="00787AB9">
            <w:pPr>
              <w:pStyle w:val="Equationleft"/>
              <w:spacing w:before="40" w:after="40" w:line="240" w:lineRule="auto"/>
            </w:pPr>
            <w:r w:rsidRPr="001500A7">
              <w:t>where</w:t>
            </w:r>
          </w:p>
        </w:tc>
        <w:tc>
          <w:tcPr>
            <w:tcW w:w="242" w:type="pct"/>
          </w:tcPr>
          <w:p w14:paraId="3A94A481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</w:p>
        </w:tc>
        <w:tc>
          <w:tcPr>
            <w:tcW w:w="3903" w:type="pct"/>
          </w:tcPr>
          <w:p w14:paraId="7377AE8B" w14:textId="77777777" w:rsidR="00E52772" w:rsidRPr="00FD631E" w:rsidRDefault="00E52772" w:rsidP="00787AB9">
            <w:pPr>
              <w:pStyle w:val="Equationleft"/>
              <w:spacing w:before="40" w:after="40" w:line="240" w:lineRule="auto"/>
            </w:pPr>
          </w:p>
        </w:tc>
        <w:tc>
          <w:tcPr>
            <w:tcW w:w="283" w:type="pct"/>
          </w:tcPr>
          <w:p w14:paraId="517007DA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</w:p>
        </w:tc>
      </w:tr>
      <w:tr w:rsidR="00D16708" w:rsidRPr="0038744F" w14:paraId="5EC640C3" w14:textId="77777777" w:rsidTr="009F10E2">
        <w:tc>
          <w:tcPr>
            <w:tcW w:w="572" w:type="pct"/>
          </w:tcPr>
          <w:p w14:paraId="1ACF4272" w14:textId="77777777" w:rsidR="00D16708" w:rsidRPr="00EC4B23" w:rsidRDefault="00D16708" w:rsidP="00787AB9">
            <w:pPr>
              <w:pStyle w:val="Equationleft"/>
              <w:spacing w:before="40" w:after="40" w:line="240" w:lineRule="auto"/>
              <w:jc w:val="right"/>
            </w:pPr>
            <w:r w:rsidRPr="00EC4B23">
              <w:t>WTAT</w:t>
            </w:r>
          </w:p>
        </w:tc>
        <w:tc>
          <w:tcPr>
            <w:tcW w:w="242" w:type="pct"/>
          </w:tcPr>
          <w:p w14:paraId="1C34CB49" w14:textId="77777777" w:rsidR="00D16708" w:rsidRPr="00FD631E" w:rsidRDefault="00D16708" w:rsidP="00787AB9">
            <w:pPr>
              <w:pStyle w:val="Equationcentered"/>
              <w:spacing w:before="40" w:after="40" w:line="240" w:lineRule="auto"/>
            </w:pPr>
            <w:r>
              <w:t>=</w:t>
            </w:r>
          </w:p>
        </w:tc>
        <w:tc>
          <w:tcPr>
            <w:tcW w:w="3903" w:type="pct"/>
          </w:tcPr>
          <w:p w14:paraId="30676804" w14:textId="6169F949" w:rsidR="00D16708" w:rsidRPr="00FD631E" w:rsidRDefault="00995EDC" w:rsidP="00787AB9">
            <w:pPr>
              <w:pStyle w:val="Equationleft"/>
              <w:spacing w:before="40" w:after="40" w:line="240" w:lineRule="auto"/>
            </w:pPr>
            <w:r>
              <w:t>w</w:t>
            </w:r>
            <w:r w:rsidR="00D16708">
              <w:t>ear value</w:t>
            </w:r>
            <w:r w:rsidR="00787AB9">
              <w:t xml:space="preserve"> (</w:t>
            </w:r>
            <w:r w:rsidR="00D16708">
              <w:t>g</w:t>
            </w:r>
            <w:r w:rsidR="000C503B">
              <w:t>/</w:t>
            </w:r>
            <w:r w:rsidR="00D16708" w:rsidRPr="00E52772">
              <w:t>m</w:t>
            </w:r>
            <w:r w:rsidR="00D16708" w:rsidRPr="00E52772">
              <w:rPr>
                <w:vertAlign w:val="superscript"/>
              </w:rPr>
              <w:t>2</w:t>
            </w:r>
            <w:r w:rsidR="00787AB9" w:rsidRPr="00787AB9">
              <w:t>)</w:t>
            </w:r>
          </w:p>
        </w:tc>
        <w:tc>
          <w:tcPr>
            <w:tcW w:w="283" w:type="pct"/>
          </w:tcPr>
          <w:p w14:paraId="0A0E39A6" w14:textId="77777777" w:rsidR="00D16708" w:rsidRPr="00FD631E" w:rsidRDefault="00D16708" w:rsidP="00787AB9">
            <w:pPr>
              <w:pStyle w:val="Equationcentered"/>
              <w:spacing w:before="40" w:after="40" w:line="240" w:lineRule="auto"/>
            </w:pPr>
          </w:p>
        </w:tc>
      </w:tr>
      <w:tr w:rsidR="00E52772" w:rsidRPr="0038744F" w14:paraId="121F12F5" w14:textId="77777777" w:rsidTr="009F10E2">
        <w:tc>
          <w:tcPr>
            <w:tcW w:w="572" w:type="pct"/>
          </w:tcPr>
          <w:p w14:paraId="76AF602A" w14:textId="120A6E69" w:rsidR="00E52772" w:rsidRPr="00D21402" w:rsidRDefault="00B41025" w:rsidP="00787AB9">
            <w:pPr>
              <w:pStyle w:val="Equationright"/>
              <w:spacing w:before="40" w:after="40" w:line="240" w:lineRule="auto"/>
            </w:pPr>
            <w:r>
              <w:t>G</w:t>
            </w:r>
          </w:p>
        </w:tc>
        <w:tc>
          <w:tcPr>
            <w:tcW w:w="242" w:type="pct"/>
          </w:tcPr>
          <w:p w14:paraId="4109179B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  <w:r w:rsidRPr="00FD631E">
              <w:t>=</w:t>
            </w:r>
          </w:p>
        </w:tc>
        <w:tc>
          <w:tcPr>
            <w:tcW w:w="3903" w:type="pct"/>
          </w:tcPr>
          <w:p w14:paraId="14DB61F7" w14:textId="1463007C" w:rsidR="00E52772" w:rsidRPr="002B3ED8" w:rsidRDefault="00E52772" w:rsidP="00787AB9">
            <w:pPr>
              <w:pStyle w:val="Equationleft"/>
              <w:spacing w:before="40" w:after="40" w:line="240" w:lineRule="auto"/>
            </w:pPr>
            <w:r w:rsidRPr="002B3ADB">
              <w:t>mass of material lost during abrasion</w:t>
            </w:r>
            <w:r w:rsidR="00787AB9">
              <w:t xml:space="preserve"> (</w:t>
            </w:r>
            <w:r w:rsidRPr="002B3ADB">
              <w:t>grams</w:t>
            </w:r>
            <w:r w:rsidR="00787AB9">
              <w:t>)</w:t>
            </w:r>
          </w:p>
        </w:tc>
        <w:tc>
          <w:tcPr>
            <w:tcW w:w="283" w:type="pct"/>
          </w:tcPr>
          <w:p w14:paraId="3F49ED3D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</w:p>
        </w:tc>
      </w:tr>
      <w:tr w:rsidR="00E52772" w:rsidRPr="0038744F" w14:paraId="5576230E" w14:textId="77777777" w:rsidTr="00787AB9">
        <w:tc>
          <w:tcPr>
            <w:tcW w:w="572" w:type="pct"/>
          </w:tcPr>
          <w:p w14:paraId="4D26F3A8" w14:textId="353A6759" w:rsidR="00E52772" w:rsidRPr="00D21402" w:rsidRDefault="009A12A1">
            <w:pPr>
              <w:pStyle w:val="Equationright"/>
              <w:spacing w:before="40" w:after="40" w:line="240" w:lineRule="auto"/>
              <w:rPr>
                <w:vertAlign w:val="subscript"/>
              </w:rPr>
            </w:pPr>
            <w:r>
              <w:t>F</w:t>
            </w:r>
          </w:p>
        </w:tc>
        <w:tc>
          <w:tcPr>
            <w:tcW w:w="242" w:type="pct"/>
          </w:tcPr>
          <w:p w14:paraId="6A5E45C7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  <w:r w:rsidRPr="00FD631E">
              <w:t>=</w:t>
            </w:r>
          </w:p>
        </w:tc>
        <w:tc>
          <w:tcPr>
            <w:tcW w:w="3903" w:type="pct"/>
            <w:vAlign w:val="center"/>
          </w:tcPr>
          <w:p w14:paraId="3DA7C3A7" w14:textId="4A848B5B" w:rsidR="00E52772" w:rsidRPr="002B3ED8" w:rsidRDefault="00E52772">
            <w:pPr>
              <w:pStyle w:val="Equationleft"/>
              <w:spacing w:before="40" w:after="40" w:line="240" w:lineRule="auto"/>
            </w:pPr>
            <w:r w:rsidRPr="00E52772">
              <w:t xml:space="preserve">conversion factor (see </w:t>
            </w:r>
            <w:r w:rsidR="00B41025">
              <w:fldChar w:fldCharType="begin"/>
            </w:r>
            <w:r w:rsidR="00B41025">
              <w:instrText xml:space="preserve"> REF _Ref505770713 \h </w:instrText>
            </w:r>
            <w:r w:rsidR="00B41025">
              <w:fldChar w:fldCharType="separate"/>
            </w:r>
            <w:r w:rsidR="00C430F8">
              <w:t xml:space="preserve">Table </w:t>
            </w:r>
            <w:r w:rsidR="00C430F8">
              <w:rPr>
                <w:noProof/>
              </w:rPr>
              <w:t>9</w:t>
            </w:r>
            <w:r w:rsidR="00C430F8">
              <w:t>.</w:t>
            </w:r>
            <w:r w:rsidR="00C430F8">
              <w:rPr>
                <w:noProof/>
              </w:rPr>
              <w:t>1</w:t>
            </w:r>
            <w:r w:rsidR="00B41025">
              <w:fldChar w:fldCharType="end"/>
            </w:r>
            <w:r w:rsidRPr="00E52772">
              <w:t>)</w:t>
            </w:r>
            <w:r w:rsidR="00787AB9">
              <w:t xml:space="preserve"> (</w:t>
            </w:r>
            <w:r w:rsidRPr="00E52772">
              <w:t>m</w:t>
            </w:r>
            <w:r w:rsidRPr="00E52772">
              <w:rPr>
                <w:vertAlign w:val="superscript"/>
              </w:rPr>
              <w:t>-2</w:t>
            </w:r>
            <w:r w:rsidR="00787AB9" w:rsidRPr="00787AB9">
              <w:t>)</w:t>
            </w:r>
          </w:p>
        </w:tc>
        <w:tc>
          <w:tcPr>
            <w:tcW w:w="283" w:type="pct"/>
          </w:tcPr>
          <w:p w14:paraId="6809A7C5" w14:textId="77777777" w:rsidR="00E52772" w:rsidRPr="00FD631E" w:rsidRDefault="00E52772" w:rsidP="00787AB9">
            <w:pPr>
              <w:pStyle w:val="Equationcentered"/>
              <w:spacing w:before="40" w:after="40" w:line="240" w:lineRule="auto"/>
            </w:pPr>
          </w:p>
        </w:tc>
      </w:tr>
    </w:tbl>
    <w:p w14:paraId="302BBEE8" w14:textId="77777777" w:rsidR="00731EA0" w:rsidRDefault="0080586D" w:rsidP="001D7D7C">
      <w:pPr>
        <w:pStyle w:val="Heading1"/>
      </w:pPr>
      <w:bookmarkStart w:id="42" w:name="_Toc419709971"/>
      <w:bookmarkStart w:id="43" w:name="_Toc419710750"/>
      <w:bookmarkStart w:id="44" w:name="_Toc513546079"/>
      <w:r>
        <w:t>Reporting</w:t>
      </w:r>
      <w:bookmarkEnd w:id="42"/>
      <w:bookmarkEnd w:id="43"/>
      <w:bookmarkEnd w:id="44"/>
    </w:p>
    <w:p w14:paraId="19479690" w14:textId="717A0AB6" w:rsidR="00E52772" w:rsidRDefault="00E52772" w:rsidP="00787AB9">
      <w:pPr>
        <w:pStyle w:val="Para66ptspaceafter"/>
      </w:pPr>
      <w:r>
        <w:t>Report the following:</w:t>
      </w:r>
    </w:p>
    <w:p w14:paraId="61E68982" w14:textId="724E4A97" w:rsidR="00216B9F" w:rsidRDefault="00216B9F" w:rsidP="00216B9F">
      <w:pPr>
        <w:pStyle w:val="NumberedList"/>
        <w:numPr>
          <w:ilvl w:val="0"/>
          <w:numId w:val="31"/>
        </w:numPr>
        <w:spacing w:line="240" w:lineRule="atLeast"/>
      </w:pPr>
      <w:r>
        <w:t xml:space="preserve">Soaking period in Clause 9 </w:t>
      </w:r>
      <w:r>
        <w:fldChar w:fldCharType="begin"/>
      </w:r>
      <w:r>
        <w:instrText xml:space="preserve"> REF _Ref497993111 \n \h </w:instrText>
      </w:r>
      <w:r>
        <w:fldChar w:fldCharType="separate"/>
      </w:r>
      <w:r w:rsidR="00C430F8">
        <w:t>(a)</w:t>
      </w:r>
      <w:r>
        <w:fldChar w:fldCharType="end"/>
      </w:r>
      <w:r>
        <w:t>.</w:t>
      </w:r>
    </w:p>
    <w:p w14:paraId="29976E01" w14:textId="0CAF41BA" w:rsidR="00043DEF" w:rsidRDefault="00E52772" w:rsidP="00216B9F">
      <w:pPr>
        <w:pStyle w:val="NumberedList"/>
        <w:numPr>
          <w:ilvl w:val="0"/>
          <w:numId w:val="31"/>
        </w:numPr>
      </w:pPr>
      <w:r>
        <w:t>The Wear Value</w:t>
      </w:r>
      <w:r w:rsidR="00E844F4">
        <w:t xml:space="preserve"> (WTAT)</w:t>
      </w:r>
      <w:r>
        <w:t xml:space="preserve"> </w:t>
      </w:r>
      <w:r w:rsidR="00E844F4">
        <w:t>in g/m</w:t>
      </w:r>
      <w:r w:rsidR="00E844F4" w:rsidRPr="00216B9F">
        <w:rPr>
          <w:vertAlign w:val="superscript"/>
        </w:rPr>
        <w:t>2</w:t>
      </w:r>
      <w:r w:rsidR="00E844F4">
        <w:t xml:space="preserve"> </w:t>
      </w:r>
      <w:r>
        <w:t>to the nearest 5</w:t>
      </w:r>
      <w:r w:rsidR="00E93EA9">
        <w:t> </w:t>
      </w:r>
      <w:r>
        <w:t>g</w:t>
      </w:r>
      <w:r w:rsidR="00E844F4">
        <w:t>/</w:t>
      </w:r>
      <w:r>
        <w:t>m</w:t>
      </w:r>
      <w:r w:rsidRPr="00216B9F">
        <w:rPr>
          <w:vertAlign w:val="superscript"/>
        </w:rPr>
        <w:t>2</w:t>
      </w:r>
      <w:r w:rsidR="00E844F4" w:rsidRPr="00120C5D">
        <w:t>.</w:t>
      </w:r>
    </w:p>
    <w:p w14:paraId="62817F37" w14:textId="77777777" w:rsidR="003507B5" w:rsidRPr="00462449" w:rsidRDefault="003507B5" w:rsidP="00DD79B3">
      <w:pPr>
        <w:pStyle w:val="NoStyle"/>
        <w:rPr>
          <w:b/>
          <w:sz w:val="28"/>
          <w:szCs w:val="28"/>
        </w:rPr>
      </w:pPr>
      <w:r>
        <w:br w:type="page"/>
      </w:r>
      <w:bookmarkStart w:id="45" w:name="_Toc417301723"/>
      <w:bookmarkStart w:id="46" w:name="_Toc417301876"/>
      <w:bookmarkStart w:id="47" w:name="_Toc417301913"/>
      <w:bookmarkStart w:id="48" w:name="_Toc417302004"/>
      <w:bookmarkStart w:id="49" w:name="_Toc417302016"/>
      <w:bookmarkStart w:id="50" w:name="_Toc417302489"/>
      <w:bookmarkStart w:id="51" w:name="_Toc417302522"/>
      <w:bookmarkStart w:id="52" w:name="_Toc417302539"/>
      <w:bookmarkStart w:id="53" w:name="_Toc417302552"/>
      <w:bookmarkStart w:id="54" w:name="_Toc417302565"/>
      <w:bookmarkStart w:id="55" w:name="_Toc417302578"/>
      <w:r w:rsidR="00DD79B3" w:rsidRPr="00462449">
        <w:rPr>
          <w:b/>
          <w:sz w:val="28"/>
          <w:szCs w:val="28"/>
        </w:rPr>
        <w:lastRenderedPageBreak/>
        <w:t>Amendment Record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CFA5BA4" w14:textId="77777777" w:rsidR="00692426" w:rsidRPr="00692426" w:rsidRDefault="00692426" w:rsidP="00692426">
      <w:pPr>
        <w:pStyle w:val="Paragraph"/>
      </w:pPr>
    </w:p>
    <w:tbl>
      <w:tblPr>
        <w:tblW w:w="963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417"/>
        <w:gridCol w:w="4819"/>
        <w:gridCol w:w="1985"/>
        <w:gridCol w:w="1418"/>
      </w:tblGrid>
      <w:tr w:rsidR="00607728" w:rsidRPr="00447EAC" w14:paraId="1FEEDA2F" w14:textId="77777777" w:rsidTr="00447EAC">
        <w:trPr>
          <w:cantSplit/>
          <w:tblHeader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B9A6351" w14:textId="77777777" w:rsidR="00607728" w:rsidRPr="00447EAC" w:rsidRDefault="00607728" w:rsidP="00787AB9">
            <w:pPr>
              <w:pStyle w:val="TableHeader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Amendment No.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7CE0F1DD" w14:textId="77777777" w:rsidR="00607728" w:rsidRPr="00447EAC" w:rsidRDefault="00607728" w:rsidP="00787AB9">
            <w:pPr>
              <w:pStyle w:val="TableHeader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Clauses amended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CABAA83" w14:textId="77777777" w:rsidR="00607728" w:rsidRPr="00447EAC" w:rsidRDefault="00607728" w:rsidP="00787AB9">
            <w:pPr>
              <w:pStyle w:val="TableHeader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Action</w:t>
            </w:r>
            <w:r w:rsidR="00DD79B3" w:rsidRPr="00447EAC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B94DEA" w14:textId="77777777" w:rsidR="00607728" w:rsidRPr="00447EAC" w:rsidRDefault="00607728" w:rsidP="00787AB9">
            <w:pPr>
              <w:pStyle w:val="TableHeader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Date</w:t>
            </w:r>
          </w:p>
        </w:tc>
      </w:tr>
      <w:tr w:rsidR="00607728" w:rsidRPr="00447EAC" w14:paraId="4BF8BFB6" w14:textId="77777777" w:rsidTr="00447EAC">
        <w:trPr>
          <w:cantSplit/>
        </w:trPr>
        <w:tc>
          <w:tcPr>
            <w:tcW w:w="1417" w:type="dxa"/>
            <w:shd w:val="clear" w:color="auto" w:fill="D9D9D9" w:themeFill="background1" w:themeFillShade="D9"/>
          </w:tcPr>
          <w:p w14:paraId="2934FE30" w14:textId="77777777" w:rsidR="00607728" w:rsidRPr="00447EAC" w:rsidRDefault="00E52772" w:rsidP="00787AB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1084B5B" w14:textId="0817F653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 xml:space="preserve">Commentary </w:t>
            </w:r>
            <w:r w:rsidR="00787AB9" w:rsidRPr="00447EAC">
              <w:rPr>
                <w:rFonts w:ascii="Arial" w:hAnsi="Arial" w:cs="Arial"/>
              </w:rPr>
              <w:t>p</w:t>
            </w:r>
            <w:r w:rsidRPr="00447EAC">
              <w:rPr>
                <w:rFonts w:ascii="Arial" w:hAnsi="Arial" w:cs="Arial"/>
              </w:rPr>
              <w:t>age</w:t>
            </w:r>
          </w:p>
          <w:p w14:paraId="663FCCAE" w14:textId="77777777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Footer and header</w:t>
            </w:r>
          </w:p>
          <w:p w14:paraId="389C1B55" w14:textId="4456EA1E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App</w:t>
            </w:r>
            <w:r w:rsidR="00787AB9" w:rsidRPr="00447EAC">
              <w:rPr>
                <w:rFonts w:ascii="Arial" w:hAnsi="Arial" w:cs="Arial"/>
              </w:rPr>
              <w:t>lied revised test method number</w:t>
            </w:r>
          </w:p>
          <w:p w14:paraId="57D169D6" w14:textId="77777777" w:rsidR="00607728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Applied new styles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D62E68" w14:textId="77777777" w:rsidR="00607728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New</w:t>
            </w:r>
          </w:p>
          <w:p w14:paraId="0EBF0255" w14:textId="77777777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Format</w:t>
            </w:r>
          </w:p>
          <w:p w14:paraId="50C93358" w14:textId="77777777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Format</w:t>
            </w:r>
          </w:p>
          <w:p w14:paraId="51C3A736" w14:textId="77777777" w:rsidR="00E52772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Format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F2A034" w14:textId="77777777" w:rsidR="00607728" w:rsidRPr="00447EAC" w:rsidRDefault="00E52772" w:rsidP="00787AB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June 2005</w:t>
            </w:r>
          </w:p>
        </w:tc>
      </w:tr>
      <w:tr w:rsidR="00607728" w:rsidRPr="00447EAC" w14:paraId="2279E765" w14:textId="77777777" w:rsidTr="00447EAC">
        <w:trPr>
          <w:cantSplit/>
        </w:trPr>
        <w:tc>
          <w:tcPr>
            <w:tcW w:w="1417" w:type="dxa"/>
            <w:shd w:val="clear" w:color="auto" w:fill="D9D9D9" w:themeFill="background1" w:themeFillShade="D9"/>
          </w:tcPr>
          <w:p w14:paraId="20DF7446" w14:textId="77777777" w:rsidR="00607728" w:rsidRPr="00447EAC" w:rsidRDefault="00E52772" w:rsidP="00787AB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3C3BA6BB" w14:textId="77777777" w:rsidR="00607728" w:rsidRPr="00447EAC" w:rsidRDefault="006B0DA5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Applied new format</w:t>
            </w:r>
          </w:p>
          <w:p w14:paraId="4E4BC376" w14:textId="586D0C36" w:rsidR="006B0DA5" w:rsidRPr="00447EAC" w:rsidRDefault="006B0DA5" w:rsidP="00787AB9">
            <w:pPr>
              <w:pStyle w:val="TableFigureCenter"/>
              <w:tabs>
                <w:tab w:val="left" w:pos="1014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Clause 1, 7c,</w:t>
            </w:r>
            <w:r w:rsidR="00E93EA9" w:rsidRPr="00447EAC">
              <w:rPr>
                <w:rFonts w:ascii="Arial" w:hAnsi="Arial" w:cs="Arial"/>
              </w:rPr>
              <w:t xml:space="preserve"> 7</w:t>
            </w:r>
            <w:r w:rsidRPr="00447EAC">
              <w:rPr>
                <w:rFonts w:ascii="Arial" w:hAnsi="Arial" w:cs="Arial"/>
              </w:rPr>
              <w:t>h,</w:t>
            </w:r>
            <w:r w:rsidR="00E93EA9" w:rsidRPr="00447EAC">
              <w:rPr>
                <w:rFonts w:ascii="Arial" w:hAnsi="Arial" w:cs="Arial"/>
              </w:rPr>
              <w:t xml:space="preserve"> 7</w:t>
            </w:r>
            <w:r w:rsidRPr="00447EAC">
              <w:rPr>
                <w:rFonts w:ascii="Arial" w:hAnsi="Arial" w:cs="Arial"/>
              </w:rPr>
              <w:t>j, 8b</w:t>
            </w:r>
            <w:r w:rsidR="00C850EC" w:rsidRPr="00447EAC">
              <w:rPr>
                <w:rFonts w:ascii="Arial" w:hAnsi="Arial" w:cs="Arial"/>
              </w:rPr>
              <w:t>,</w:t>
            </w:r>
            <w:r w:rsidR="00E93EA9" w:rsidRPr="00447EAC">
              <w:rPr>
                <w:rFonts w:ascii="Arial" w:hAnsi="Arial" w:cs="Arial"/>
              </w:rPr>
              <w:t xml:space="preserve"> 8</w:t>
            </w:r>
            <w:r w:rsidR="00C850EC" w:rsidRPr="00447EAC">
              <w:rPr>
                <w:rFonts w:ascii="Arial" w:hAnsi="Arial" w:cs="Arial"/>
              </w:rPr>
              <w:t>f</w:t>
            </w:r>
          </w:p>
          <w:p w14:paraId="377C5C06" w14:textId="7C342EA5" w:rsidR="006B0DA5" w:rsidRPr="00447EAC" w:rsidRDefault="006B0DA5" w:rsidP="00787AB9">
            <w:pPr>
              <w:pStyle w:val="TableFigureCenter"/>
              <w:tabs>
                <w:tab w:val="left" w:pos="1014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Section 6 ISSA reference, 7b, 8b note</w:t>
            </w:r>
            <w:r w:rsidR="00C850EC" w:rsidRPr="00447EAC">
              <w:rPr>
                <w:rFonts w:ascii="Arial" w:hAnsi="Arial" w:cs="Arial"/>
              </w:rPr>
              <w:t>, 9b note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7A3808F" w14:textId="77777777" w:rsidR="00607728" w:rsidRPr="00447EAC" w:rsidRDefault="00E52772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Format</w:t>
            </w:r>
          </w:p>
          <w:p w14:paraId="64FBFC3D" w14:textId="77777777" w:rsidR="006B0DA5" w:rsidRPr="00447EAC" w:rsidRDefault="006B0DA5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Substitution</w:t>
            </w:r>
          </w:p>
          <w:p w14:paraId="38E32DAB" w14:textId="3208AC8B" w:rsidR="006B0DA5" w:rsidRPr="00447EAC" w:rsidRDefault="006B0DA5" w:rsidP="00787AB9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447EAC">
              <w:rPr>
                <w:rFonts w:ascii="Arial" w:hAnsi="Arial" w:cs="Arial"/>
              </w:rPr>
              <w:t>New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5BCAA4" w14:textId="53ECA3C1" w:rsidR="00607728" w:rsidRPr="00447EAC" w:rsidRDefault="00447EAC" w:rsidP="00787AB9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E55BBB" w:rsidRPr="00447EAC">
              <w:rPr>
                <w:rFonts w:ascii="Arial" w:hAnsi="Arial" w:cs="Arial"/>
              </w:rPr>
              <w:t>2018</w:t>
            </w:r>
          </w:p>
        </w:tc>
      </w:tr>
    </w:tbl>
    <w:p w14:paraId="749ADE23" w14:textId="77777777" w:rsidR="003507B5" w:rsidRPr="00787AB9" w:rsidRDefault="003507B5" w:rsidP="00787AB9">
      <w:pPr>
        <w:pStyle w:val="Paragraph"/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9640" w:type="dxa"/>
        <w:tblLayout w:type="fixed"/>
        <w:tblLook w:val="01E0" w:firstRow="1" w:lastRow="1" w:firstColumn="1" w:lastColumn="1" w:noHBand="0" w:noVBand="0"/>
      </w:tblPr>
      <w:tblGrid>
        <w:gridCol w:w="1418"/>
        <w:gridCol w:w="8222"/>
      </w:tblGrid>
      <w:tr w:rsidR="00EE45B0" w14:paraId="21658DCE" w14:textId="77777777" w:rsidTr="00787AB9">
        <w:tc>
          <w:tcPr>
            <w:tcW w:w="1418" w:type="dxa"/>
            <w:shd w:val="clear" w:color="auto" w:fill="auto"/>
          </w:tcPr>
          <w:p w14:paraId="2949B6BA" w14:textId="77777777" w:rsidR="00EE45B0" w:rsidRPr="00447EAC" w:rsidRDefault="00DD79B3" w:rsidP="00787AB9">
            <w:pPr>
              <w:pStyle w:val="Paragraph"/>
              <w:spacing w:before="40" w:after="40" w:line="240" w:lineRule="auto"/>
              <w:rPr>
                <w:rFonts w:cs="Arial"/>
                <w:b/>
                <w:sz w:val="18"/>
                <w:szCs w:val="18"/>
              </w:rPr>
            </w:pPr>
            <w:r w:rsidRPr="00447EAC">
              <w:rPr>
                <w:rFonts w:cs="Arial"/>
                <w:b/>
                <w:sz w:val="18"/>
                <w:szCs w:val="18"/>
                <w:vertAlign w:val="superscript"/>
              </w:rPr>
              <w:t>1</w:t>
            </w:r>
            <w:r w:rsidR="00EE45B0" w:rsidRPr="00447EAC">
              <w:rPr>
                <w:rFonts w:cs="Arial"/>
                <w:b/>
                <w:sz w:val="18"/>
                <w:szCs w:val="18"/>
              </w:rPr>
              <w:t>Key</w:t>
            </w:r>
          </w:p>
        </w:tc>
        <w:tc>
          <w:tcPr>
            <w:tcW w:w="8222" w:type="dxa"/>
            <w:shd w:val="clear" w:color="auto" w:fill="auto"/>
          </w:tcPr>
          <w:p w14:paraId="0BF3C1FC" w14:textId="77777777" w:rsidR="00EE45B0" w:rsidRPr="00447EAC" w:rsidRDefault="00EE45B0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E45B0" w14:paraId="1001CEE4" w14:textId="77777777" w:rsidTr="00787AB9">
        <w:tc>
          <w:tcPr>
            <w:tcW w:w="1418" w:type="dxa"/>
            <w:shd w:val="clear" w:color="auto" w:fill="auto"/>
          </w:tcPr>
          <w:p w14:paraId="4FFDE696" w14:textId="77777777" w:rsidR="00EE45B0" w:rsidRPr="00447EAC" w:rsidRDefault="00EE45B0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Format</w:t>
            </w:r>
          </w:p>
        </w:tc>
        <w:tc>
          <w:tcPr>
            <w:tcW w:w="8222" w:type="dxa"/>
            <w:shd w:val="clear" w:color="auto" w:fill="auto"/>
          </w:tcPr>
          <w:p w14:paraId="5A83DEA9" w14:textId="77777777" w:rsidR="00EE45B0" w:rsidRPr="00447EAC" w:rsidRDefault="00692426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Change in format</w:t>
            </w:r>
          </w:p>
        </w:tc>
      </w:tr>
      <w:tr w:rsidR="00EE45B0" w14:paraId="3E671003" w14:textId="77777777" w:rsidTr="00787AB9">
        <w:tc>
          <w:tcPr>
            <w:tcW w:w="1418" w:type="dxa"/>
            <w:shd w:val="clear" w:color="auto" w:fill="auto"/>
          </w:tcPr>
          <w:p w14:paraId="306ABDF9" w14:textId="77777777" w:rsidR="00EE45B0" w:rsidRPr="00447EAC" w:rsidRDefault="00EE45B0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Substitution</w:t>
            </w:r>
          </w:p>
        </w:tc>
        <w:tc>
          <w:tcPr>
            <w:tcW w:w="8222" w:type="dxa"/>
            <w:shd w:val="clear" w:color="auto" w:fill="auto"/>
          </w:tcPr>
          <w:p w14:paraId="0A06B554" w14:textId="77777777" w:rsidR="00EE45B0" w:rsidRPr="00447EAC" w:rsidRDefault="00692426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Old clause removed and replaced with new clause</w:t>
            </w:r>
          </w:p>
        </w:tc>
      </w:tr>
      <w:tr w:rsidR="00EE45B0" w14:paraId="6319E025" w14:textId="77777777" w:rsidTr="00787AB9">
        <w:tc>
          <w:tcPr>
            <w:tcW w:w="1418" w:type="dxa"/>
            <w:shd w:val="clear" w:color="auto" w:fill="auto"/>
          </w:tcPr>
          <w:p w14:paraId="12DE1B49" w14:textId="77777777" w:rsidR="00EE45B0" w:rsidRPr="00447EAC" w:rsidRDefault="00EE45B0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New</w:t>
            </w:r>
          </w:p>
        </w:tc>
        <w:tc>
          <w:tcPr>
            <w:tcW w:w="8222" w:type="dxa"/>
            <w:shd w:val="clear" w:color="auto" w:fill="auto"/>
          </w:tcPr>
          <w:p w14:paraId="6DC96AFA" w14:textId="77777777" w:rsidR="00EE45B0" w:rsidRPr="00447EAC" w:rsidRDefault="00692426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Insertion of new clause</w:t>
            </w:r>
          </w:p>
        </w:tc>
      </w:tr>
      <w:tr w:rsidR="00EE45B0" w14:paraId="3F7C2F71" w14:textId="77777777" w:rsidTr="00787AB9">
        <w:tc>
          <w:tcPr>
            <w:tcW w:w="1418" w:type="dxa"/>
            <w:shd w:val="clear" w:color="auto" w:fill="auto"/>
          </w:tcPr>
          <w:p w14:paraId="72B8D7DC" w14:textId="77777777" w:rsidR="00EE45B0" w:rsidRPr="00447EAC" w:rsidRDefault="00EE45B0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Removed</w:t>
            </w:r>
          </w:p>
        </w:tc>
        <w:tc>
          <w:tcPr>
            <w:tcW w:w="8222" w:type="dxa"/>
            <w:shd w:val="clear" w:color="auto" w:fill="auto"/>
          </w:tcPr>
          <w:p w14:paraId="383E0CC2" w14:textId="77777777" w:rsidR="00EE45B0" w:rsidRPr="00447EAC" w:rsidRDefault="00692426" w:rsidP="00787AB9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447EAC">
              <w:rPr>
                <w:rFonts w:cs="Arial"/>
                <w:sz w:val="18"/>
                <w:szCs w:val="18"/>
              </w:rPr>
              <w:t>Old clauses removed</w:t>
            </w:r>
          </w:p>
        </w:tc>
      </w:tr>
    </w:tbl>
    <w:p w14:paraId="1A34C809" w14:textId="77777777" w:rsidR="0012140B" w:rsidRDefault="0012140B">
      <w:pPr>
        <w:spacing w:line="240" w:lineRule="auto"/>
      </w:pPr>
    </w:p>
    <w:p w14:paraId="75EACDC5" w14:textId="1B39C323" w:rsidR="0012140B" w:rsidRDefault="0012140B">
      <w:pPr>
        <w:spacing w:line="240" w:lineRule="auto"/>
      </w:pPr>
    </w:p>
    <w:sectPr w:rsidR="0012140B" w:rsidSect="00787AB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771BD" w14:textId="77777777" w:rsidR="000B2BB0" w:rsidRDefault="000B2BB0">
      <w:r>
        <w:separator/>
      </w:r>
    </w:p>
  </w:endnote>
  <w:endnote w:type="continuationSeparator" w:id="0">
    <w:p w14:paraId="037F7D32" w14:textId="77777777" w:rsidR="000B2BB0" w:rsidRDefault="000B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DB1C19" w14:paraId="715A9009" w14:textId="77777777" w:rsidTr="00CF2CCF">
      <w:tc>
        <w:tcPr>
          <w:tcW w:w="3285" w:type="dxa"/>
        </w:tcPr>
        <w:p w14:paraId="23968D1F" w14:textId="57AABF43" w:rsidR="00DB1C19" w:rsidRDefault="00DB1C19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61B09ACD" w14:textId="77777777" w:rsidR="00DB1C19" w:rsidRDefault="00DB1C19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4F2FA1AF" w14:textId="31FA033F" w:rsidR="00DB1C19" w:rsidRDefault="00DB1C19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430F8">
            <w:rPr>
              <w:rFonts w:ascii="Arial" w:hAnsi="Arial" w:cs="Arial"/>
              <w:spacing w:val="0"/>
              <w:sz w:val="16"/>
              <w:szCs w:val="16"/>
            </w:rPr>
            <w:t>May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430F8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2452C9">
            <w:rPr>
              <w:rFonts w:ascii="Arial" w:hAnsi="Arial" w:cs="Arial"/>
              <w:noProof/>
              <w:spacing w:val="0"/>
              <w:sz w:val="16"/>
              <w:szCs w:val="16"/>
            </w:rPr>
            <w:t>4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3A54A4D4" w14:textId="77777777" w:rsidR="00DB1C19" w:rsidRPr="00CF2CCF" w:rsidRDefault="00DB1C19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DB1C19" w14:paraId="7131C0BD" w14:textId="77777777" w:rsidTr="00C723CE">
      <w:tc>
        <w:tcPr>
          <w:tcW w:w="3285" w:type="dxa"/>
        </w:tcPr>
        <w:p w14:paraId="714C5931" w14:textId="6D57AD93" w:rsidR="00DB1C19" w:rsidRDefault="00DB1C19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19069E78" w14:textId="77777777" w:rsidR="00DB1C19" w:rsidRDefault="00DB1C19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2DFA2A33" w14:textId="0CEF9893" w:rsidR="00DB1C19" w:rsidRDefault="00DB1C19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430F8">
            <w:rPr>
              <w:rFonts w:ascii="Arial" w:hAnsi="Arial" w:cs="Arial"/>
              <w:spacing w:val="0"/>
              <w:sz w:val="16"/>
              <w:szCs w:val="16"/>
            </w:rPr>
            <w:t>May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430F8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0C5D56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1CBC072D" w14:textId="77777777" w:rsidR="00DB1C19" w:rsidRPr="00CF2CCF" w:rsidRDefault="00DB1C19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C2AEB" w14:textId="77777777" w:rsidR="000B2BB0" w:rsidRDefault="000B2BB0">
      <w:r>
        <w:separator/>
      </w:r>
    </w:p>
  </w:footnote>
  <w:footnote w:type="continuationSeparator" w:id="0">
    <w:p w14:paraId="4CF64C69" w14:textId="77777777" w:rsidR="000B2BB0" w:rsidRDefault="000B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B988" w14:textId="27BDE143" w:rsidR="00DB1C19" w:rsidRDefault="00DB1C19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r w:rsidR="00447EAC">
      <w:fldChar w:fldCharType="begin"/>
    </w:r>
    <w:r w:rsidR="00447EAC">
      <w:instrText xml:space="preserve"> DOCPROPERTY  a_project_number </w:instrText>
    </w:r>
    <w:r w:rsidR="00447EAC">
      <w:fldChar w:fldCharType="separate"/>
    </w:r>
    <w:r w:rsidR="00C430F8">
      <w:t>AGPT/T272</w:t>
    </w:r>
    <w:r w:rsidR="00447EAC">
      <w:fldChar w:fldCharType="end"/>
    </w:r>
  </w:p>
  <w:p w14:paraId="2A4D7A84" w14:textId="1505B1B9" w:rsidR="00DB1C19" w:rsidRPr="005474C1" w:rsidRDefault="00DB1C19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C430F8">
      <w:t>Determination of Abrasion Loss of Bituminous Slurry (Wet Track Abrasion Test)</w:t>
    </w:r>
    <w:r w:rsidRPr="005474C1">
      <w:fldChar w:fldCharType="end"/>
    </w:r>
  </w:p>
  <w:p w14:paraId="7961D7D7" w14:textId="77777777" w:rsidR="00DB1C19" w:rsidRPr="000D5663" w:rsidRDefault="00DB1C19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2C87" w14:textId="77777777" w:rsidR="00DB1C19" w:rsidRDefault="00DB1C19" w:rsidP="00AF1869">
    <w:pPr>
      <w:pStyle w:val="Header"/>
      <w:pBdr>
        <w:bottom w:val="dotted" w:sz="4" w:space="1" w:color="auto"/>
      </w:pBdr>
    </w:pPr>
  </w:p>
  <w:p w14:paraId="1AC11049" w14:textId="77777777" w:rsidR="00DB1C19" w:rsidRDefault="00DB1C19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0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0"/>
  </w:num>
  <w:num w:numId="5">
    <w:abstractNumId w:val="21"/>
  </w:num>
  <w:num w:numId="6">
    <w:abstractNumId w:val="18"/>
  </w:num>
  <w:num w:numId="7">
    <w:abstractNumId w:val="22"/>
  </w:num>
  <w:num w:numId="8">
    <w:abstractNumId w:val="10"/>
  </w:num>
  <w:num w:numId="9">
    <w:abstractNumId w:val="26"/>
  </w:num>
  <w:num w:numId="10">
    <w:abstractNumId w:val="28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4"/>
  </w:num>
  <w:num w:numId="29">
    <w:abstractNumId w:val="27"/>
  </w:num>
  <w:num w:numId="30">
    <w:abstractNumId w:val="1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C"/>
    <w:rsid w:val="000046E7"/>
    <w:rsid w:val="00007FA7"/>
    <w:rsid w:val="00011935"/>
    <w:rsid w:val="000121B9"/>
    <w:rsid w:val="00023A08"/>
    <w:rsid w:val="00031C52"/>
    <w:rsid w:val="000417B2"/>
    <w:rsid w:val="00043DEF"/>
    <w:rsid w:val="0005002F"/>
    <w:rsid w:val="000515FB"/>
    <w:rsid w:val="00062E37"/>
    <w:rsid w:val="000723A7"/>
    <w:rsid w:val="00087CC7"/>
    <w:rsid w:val="000A2E26"/>
    <w:rsid w:val="000A60CB"/>
    <w:rsid w:val="000B2BB0"/>
    <w:rsid w:val="000C503B"/>
    <w:rsid w:val="000C5D56"/>
    <w:rsid w:val="000C6261"/>
    <w:rsid w:val="000D5663"/>
    <w:rsid w:val="00113B02"/>
    <w:rsid w:val="00114AAD"/>
    <w:rsid w:val="00114D11"/>
    <w:rsid w:val="00120C5D"/>
    <w:rsid w:val="0012140B"/>
    <w:rsid w:val="00136C84"/>
    <w:rsid w:val="001443A0"/>
    <w:rsid w:val="00153E12"/>
    <w:rsid w:val="00162A05"/>
    <w:rsid w:val="00165336"/>
    <w:rsid w:val="001732B5"/>
    <w:rsid w:val="00174F18"/>
    <w:rsid w:val="00186978"/>
    <w:rsid w:val="00187816"/>
    <w:rsid w:val="00193779"/>
    <w:rsid w:val="00197F9F"/>
    <w:rsid w:val="001A0B31"/>
    <w:rsid w:val="001B6E44"/>
    <w:rsid w:val="001C1EE5"/>
    <w:rsid w:val="001C3085"/>
    <w:rsid w:val="001C63FD"/>
    <w:rsid w:val="001D1375"/>
    <w:rsid w:val="001D1EBC"/>
    <w:rsid w:val="001D6A94"/>
    <w:rsid w:val="001D7D7C"/>
    <w:rsid w:val="001E1839"/>
    <w:rsid w:val="001E547E"/>
    <w:rsid w:val="001E67F0"/>
    <w:rsid w:val="001F01EA"/>
    <w:rsid w:val="001F09D1"/>
    <w:rsid w:val="001F25F8"/>
    <w:rsid w:val="001F65AD"/>
    <w:rsid w:val="00213FE0"/>
    <w:rsid w:val="002164A8"/>
    <w:rsid w:val="00216B9F"/>
    <w:rsid w:val="0022370C"/>
    <w:rsid w:val="00232203"/>
    <w:rsid w:val="0024126B"/>
    <w:rsid w:val="002452C9"/>
    <w:rsid w:val="002500F7"/>
    <w:rsid w:val="002503F5"/>
    <w:rsid w:val="00250B86"/>
    <w:rsid w:val="0025715D"/>
    <w:rsid w:val="00262E29"/>
    <w:rsid w:val="0026793B"/>
    <w:rsid w:val="00283A10"/>
    <w:rsid w:val="00295C9E"/>
    <w:rsid w:val="00296F4D"/>
    <w:rsid w:val="002B3ADB"/>
    <w:rsid w:val="002C1366"/>
    <w:rsid w:val="002D3E57"/>
    <w:rsid w:val="002E2578"/>
    <w:rsid w:val="002E4E8C"/>
    <w:rsid w:val="002F10FD"/>
    <w:rsid w:val="003009C8"/>
    <w:rsid w:val="00313B3F"/>
    <w:rsid w:val="003156A8"/>
    <w:rsid w:val="003169C4"/>
    <w:rsid w:val="003370C6"/>
    <w:rsid w:val="003378E3"/>
    <w:rsid w:val="00340127"/>
    <w:rsid w:val="003507B5"/>
    <w:rsid w:val="0035744A"/>
    <w:rsid w:val="00366340"/>
    <w:rsid w:val="00394354"/>
    <w:rsid w:val="003A41DE"/>
    <w:rsid w:val="003B26CA"/>
    <w:rsid w:val="003B6383"/>
    <w:rsid w:val="003D494A"/>
    <w:rsid w:val="004131B5"/>
    <w:rsid w:val="0041576A"/>
    <w:rsid w:val="00426893"/>
    <w:rsid w:val="00436E82"/>
    <w:rsid w:val="004440AE"/>
    <w:rsid w:val="00447EAC"/>
    <w:rsid w:val="004575C4"/>
    <w:rsid w:val="00462449"/>
    <w:rsid w:val="00465B13"/>
    <w:rsid w:val="004838D9"/>
    <w:rsid w:val="004842EC"/>
    <w:rsid w:val="004941DF"/>
    <w:rsid w:val="004A172F"/>
    <w:rsid w:val="004A2ADD"/>
    <w:rsid w:val="004A45BC"/>
    <w:rsid w:val="004A70B0"/>
    <w:rsid w:val="004B1AA0"/>
    <w:rsid w:val="004B5EF8"/>
    <w:rsid w:val="004C02B2"/>
    <w:rsid w:val="004C2DB5"/>
    <w:rsid w:val="004D3590"/>
    <w:rsid w:val="0050277A"/>
    <w:rsid w:val="00507AB3"/>
    <w:rsid w:val="00517619"/>
    <w:rsid w:val="00527664"/>
    <w:rsid w:val="0053443C"/>
    <w:rsid w:val="00534D0E"/>
    <w:rsid w:val="005357C4"/>
    <w:rsid w:val="005474C1"/>
    <w:rsid w:val="005510B0"/>
    <w:rsid w:val="0056306B"/>
    <w:rsid w:val="00576FA1"/>
    <w:rsid w:val="005863D5"/>
    <w:rsid w:val="00587759"/>
    <w:rsid w:val="00595C73"/>
    <w:rsid w:val="00596335"/>
    <w:rsid w:val="005A186F"/>
    <w:rsid w:val="005A27F0"/>
    <w:rsid w:val="005A2CA0"/>
    <w:rsid w:val="005A42DF"/>
    <w:rsid w:val="005A49C1"/>
    <w:rsid w:val="005B55A4"/>
    <w:rsid w:val="005C0049"/>
    <w:rsid w:val="005D0D2E"/>
    <w:rsid w:val="005D60A0"/>
    <w:rsid w:val="0060010F"/>
    <w:rsid w:val="006007A3"/>
    <w:rsid w:val="00607728"/>
    <w:rsid w:val="006155F1"/>
    <w:rsid w:val="006417CA"/>
    <w:rsid w:val="00650AB7"/>
    <w:rsid w:val="006602DF"/>
    <w:rsid w:val="00661CD3"/>
    <w:rsid w:val="006709D6"/>
    <w:rsid w:val="006841A0"/>
    <w:rsid w:val="00692426"/>
    <w:rsid w:val="006A2E90"/>
    <w:rsid w:val="006B0DA5"/>
    <w:rsid w:val="006D7716"/>
    <w:rsid w:val="007003A4"/>
    <w:rsid w:val="00702A31"/>
    <w:rsid w:val="00703F81"/>
    <w:rsid w:val="00704384"/>
    <w:rsid w:val="00707A0D"/>
    <w:rsid w:val="00713A3E"/>
    <w:rsid w:val="00720CC8"/>
    <w:rsid w:val="007256FC"/>
    <w:rsid w:val="00731EA0"/>
    <w:rsid w:val="007334B9"/>
    <w:rsid w:val="007420A9"/>
    <w:rsid w:val="00747E32"/>
    <w:rsid w:val="007538EF"/>
    <w:rsid w:val="00766CFF"/>
    <w:rsid w:val="0077346B"/>
    <w:rsid w:val="007750F9"/>
    <w:rsid w:val="0077670C"/>
    <w:rsid w:val="0078373C"/>
    <w:rsid w:val="00785CB8"/>
    <w:rsid w:val="00787AB9"/>
    <w:rsid w:val="00791750"/>
    <w:rsid w:val="007A049C"/>
    <w:rsid w:val="007C14C4"/>
    <w:rsid w:val="007C593B"/>
    <w:rsid w:val="007C7EAF"/>
    <w:rsid w:val="007D0542"/>
    <w:rsid w:val="007D4855"/>
    <w:rsid w:val="007D64D8"/>
    <w:rsid w:val="007F44C6"/>
    <w:rsid w:val="007F57FF"/>
    <w:rsid w:val="008057B5"/>
    <w:rsid w:val="0080586D"/>
    <w:rsid w:val="00806DB6"/>
    <w:rsid w:val="00812D90"/>
    <w:rsid w:val="00825E38"/>
    <w:rsid w:val="008421B3"/>
    <w:rsid w:val="008533F8"/>
    <w:rsid w:val="00853673"/>
    <w:rsid w:val="00867BCB"/>
    <w:rsid w:val="00884FB4"/>
    <w:rsid w:val="0089137C"/>
    <w:rsid w:val="008A3AE9"/>
    <w:rsid w:val="008C44C7"/>
    <w:rsid w:val="008D1084"/>
    <w:rsid w:val="008F461C"/>
    <w:rsid w:val="00905FA2"/>
    <w:rsid w:val="00913FBD"/>
    <w:rsid w:val="00920B37"/>
    <w:rsid w:val="00921333"/>
    <w:rsid w:val="009258C2"/>
    <w:rsid w:val="00926DD7"/>
    <w:rsid w:val="009308F8"/>
    <w:rsid w:val="00932483"/>
    <w:rsid w:val="00932D3C"/>
    <w:rsid w:val="009331B0"/>
    <w:rsid w:val="00947CCF"/>
    <w:rsid w:val="00950240"/>
    <w:rsid w:val="00961628"/>
    <w:rsid w:val="0096475F"/>
    <w:rsid w:val="0097148B"/>
    <w:rsid w:val="00972CA4"/>
    <w:rsid w:val="009734DF"/>
    <w:rsid w:val="00976561"/>
    <w:rsid w:val="009770C4"/>
    <w:rsid w:val="00982DC7"/>
    <w:rsid w:val="00991F8D"/>
    <w:rsid w:val="00995EDC"/>
    <w:rsid w:val="009A12A1"/>
    <w:rsid w:val="009A4F6F"/>
    <w:rsid w:val="009A521F"/>
    <w:rsid w:val="009B61CB"/>
    <w:rsid w:val="009C524B"/>
    <w:rsid w:val="009D12D1"/>
    <w:rsid w:val="009D4332"/>
    <w:rsid w:val="009D5FD5"/>
    <w:rsid w:val="009F10E2"/>
    <w:rsid w:val="009F7929"/>
    <w:rsid w:val="00A10CED"/>
    <w:rsid w:val="00A23B65"/>
    <w:rsid w:val="00A37543"/>
    <w:rsid w:val="00A5124C"/>
    <w:rsid w:val="00A75618"/>
    <w:rsid w:val="00A83232"/>
    <w:rsid w:val="00AA1C34"/>
    <w:rsid w:val="00AB3A67"/>
    <w:rsid w:val="00AC3FF0"/>
    <w:rsid w:val="00AC7873"/>
    <w:rsid w:val="00AD7B4C"/>
    <w:rsid w:val="00AE4305"/>
    <w:rsid w:val="00AF043B"/>
    <w:rsid w:val="00AF1869"/>
    <w:rsid w:val="00AF2D0A"/>
    <w:rsid w:val="00AF3384"/>
    <w:rsid w:val="00AF689B"/>
    <w:rsid w:val="00B01290"/>
    <w:rsid w:val="00B03182"/>
    <w:rsid w:val="00B0675D"/>
    <w:rsid w:val="00B07B35"/>
    <w:rsid w:val="00B41025"/>
    <w:rsid w:val="00B50184"/>
    <w:rsid w:val="00B56207"/>
    <w:rsid w:val="00B822D5"/>
    <w:rsid w:val="00B840DD"/>
    <w:rsid w:val="00B8419B"/>
    <w:rsid w:val="00B85634"/>
    <w:rsid w:val="00B95FF3"/>
    <w:rsid w:val="00BA7256"/>
    <w:rsid w:val="00BC1B7F"/>
    <w:rsid w:val="00BD0969"/>
    <w:rsid w:val="00BE7499"/>
    <w:rsid w:val="00BE76AD"/>
    <w:rsid w:val="00BF2487"/>
    <w:rsid w:val="00BF4517"/>
    <w:rsid w:val="00BF6BCA"/>
    <w:rsid w:val="00C12EF6"/>
    <w:rsid w:val="00C2664E"/>
    <w:rsid w:val="00C32D42"/>
    <w:rsid w:val="00C35ACF"/>
    <w:rsid w:val="00C40BF3"/>
    <w:rsid w:val="00C41E5D"/>
    <w:rsid w:val="00C430F8"/>
    <w:rsid w:val="00C50864"/>
    <w:rsid w:val="00C55E36"/>
    <w:rsid w:val="00C723CE"/>
    <w:rsid w:val="00C75583"/>
    <w:rsid w:val="00C83611"/>
    <w:rsid w:val="00C850EC"/>
    <w:rsid w:val="00C92F24"/>
    <w:rsid w:val="00CC533D"/>
    <w:rsid w:val="00CC7FDC"/>
    <w:rsid w:val="00CD4CF8"/>
    <w:rsid w:val="00CE698B"/>
    <w:rsid w:val="00CF013F"/>
    <w:rsid w:val="00CF16D8"/>
    <w:rsid w:val="00CF2CCF"/>
    <w:rsid w:val="00CF5ECA"/>
    <w:rsid w:val="00CF6354"/>
    <w:rsid w:val="00CF70BF"/>
    <w:rsid w:val="00D00C7A"/>
    <w:rsid w:val="00D0599E"/>
    <w:rsid w:val="00D07A67"/>
    <w:rsid w:val="00D136BF"/>
    <w:rsid w:val="00D16708"/>
    <w:rsid w:val="00D2007A"/>
    <w:rsid w:val="00D21402"/>
    <w:rsid w:val="00D65185"/>
    <w:rsid w:val="00D95D8D"/>
    <w:rsid w:val="00DB09D8"/>
    <w:rsid w:val="00DB1C19"/>
    <w:rsid w:val="00DB267A"/>
    <w:rsid w:val="00DB398D"/>
    <w:rsid w:val="00DB69D9"/>
    <w:rsid w:val="00DC1869"/>
    <w:rsid w:val="00DC2237"/>
    <w:rsid w:val="00DD308B"/>
    <w:rsid w:val="00DD53FA"/>
    <w:rsid w:val="00DD79B3"/>
    <w:rsid w:val="00DE615C"/>
    <w:rsid w:val="00DF0506"/>
    <w:rsid w:val="00E0363D"/>
    <w:rsid w:val="00E05F63"/>
    <w:rsid w:val="00E06468"/>
    <w:rsid w:val="00E1587B"/>
    <w:rsid w:val="00E16C99"/>
    <w:rsid w:val="00E30747"/>
    <w:rsid w:val="00E31E00"/>
    <w:rsid w:val="00E52772"/>
    <w:rsid w:val="00E52A2A"/>
    <w:rsid w:val="00E547A5"/>
    <w:rsid w:val="00E54841"/>
    <w:rsid w:val="00E55BBB"/>
    <w:rsid w:val="00E61311"/>
    <w:rsid w:val="00E844F4"/>
    <w:rsid w:val="00E93EA9"/>
    <w:rsid w:val="00EA63F9"/>
    <w:rsid w:val="00EC4B23"/>
    <w:rsid w:val="00ED4806"/>
    <w:rsid w:val="00ED6941"/>
    <w:rsid w:val="00EE45B0"/>
    <w:rsid w:val="00F12FAC"/>
    <w:rsid w:val="00F2020C"/>
    <w:rsid w:val="00F272CB"/>
    <w:rsid w:val="00F404D4"/>
    <w:rsid w:val="00F52376"/>
    <w:rsid w:val="00F57209"/>
    <w:rsid w:val="00F67953"/>
    <w:rsid w:val="00F90CC0"/>
    <w:rsid w:val="00F91665"/>
    <w:rsid w:val="00FA0262"/>
    <w:rsid w:val="00FB05D7"/>
    <w:rsid w:val="00FB4964"/>
    <w:rsid w:val="00FC48D9"/>
    <w:rsid w:val="00FC5E9F"/>
    <w:rsid w:val="00FD4A8D"/>
    <w:rsid w:val="00FF0745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CE57294"/>
  <w15:docId w15:val="{709F2EC1-D1DB-4046-B475-A808B417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link w:val="Heading1Char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447EAC"/>
    <w:pPr>
      <w:framePr w:hSpace="181" w:wrap="around" w:vAnchor="text" w:hAnchor="margin" w:xAlign="right" w:y="285"/>
      <w:tabs>
        <w:tab w:val="left" w:pos="340"/>
        <w:tab w:val="right" w:leader="dot" w:pos="3676"/>
      </w:tabs>
      <w:spacing w:after="60" w:line="240" w:lineRule="atLeast"/>
      <w:ind w:left="340" w:hanging="340"/>
      <w:contextualSpacing/>
      <w:suppressOverlap/>
    </w:pPr>
    <w:rPr>
      <w:rFonts w:ascii="Arial" w:hAnsi="Arial"/>
      <w:bCs/>
      <w:sz w:val="18"/>
      <w:szCs w:val="22"/>
    </w:rPr>
  </w:style>
  <w:style w:type="paragraph" w:styleId="TOC2">
    <w:name w:val="toc 2"/>
    <w:next w:val="Normal"/>
    <w:autoRedefine/>
    <w:uiPriority w:val="39"/>
    <w:rsid w:val="001F25F8"/>
    <w:pPr>
      <w:framePr w:hSpace="181" w:wrap="around" w:vAnchor="text" w:hAnchor="margin" w:xAlign="right" w:y="285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sz w:val="14"/>
      <w:szCs w:val="22"/>
    </w:rPr>
  </w:style>
  <w:style w:type="paragraph" w:styleId="TOC3">
    <w:name w:val="toc 3"/>
    <w:next w:val="Normal"/>
    <w:link w:val="TOC3Char"/>
    <w:autoRedefine/>
    <w:uiPriority w:val="39"/>
    <w:rsid w:val="001F25F8"/>
    <w:pPr>
      <w:framePr w:hSpace="181" w:wrap="around" w:vAnchor="text" w:hAnchor="margin" w:xAlign="right" w:y="285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4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E61311"/>
    <w:pPr>
      <w:keepNext/>
      <w:keepLines/>
      <w:spacing w:before="240" w:after="120"/>
    </w:pPr>
    <w:rPr>
      <w:rFonts w:ascii="Arial Narrow" w:hAnsi="Arial Narrow"/>
      <w:b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447EAC"/>
    <w:pPr>
      <w:keepNext/>
      <w:spacing w:before="240" w:after="120"/>
    </w:pPr>
    <w:rPr>
      <w:rFonts w:ascii="Arial Bold" w:hAnsi="Arial Bold"/>
      <w:b/>
      <w:sz w:val="18"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link w:val="BodyTextChar"/>
    <w:uiPriority w:val="1"/>
    <w:qFormat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F52376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447EAC"/>
    <w:rPr>
      <w:rFonts w:ascii="Arial" w:hAnsi="Arial"/>
      <w:bCs/>
      <w:sz w:val="18"/>
      <w:szCs w:val="22"/>
    </w:rPr>
  </w:style>
  <w:style w:type="character" w:customStyle="1" w:styleId="TOC3Char">
    <w:name w:val="TOC 3 Char"/>
    <w:link w:val="TOC3"/>
    <w:uiPriority w:val="39"/>
    <w:rsid w:val="001F25F8"/>
    <w:rPr>
      <w:rFonts w:ascii="Arial" w:hAnsi="Arial"/>
      <w:bCs/>
      <w:noProof/>
      <w:sz w:val="14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paragraph" w:customStyle="1" w:styleId="TableParagraph">
    <w:name w:val="Table Paragraph"/>
    <w:basedOn w:val="Normal"/>
    <w:uiPriority w:val="1"/>
    <w:qFormat/>
    <w:rsid w:val="004D3590"/>
    <w:pPr>
      <w:widowControl w:val="0"/>
      <w:autoSpaceDE w:val="0"/>
      <w:autoSpaceDN w:val="0"/>
      <w:adjustRightInd w:val="0"/>
      <w:spacing w:line="240" w:lineRule="auto"/>
    </w:pPr>
    <w:rPr>
      <w:rFonts w:ascii="Arial Narrow" w:eastAsiaTheme="minorEastAsia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3590"/>
    <w:rPr>
      <w:rFonts w:ascii="Arial" w:hAnsi="Arial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89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982DC7"/>
    <w:rPr>
      <w:rFonts w:ascii="Arial Bold" w:hAnsi="Arial Bold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BA2F-3B7E-4598-9DEA-956E51AD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10</TotalTime>
  <Pages>5</Pages>
  <Words>1462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%USERPROFILE%</dc:creator>
  <cp:lastModifiedBy>Elaena Gardner</cp:lastModifiedBy>
  <cp:revision>6</cp:revision>
  <cp:lastPrinted>2018-05-08T02:34:00Z</cp:lastPrinted>
  <dcterms:created xsi:type="dcterms:W3CDTF">2018-05-08T02:32:00Z</dcterms:created>
  <dcterms:modified xsi:type="dcterms:W3CDTF">2018-05-10T00:20:00Z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May</vt:lpwstr>
  </property>
  <property fmtid="{D5CDD505-2E9C-101B-9397-08002B2CF9AE}" pid="3" name="a_report_year">
    <vt:lpwstr>2018</vt:lpwstr>
  </property>
  <property fmtid="{D5CDD505-2E9C-101B-9397-08002B2CF9AE}" pid="4" name="a_project_number">
    <vt:lpwstr>AGPT/T272</vt:lpwstr>
  </property>
  <property fmtid="{D5CDD505-2E9C-101B-9397-08002B2CF9AE}" pid="5" name="a_title">
    <vt:lpwstr>Determination of Abrasion Loss of Bituminous Slurry (Wet Track Abrasion Test)</vt:lpwstr>
  </property>
  <property fmtid="{D5CDD505-2E9C-101B-9397-08002B2CF9AE}" pid="6" name="Footer_Ref">
    <vt:lpwstr>TC-423-1-3-9</vt:lpwstr>
  </property>
  <property fmtid="{D5CDD505-2E9C-101B-9397-08002B2CF9AE}" pid="7" name="a_ARRB_Project_Leader">
    <vt:lpwstr>Steve Patrick</vt:lpwstr>
  </property>
  <property fmtid="{D5CDD505-2E9C-101B-9397-08002B2CF9AE}" pid="8" name="a_ARRB_Quality_Manager">
    <vt:lpwstr>Young Choi</vt:lpwstr>
  </property>
  <property fmtid="{D5CDD505-2E9C-101B-9397-08002B2CF9AE}" pid="9" name="a_author">
    <vt:lpwstr/>
  </property>
  <property fmtid="{D5CDD505-2E9C-101B-9397-08002B2CF9AE}" pid="10" name="a_Austraods_Project_No">
    <vt:lpwstr>APT2040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