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3AB9" w14:textId="77777777"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9264" behindDoc="1" locked="0" layoutInCell="1" allowOverlap="1" wp14:anchorId="44414814" wp14:editId="1776F8F1">
            <wp:simplePos x="0" y="0"/>
            <wp:positionH relativeFrom="column">
              <wp:posOffset>5099685</wp:posOffset>
            </wp:positionH>
            <wp:positionV relativeFrom="paragraph">
              <wp:posOffset>528955</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rsidR="009F4A74">
        <w:tab/>
      </w:r>
    </w:p>
    <w:p w14:paraId="68D19456" w14:textId="48C3E13C" w:rsidR="001F1A04" w:rsidRDefault="001F1A04" w:rsidP="001F1A04">
      <w:pPr>
        <w:pStyle w:val="ChapterHeading"/>
      </w:pPr>
      <w:r w:rsidRPr="000C48A3">
        <w:t xml:space="preserve">AUSTROADS TEST METHOD </w:t>
      </w:r>
      <w:r>
        <w:t>AGPT/T</w:t>
      </w:r>
      <w:r w:rsidR="00924918">
        <w:t>108</w:t>
      </w:r>
    </w:p>
    <w:p w14:paraId="4B348BDF" w14:textId="418EC279" w:rsidR="00BE1AF9" w:rsidRDefault="00924918" w:rsidP="00BE1AF9">
      <w:pPr>
        <w:pStyle w:val="MethodHeading"/>
      </w:pPr>
      <w:r w:rsidRPr="00924918">
        <w:t>Segregation of Polymer Modified Binders</w:t>
      </w:r>
    </w:p>
    <w:p w14:paraId="39E6C1AE" w14:textId="77777777" w:rsidR="001F1A04" w:rsidRPr="00F06000" w:rsidRDefault="001F1A04" w:rsidP="001F1A04">
      <w:pPr>
        <w:pStyle w:val="Paragraph"/>
        <w:pBdr>
          <w:bottom w:val="dotted" w:sz="4" w:space="1" w:color="auto"/>
        </w:pBdr>
      </w:pPr>
    </w:p>
    <w:p w14:paraId="64A0F79E" w14:textId="77777777" w:rsidR="009B6208" w:rsidRDefault="009B6208" w:rsidP="001F1A04">
      <w:pPr>
        <w:pStyle w:val="Heading-nonumbering"/>
        <w:sectPr w:rsidR="009B6208" w:rsidSect="00FC0913">
          <w:headerReference w:type="default" r:id="rId12"/>
          <w:footerReference w:type="default" r:id="rId13"/>
          <w:pgSz w:w="11907" w:h="16840" w:code="9"/>
          <w:pgMar w:top="1134" w:right="1134" w:bottom="1418" w:left="1134" w:header="720" w:footer="382" w:gutter="0"/>
          <w:pgNumType w:start="1"/>
          <w:cols w:space="720"/>
          <w:noEndnote/>
        </w:sectPr>
      </w:pPr>
    </w:p>
    <w:p w14:paraId="0E484636" w14:textId="77777777" w:rsidR="00F5726B" w:rsidRPr="0072689E" w:rsidRDefault="00FC0913" w:rsidP="00F5726B">
      <w:pPr>
        <w:pStyle w:val="Heading-nonumbering"/>
        <w:rPr>
          <w:rFonts w:cs="Arial"/>
        </w:rPr>
      </w:pPr>
      <w:r w:rsidRPr="0072689E">
        <w:rPr>
          <w:rFonts w:cs="Arial"/>
          <w:noProof/>
        </w:rPr>
        <mc:AlternateContent>
          <mc:Choice Requires="wps">
            <w:drawing>
              <wp:anchor distT="0" distB="0" distL="114300" distR="114300" simplePos="0" relativeHeight="251658239" behindDoc="1" locked="0" layoutInCell="1" allowOverlap="1" wp14:anchorId="4A38E894" wp14:editId="043F43FF">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FFF13B"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" fillcolor="#f2f2f2 [3052]" stroked="f" strokeweight="2pt">
                <w10:wrap type="square"/>
              </v:rect>
            </w:pict>
          </mc:Fallback>
        </mc:AlternateContent>
      </w:r>
      <w:r w:rsidR="00F5726B" w:rsidRPr="0072689E">
        <w:rPr>
          <w:rFonts w:cs="Arial"/>
          <w:noProof/>
        </w:rPr>
        <mc:AlternateContent>
          <mc:Choice Requires="wps">
            <w:drawing>
              <wp:anchor distT="0" distB="0" distL="114300" distR="114300" simplePos="0" relativeHeight="251660288" behindDoc="0" locked="0" layoutInCell="1" allowOverlap="1" wp14:anchorId="0A203308" wp14:editId="10525F86">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77ECC" w14:textId="77777777" w:rsidR="00F5726B" w:rsidRDefault="00F5726B" w:rsidP="0072689E">
                            <w:pPr>
                              <w:pStyle w:val="Heading-nonumbering"/>
                            </w:pPr>
                            <w:r w:rsidRPr="00F5726B">
                              <w:t>Contents</w:t>
                            </w:r>
                          </w:p>
                          <w:sdt>
                            <w:sdtPr>
                              <w:rPr>
                                <w:rFonts w:cs="Times New Roman"/>
                                <w:sz w:val="22"/>
                                <w:szCs w:val="22"/>
                              </w:rPr>
                              <w:id w:val="514350416"/>
                              <w:docPartObj>
                                <w:docPartGallery w:val="Table of Contents"/>
                                <w:docPartUnique/>
                              </w:docPartObj>
                            </w:sdtPr>
                            <w:sdtEndPr>
                              <w:rPr>
                                <w:b/>
                                <w:bCs/>
                                <w:noProof/>
                              </w:rPr>
                            </w:sdtEndPr>
                            <w:sdtContent>
                              <w:p w14:paraId="69C1C739" w14:textId="19FDB308" w:rsidR="006A1F2E" w:rsidRDefault="0009743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1293946" w:history="1">
                                  <w:r w:rsidR="006A1F2E" w:rsidRPr="005224AE">
                                    <w:rPr>
                                      <w:rStyle w:val="Hyperlink"/>
                                      <w:noProof/>
                                    </w:rPr>
                                    <w:t>1.</w:t>
                                  </w:r>
                                  <w:r w:rsidR="006A1F2E">
                                    <w:rPr>
                                      <w:rFonts w:asciiTheme="minorHAnsi" w:eastAsiaTheme="minorEastAsia" w:hAnsiTheme="minorHAnsi" w:cstheme="minorBidi"/>
                                      <w:noProof/>
                                      <w:sz w:val="22"/>
                                      <w:szCs w:val="22"/>
                                    </w:rPr>
                                    <w:tab/>
                                  </w:r>
                                  <w:r w:rsidR="006A1F2E" w:rsidRPr="005224AE">
                                    <w:rPr>
                                      <w:rStyle w:val="Hyperlink"/>
                                      <w:noProof/>
                                    </w:rPr>
                                    <w:t>References</w:t>
                                  </w:r>
                                  <w:r w:rsidR="006A1F2E">
                                    <w:rPr>
                                      <w:noProof/>
                                      <w:webHidden/>
                                    </w:rPr>
                                    <w:tab/>
                                  </w:r>
                                  <w:r w:rsidR="006A1F2E">
                                    <w:rPr>
                                      <w:noProof/>
                                      <w:webHidden/>
                                    </w:rPr>
                                    <w:fldChar w:fldCharType="begin"/>
                                  </w:r>
                                  <w:r w:rsidR="006A1F2E">
                                    <w:rPr>
                                      <w:noProof/>
                                      <w:webHidden/>
                                    </w:rPr>
                                    <w:instrText xml:space="preserve"> PAGEREF _Toc71293946 \h </w:instrText>
                                  </w:r>
                                  <w:r w:rsidR="006A1F2E">
                                    <w:rPr>
                                      <w:noProof/>
                                      <w:webHidden/>
                                    </w:rPr>
                                  </w:r>
                                  <w:r w:rsidR="006A1F2E">
                                    <w:rPr>
                                      <w:noProof/>
                                      <w:webHidden/>
                                    </w:rPr>
                                    <w:fldChar w:fldCharType="separate"/>
                                  </w:r>
                                  <w:r w:rsidR="006A1F2E">
                                    <w:rPr>
                                      <w:noProof/>
                                      <w:webHidden/>
                                    </w:rPr>
                                    <w:t>2</w:t>
                                  </w:r>
                                  <w:r w:rsidR="006A1F2E">
                                    <w:rPr>
                                      <w:noProof/>
                                      <w:webHidden/>
                                    </w:rPr>
                                    <w:fldChar w:fldCharType="end"/>
                                  </w:r>
                                </w:hyperlink>
                              </w:p>
                              <w:p w14:paraId="4A04B4B7" w14:textId="37B57D4F" w:rsidR="006A1F2E" w:rsidRDefault="006A1F2E">
                                <w:pPr>
                                  <w:pStyle w:val="TOC1"/>
                                  <w:rPr>
                                    <w:rFonts w:asciiTheme="minorHAnsi" w:eastAsiaTheme="minorEastAsia" w:hAnsiTheme="minorHAnsi" w:cstheme="minorBidi"/>
                                    <w:noProof/>
                                    <w:sz w:val="22"/>
                                    <w:szCs w:val="22"/>
                                  </w:rPr>
                                </w:pPr>
                                <w:hyperlink w:anchor="_Toc71293947" w:history="1">
                                  <w:r w:rsidRPr="005224AE">
                                    <w:rPr>
                                      <w:rStyle w:val="Hyperlink"/>
                                      <w:noProof/>
                                    </w:rPr>
                                    <w:t>2.</w:t>
                                  </w:r>
                                  <w:r>
                                    <w:rPr>
                                      <w:rFonts w:asciiTheme="minorHAnsi" w:eastAsiaTheme="minorEastAsia" w:hAnsiTheme="minorHAnsi" w:cstheme="minorBidi"/>
                                      <w:noProof/>
                                      <w:sz w:val="22"/>
                                      <w:szCs w:val="22"/>
                                    </w:rPr>
                                    <w:tab/>
                                  </w:r>
                                  <w:r w:rsidRPr="005224AE">
                                    <w:rPr>
                                      <w:rStyle w:val="Hyperlink"/>
                                      <w:noProof/>
                                    </w:rPr>
                                    <w:t>Equipment</w:t>
                                  </w:r>
                                  <w:r>
                                    <w:rPr>
                                      <w:noProof/>
                                      <w:webHidden/>
                                    </w:rPr>
                                    <w:tab/>
                                  </w:r>
                                  <w:r>
                                    <w:rPr>
                                      <w:noProof/>
                                      <w:webHidden/>
                                    </w:rPr>
                                    <w:fldChar w:fldCharType="begin"/>
                                  </w:r>
                                  <w:r>
                                    <w:rPr>
                                      <w:noProof/>
                                      <w:webHidden/>
                                    </w:rPr>
                                    <w:instrText xml:space="preserve"> PAGEREF _Toc71293947 \h </w:instrText>
                                  </w:r>
                                  <w:r>
                                    <w:rPr>
                                      <w:noProof/>
                                      <w:webHidden/>
                                    </w:rPr>
                                  </w:r>
                                  <w:r>
                                    <w:rPr>
                                      <w:noProof/>
                                      <w:webHidden/>
                                    </w:rPr>
                                    <w:fldChar w:fldCharType="separate"/>
                                  </w:r>
                                  <w:r>
                                    <w:rPr>
                                      <w:noProof/>
                                      <w:webHidden/>
                                    </w:rPr>
                                    <w:t>2</w:t>
                                  </w:r>
                                  <w:r>
                                    <w:rPr>
                                      <w:noProof/>
                                      <w:webHidden/>
                                    </w:rPr>
                                    <w:fldChar w:fldCharType="end"/>
                                  </w:r>
                                </w:hyperlink>
                              </w:p>
                              <w:p w14:paraId="3195B69C" w14:textId="1B0189F6" w:rsidR="006A1F2E" w:rsidRDefault="006A1F2E">
                                <w:pPr>
                                  <w:pStyle w:val="TOC1"/>
                                  <w:rPr>
                                    <w:rFonts w:asciiTheme="minorHAnsi" w:eastAsiaTheme="minorEastAsia" w:hAnsiTheme="minorHAnsi" w:cstheme="minorBidi"/>
                                    <w:noProof/>
                                    <w:sz w:val="22"/>
                                    <w:szCs w:val="22"/>
                                  </w:rPr>
                                </w:pPr>
                                <w:hyperlink w:anchor="_Toc71293948" w:history="1">
                                  <w:r w:rsidRPr="005224AE">
                                    <w:rPr>
                                      <w:rStyle w:val="Hyperlink"/>
                                      <w:noProof/>
                                    </w:rPr>
                                    <w:t>3.</w:t>
                                  </w:r>
                                  <w:r>
                                    <w:rPr>
                                      <w:rFonts w:asciiTheme="minorHAnsi" w:eastAsiaTheme="minorEastAsia" w:hAnsiTheme="minorHAnsi" w:cstheme="minorBidi"/>
                                      <w:noProof/>
                                      <w:sz w:val="22"/>
                                      <w:szCs w:val="22"/>
                                    </w:rPr>
                                    <w:tab/>
                                  </w:r>
                                  <w:r w:rsidRPr="005224AE">
                                    <w:rPr>
                                      <w:rStyle w:val="Hyperlink"/>
                                      <w:noProof/>
                                    </w:rPr>
                                    <w:t>Procedure</w:t>
                                  </w:r>
                                  <w:r>
                                    <w:rPr>
                                      <w:noProof/>
                                      <w:webHidden/>
                                    </w:rPr>
                                    <w:tab/>
                                  </w:r>
                                  <w:r>
                                    <w:rPr>
                                      <w:noProof/>
                                      <w:webHidden/>
                                    </w:rPr>
                                    <w:fldChar w:fldCharType="begin"/>
                                  </w:r>
                                  <w:r>
                                    <w:rPr>
                                      <w:noProof/>
                                      <w:webHidden/>
                                    </w:rPr>
                                    <w:instrText xml:space="preserve"> PAGEREF _Toc71293948 \h </w:instrText>
                                  </w:r>
                                  <w:r>
                                    <w:rPr>
                                      <w:noProof/>
                                      <w:webHidden/>
                                    </w:rPr>
                                  </w:r>
                                  <w:r>
                                    <w:rPr>
                                      <w:noProof/>
                                      <w:webHidden/>
                                    </w:rPr>
                                    <w:fldChar w:fldCharType="separate"/>
                                  </w:r>
                                  <w:r>
                                    <w:rPr>
                                      <w:noProof/>
                                      <w:webHidden/>
                                    </w:rPr>
                                    <w:t>2</w:t>
                                  </w:r>
                                  <w:r>
                                    <w:rPr>
                                      <w:noProof/>
                                      <w:webHidden/>
                                    </w:rPr>
                                    <w:fldChar w:fldCharType="end"/>
                                  </w:r>
                                </w:hyperlink>
                              </w:p>
                              <w:p w14:paraId="578B4840" w14:textId="426970D5" w:rsidR="006A1F2E" w:rsidRDefault="006A1F2E">
                                <w:pPr>
                                  <w:pStyle w:val="TOC1"/>
                                  <w:rPr>
                                    <w:rFonts w:asciiTheme="minorHAnsi" w:eastAsiaTheme="minorEastAsia" w:hAnsiTheme="minorHAnsi" w:cstheme="minorBidi"/>
                                    <w:noProof/>
                                    <w:sz w:val="22"/>
                                    <w:szCs w:val="22"/>
                                  </w:rPr>
                                </w:pPr>
                                <w:hyperlink w:anchor="_Toc71293949" w:history="1">
                                  <w:r w:rsidRPr="005224AE">
                                    <w:rPr>
                                      <w:rStyle w:val="Hyperlink"/>
                                      <w:noProof/>
                                    </w:rPr>
                                    <w:t>4.</w:t>
                                  </w:r>
                                  <w:r>
                                    <w:rPr>
                                      <w:rFonts w:asciiTheme="minorHAnsi" w:eastAsiaTheme="minorEastAsia" w:hAnsiTheme="minorHAnsi" w:cstheme="minorBidi"/>
                                      <w:noProof/>
                                      <w:sz w:val="22"/>
                                      <w:szCs w:val="22"/>
                                    </w:rPr>
                                    <w:tab/>
                                  </w:r>
                                  <w:r w:rsidRPr="005224AE">
                                    <w:rPr>
                                      <w:rStyle w:val="Hyperlink"/>
                                      <w:noProof/>
                                    </w:rPr>
                                    <w:t>Calculation</w:t>
                                  </w:r>
                                  <w:r>
                                    <w:rPr>
                                      <w:noProof/>
                                      <w:webHidden/>
                                    </w:rPr>
                                    <w:tab/>
                                  </w:r>
                                  <w:r>
                                    <w:rPr>
                                      <w:noProof/>
                                      <w:webHidden/>
                                    </w:rPr>
                                    <w:fldChar w:fldCharType="begin"/>
                                  </w:r>
                                  <w:r>
                                    <w:rPr>
                                      <w:noProof/>
                                      <w:webHidden/>
                                    </w:rPr>
                                    <w:instrText xml:space="preserve"> PAGEREF _Toc71293949 \h </w:instrText>
                                  </w:r>
                                  <w:r>
                                    <w:rPr>
                                      <w:noProof/>
                                      <w:webHidden/>
                                    </w:rPr>
                                  </w:r>
                                  <w:r>
                                    <w:rPr>
                                      <w:noProof/>
                                      <w:webHidden/>
                                    </w:rPr>
                                    <w:fldChar w:fldCharType="separate"/>
                                  </w:r>
                                  <w:r>
                                    <w:rPr>
                                      <w:noProof/>
                                      <w:webHidden/>
                                    </w:rPr>
                                    <w:t>3</w:t>
                                  </w:r>
                                  <w:r>
                                    <w:rPr>
                                      <w:noProof/>
                                      <w:webHidden/>
                                    </w:rPr>
                                    <w:fldChar w:fldCharType="end"/>
                                  </w:r>
                                </w:hyperlink>
                              </w:p>
                              <w:p w14:paraId="155FA754" w14:textId="4D876584" w:rsidR="006A1F2E" w:rsidRDefault="006A1F2E">
                                <w:pPr>
                                  <w:pStyle w:val="TOC1"/>
                                  <w:rPr>
                                    <w:rFonts w:asciiTheme="minorHAnsi" w:eastAsiaTheme="minorEastAsia" w:hAnsiTheme="minorHAnsi" w:cstheme="minorBidi"/>
                                    <w:noProof/>
                                    <w:sz w:val="22"/>
                                    <w:szCs w:val="22"/>
                                  </w:rPr>
                                </w:pPr>
                                <w:hyperlink w:anchor="_Toc71293950" w:history="1">
                                  <w:r w:rsidRPr="005224AE">
                                    <w:rPr>
                                      <w:rStyle w:val="Hyperlink"/>
                                      <w:noProof/>
                                    </w:rPr>
                                    <w:t>5.</w:t>
                                  </w:r>
                                  <w:r>
                                    <w:rPr>
                                      <w:rFonts w:asciiTheme="minorHAnsi" w:eastAsiaTheme="minorEastAsia" w:hAnsiTheme="minorHAnsi" w:cstheme="minorBidi"/>
                                      <w:noProof/>
                                      <w:sz w:val="22"/>
                                      <w:szCs w:val="22"/>
                                    </w:rPr>
                                    <w:tab/>
                                  </w:r>
                                  <w:r w:rsidRPr="005224AE">
                                    <w:rPr>
                                      <w:rStyle w:val="Hyperlink"/>
                                      <w:noProof/>
                                    </w:rPr>
                                    <w:t>Reporting</w:t>
                                  </w:r>
                                  <w:r>
                                    <w:rPr>
                                      <w:noProof/>
                                      <w:webHidden/>
                                    </w:rPr>
                                    <w:tab/>
                                  </w:r>
                                  <w:r>
                                    <w:rPr>
                                      <w:noProof/>
                                      <w:webHidden/>
                                    </w:rPr>
                                    <w:fldChar w:fldCharType="begin"/>
                                  </w:r>
                                  <w:r>
                                    <w:rPr>
                                      <w:noProof/>
                                      <w:webHidden/>
                                    </w:rPr>
                                    <w:instrText xml:space="preserve"> PAGEREF _Toc71293950 \h </w:instrText>
                                  </w:r>
                                  <w:r>
                                    <w:rPr>
                                      <w:noProof/>
                                      <w:webHidden/>
                                    </w:rPr>
                                  </w:r>
                                  <w:r>
                                    <w:rPr>
                                      <w:noProof/>
                                      <w:webHidden/>
                                    </w:rPr>
                                    <w:fldChar w:fldCharType="separate"/>
                                  </w:r>
                                  <w:r>
                                    <w:rPr>
                                      <w:noProof/>
                                      <w:webHidden/>
                                    </w:rPr>
                                    <w:t>3</w:t>
                                  </w:r>
                                  <w:r>
                                    <w:rPr>
                                      <w:noProof/>
                                      <w:webHidden/>
                                    </w:rPr>
                                    <w:fldChar w:fldCharType="end"/>
                                  </w:r>
                                </w:hyperlink>
                              </w:p>
                              <w:p w14:paraId="11A30075" w14:textId="29DF4630" w:rsidR="006A1F2E" w:rsidRDefault="006A1F2E">
                                <w:pPr>
                                  <w:pStyle w:val="TOC1"/>
                                  <w:rPr>
                                    <w:rFonts w:asciiTheme="minorHAnsi" w:eastAsiaTheme="minorEastAsia" w:hAnsiTheme="minorHAnsi" w:cstheme="minorBidi"/>
                                    <w:noProof/>
                                    <w:sz w:val="22"/>
                                    <w:szCs w:val="22"/>
                                  </w:rPr>
                                </w:pPr>
                                <w:hyperlink w:anchor="_Toc71293951" w:history="1">
                                  <w:r w:rsidRPr="005224AE">
                                    <w:rPr>
                                      <w:rStyle w:val="Hyperlink"/>
                                      <w:noProof/>
                                    </w:rPr>
                                    <w:t>6.</w:t>
                                  </w:r>
                                  <w:r>
                                    <w:rPr>
                                      <w:rFonts w:asciiTheme="minorHAnsi" w:eastAsiaTheme="minorEastAsia" w:hAnsiTheme="minorHAnsi" w:cstheme="minorBidi"/>
                                      <w:noProof/>
                                      <w:sz w:val="22"/>
                                      <w:szCs w:val="22"/>
                                    </w:rPr>
                                    <w:tab/>
                                  </w:r>
                                  <w:r w:rsidRPr="005224AE">
                                    <w:rPr>
                                      <w:rStyle w:val="Hyperlink"/>
                                      <w:noProof/>
                                    </w:rPr>
                                    <w:t>Precision</w:t>
                                  </w:r>
                                  <w:r>
                                    <w:rPr>
                                      <w:noProof/>
                                      <w:webHidden/>
                                    </w:rPr>
                                    <w:tab/>
                                  </w:r>
                                  <w:r>
                                    <w:rPr>
                                      <w:noProof/>
                                      <w:webHidden/>
                                    </w:rPr>
                                    <w:fldChar w:fldCharType="begin"/>
                                  </w:r>
                                  <w:r>
                                    <w:rPr>
                                      <w:noProof/>
                                      <w:webHidden/>
                                    </w:rPr>
                                    <w:instrText xml:space="preserve"> PAGEREF _Toc71293951 \h </w:instrText>
                                  </w:r>
                                  <w:r>
                                    <w:rPr>
                                      <w:noProof/>
                                      <w:webHidden/>
                                    </w:rPr>
                                  </w:r>
                                  <w:r>
                                    <w:rPr>
                                      <w:noProof/>
                                      <w:webHidden/>
                                    </w:rPr>
                                    <w:fldChar w:fldCharType="separate"/>
                                  </w:r>
                                  <w:r>
                                    <w:rPr>
                                      <w:noProof/>
                                      <w:webHidden/>
                                    </w:rPr>
                                    <w:t>3</w:t>
                                  </w:r>
                                  <w:r>
                                    <w:rPr>
                                      <w:noProof/>
                                      <w:webHidden/>
                                    </w:rPr>
                                    <w:fldChar w:fldCharType="end"/>
                                  </w:r>
                                </w:hyperlink>
                              </w:p>
                              <w:p w14:paraId="6F88B8A7" w14:textId="253DB794" w:rsidR="0009743C" w:rsidRDefault="0009743C">
                                <w:r>
                                  <w:rPr>
                                    <w:b/>
                                    <w:bCs/>
                                    <w:noProof/>
                                  </w:rPr>
                                  <w:fldChar w:fldCharType="end"/>
                                </w:r>
                              </w:p>
                            </w:sdtContent>
                          </w:sdt>
                          <w:p w14:paraId="50FC755C" w14:textId="77777777" w:rsidR="0027129A" w:rsidRPr="0027129A" w:rsidRDefault="0027129A" w:rsidP="0027129A">
                            <w:pPr>
                              <w:pStyle w:val="ListParagraph"/>
                              <w:rPr>
                                <w:b/>
                              </w:rPr>
                            </w:pPr>
                          </w:p>
                          <w:p w14:paraId="002F28D6" w14:textId="77777777" w:rsidR="00F5726B" w:rsidRDefault="00F5726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03308"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" filled="f" stroked="f" strokeweight=".5pt">
                <v:textbox inset="0,,0">
                  <w:txbxContent>
                    <w:p w14:paraId="25D77ECC" w14:textId="77777777" w:rsidR="00F5726B" w:rsidRDefault="00F5726B" w:rsidP="0072689E">
                      <w:pPr>
                        <w:pStyle w:val="Heading-nonumbering"/>
                      </w:pPr>
                      <w:r w:rsidRPr="00F5726B">
                        <w:t>Contents</w:t>
                      </w:r>
                    </w:p>
                    <w:sdt>
                      <w:sdtPr>
                        <w:rPr>
                          <w:rFonts w:cs="Times New Roman"/>
                          <w:sz w:val="22"/>
                          <w:szCs w:val="22"/>
                        </w:rPr>
                        <w:id w:val="514350416"/>
                        <w:docPartObj>
                          <w:docPartGallery w:val="Table of Contents"/>
                          <w:docPartUnique/>
                        </w:docPartObj>
                      </w:sdtPr>
                      <w:sdtEndPr>
                        <w:rPr>
                          <w:b/>
                          <w:bCs/>
                          <w:noProof/>
                        </w:rPr>
                      </w:sdtEndPr>
                      <w:sdtContent>
                        <w:p w14:paraId="69C1C739" w14:textId="19FDB308" w:rsidR="006A1F2E" w:rsidRDefault="0009743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1293946" w:history="1">
                            <w:r w:rsidR="006A1F2E" w:rsidRPr="005224AE">
                              <w:rPr>
                                <w:rStyle w:val="Hyperlink"/>
                                <w:noProof/>
                              </w:rPr>
                              <w:t>1.</w:t>
                            </w:r>
                            <w:r w:rsidR="006A1F2E">
                              <w:rPr>
                                <w:rFonts w:asciiTheme="minorHAnsi" w:eastAsiaTheme="minorEastAsia" w:hAnsiTheme="minorHAnsi" w:cstheme="minorBidi"/>
                                <w:noProof/>
                                <w:sz w:val="22"/>
                                <w:szCs w:val="22"/>
                              </w:rPr>
                              <w:tab/>
                            </w:r>
                            <w:r w:rsidR="006A1F2E" w:rsidRPr="005224AE">
                              <w:rPr>
                                <w:rStyle w:val="Hyperlink"/>
                                <w:noProof/>
                              </w:rPr>
                              <w:t>References</w:t>
                            </w:r>
                            <w:r w:rsidR="006A1F2E">
                              <w:rPr>
                                <w:noProof/>
                                <w:webHidden/>
                              </w:rPr>
                              <w:tab/>
                            </w:r>
                            <w:r w:rsidR="006A1F2E">
                              <w:rPr>
                                <w:noProof/>
                                <w:webHidden/>
                              </w:rPr>
                              <w:fldChar w:fldCharType="begin"/>
                            </w:r>
                            <w:r w:rsidR="006A1F2E">
                              <w:rPr>
                                <w:noProof/>
                                <w:webHidden/>
                              </w:rPr>
                              <w:instrText xml:space="preserve"> PAGEREF _Toc71293946 \h </w:instrText>
                            </w:r>
                            <w:r w:rsidR="006A1F2E">
                              <w:rPr>
                                <w:noProof/>
                                <w:webHidden/>
                              </w:rPr>
                            </w:r>
                            <w:r w:rsidR="006A1F2E">
                              <w:rPr>
                                <w:noProof/>
                                <w:webHidden/>
                              </w:rPr>
                              <w:fldChar w:fldCharType="separate"/>
                            </w:r>
                            <w:r w:rsidR="006A1F2E">
                              <w:rPr>
                                <w:noProof/>
                                <w:webHidden/>
                              </w:rPr>
                              <w:t>2</w:t>
                            </w:r>
                            <w:r w:rsidR="006A1F2E">
                              <w:rPr>
                                <w:noProof/>
                                <w:webHidden/>
                              </w:rPr>
                              <w:fldChar w:fldCharType="end"/>
                            </w:r>
                          </w:hyperlink>
                        </w:p>
                        <w:p w14:paraId="4A04B4B7" w14:textId="37B57D4F" w:rsidR="006A1F2E" w:rsidRDefault="006A1F2E">
                          <w:pPr>
                            <w:pStyle w:val="TOC1"/>
                            <w:rPr>
                              <w:rFonts w:asciiTheme="minorHAnsi" w:eastAsiaTheme="minorEastAsia" w:hAnsiTheme="minorHAnsi" w:cstheme="minorBidi"/>
                              <w:noProof/>
                              <w:sz w:val="22"/>
                              <w:szCs w:val="22"/>
                            </w:rPr>
                          </w:pPr>
                          <w:hyperlink w:anchor="_Toc71293947" w:history="1">
                            <w:r w:rsidRPr="005224AE">
                              <w:rPr>
                                <w:rStyle w:val="Hyperlink"/>
                                <w:noProof/>
                              </w:rPr>
                              <w:t>2.</w:t>
                            </w:r>
                            <w:r>
                              <w:rPr>
                                <w:rFonts w:asciiTheme="minorHAnsi" w:eastAsiaTheme="minorEastAsia" w:hAnsiTheme="minorHAnsi" w:cstheme="minorBidi"/>
                                <w:noProof/>
                                <w:sz w:val="22"/>
                                <w:szCs w:val="22"/>
                              </w:rPr>
                              <w:tab/>
                            </w:r>
                            <w:r w:rsidRPr="005224AE">
                              <w:rPr>
                                <w:rStyle w:val="Hyperlink"/>
                                <w:noProof/>
                              </w:rPr>
                              <w:t>Equipment</w:t>
                            </w:r>
                            <w:r>
                              <w:rPr>
                                <w:noProof/>
                                <w:webHidden/>
                              </w:rPr>
                              <w:tab/>
                            </w:r>
                            <w:r>
                              <w:rPr>
                                <w:noProof/>
                                <w:webHidden/>
                              </w:rPr>
                              <w:fldChar w:fldCharType="begin"/>
                            </w:r>
                            <w:r>
                              <w:rPr>
                                <w:noProof/>
                                <w:webHidden/>
                              </w:rPr>
                              <w:instrText xml:space="preserve"> PAGEREF _Toc71293947 \h </w:instrText>
                            </w:r>
                            <w:r>
                              <w:rPr>
                                <w:noProof/>
                                <w:webHidden/>
                              </w:rPr>
                            </w:r>
                            <w:r>
                              <w:rPr>
                                <w:noProof/>
                                <w:webHidden/>
                              </w:rPr>
                              <w:fldChar w:fldCharType="separate"/>
                            </w:r>
                            <w:r>
                              <w:rPr>
                                <w:noProof/>
                                <w:webHidden/>
                              </w:rPr>
                              <w:t>2</w:t>
                            </w:r>
                            <w:r>
                              <w:rPr>
                                <w:noProof/>
                                <w:webHidden/>
                              </w:rPr>
                              <w:fldChar w:fldCharType="end"/>
                            </w:r>
                          </w:hyperlink>
                        </w:p>
                        <w:p w14:paraId="3195B69C" w14:textId="1B0189F6" w:rsidR="006A1F2E" w:rsidRDefault="006A1F2E">
                          <w:pPr>
                            <w:pStyle w:val="TOC1"/>
                            <w:rPr>
                              <w:rFonts w:asciiTheme="minorHAnsi" w:eastAsiaTheme="minorEastAsia" w:hAnsiTheme="minorHAnsi" w:cstheme="minorBidi"/>
                              <w:noProof/>
                              <w:sz w:val="22"/>
                              <w:szCs w:val="22"/>
                            </w:rPr>
                          </w:pPr>
                          <w:hyperlink w:anchor="_Toc71293948" w:history="1">
                            <w:r w:rsidRPr="005224AE">
                              <w:rPr>
                                <w:rStyle w:val="Hyperlink"/>
                                <w:noProof/>
                              </w:rPr>
                              <w:t>3.</w:t>
                            </w:r>
                            <w:r>
                              <w:rPr>
                                <w:rFonts w:asciiTheme="minorHAnsi" w:eastAsiaTheme="minorEastAsia" w:hAnsiTheme="minorHAnsi" w:cstheme="minorBidi"/>
                                <w:noProof/>
                                <w:sz w:val="22"/>
                                <w:szCs w:val="22"/>
                              </w:rPr>
                              <w:tab/>
                            </w:r>
                            <w:r w:rsidRPr="005224AE">
                              <w:rPr>
                                <w:rStyle w:val="Hyperlink"/>
                                <w:noProof/>
                              </w:rPr>
                              <w:t>Procedure</w:t>
                            </w:r>
                            <w:r>
                              <w:rPr>
                                <w:noProof/>
                                <w:webHidden/>
                              </w:rPr>
                              <w:tab/>
                            </w:r>
                            <w:r>
                              <w:rPr>
                                <w:noProof/>
                                <w:webHidden/>
                              </w:rPr>
                              <w:fldChar w:fldCharType="begin"/>
                            </w:r>
                            <w:r>
                              <w:rPr>
                                <w:noProof/>
                                <w:webHidden/>
                              </w:rPr>
                              <w:instrText xml:space="preserve"> PAGEREF _Toc71293948 \h </w:instrText>
                            </w:r>
                            <w:r>
                              <w:rPr>
                                <w:noProof/>
                                <w:webHidden/>
                              </w:rPr>
                            </w:r>
                            <w:r>
                              <w:rPr>
                                <w:noProof/>
                                <w:webHidden/>
                              </w:rPr>
                              <w:fldChar w:fldCharType="separate"/>
                            </w:r>
                            <w:r>
                              <w:rPr>
                                <w:noProof/>
                                <w:webHidden/>
                              </w:rPr>
                              <w:t>2</w:t>
                            </w:r>
                            <w:r>
                              <w:rPr>
                                <w:noProof/>
                                <w:webHidden/>
                              </w:rPr>
                              <w:fldChar w:fldCharType="end"/>
                            </w:r>
                          </w:hyperlink>
                        </w:p>
                        <w:p w14:paraId="578B4840" w14:textId="426970D5" w:rsidR="006A1F2E" w:rsidRDefault="006A1F2E">
                          <w:pPr>
                            <w:pStyle w:val="TOC1"/>
                            <w:rPr>
                              <w:rFonts w:asciiTheme="minorHAnsi" w:eastAsiaTheme="minorEastAsia" w:hAnsiTheme="minorHAnsi" w:cstheme="minorBidi"/>
                              <w:noProof/>
                              <w:sz w:val="22"/>
                              <w:szCs w:val="22"/>
                            </w:rPr>
                          </w:pPr>
                          <w:hyperlink w:anchor="_Toc71293949" w:history="1">
                            <w:r w:rsidRPr="005224AE">
                              <w:rPr>
                                <w:rStyle w:val="Hyperlink"/>
                                <w:noProof/>
                              </w:rPr>
                              <w:t>4.</w:t>
                            </w:r>
                            <w:r>
                              <w:rPr>
                                <w:rFonts w:asciiTheme="minorHAnsi" w:eastAsiaTheme="minorEastAsia" w:hAnsiTheme="minorHAnsi" w:cstheme="minorBidi"/>
                                <w:noProof/>
                                <w:sz w:val="22"/>
                                <w:szCs w:val="22"/>
                              </w:rPr>
                              <w:tab/>
                            </w:r>
                            <w:r w:rsidRPr="005224AE">
                              <w:rPr>
                                <w:rStyle w:val="Hyperlink"/>
                                <w:noProof/>
                              </w:rPr>
                              <w:t>Calculation</w:t>
                            </w:r>
                            <w:r>
                              <w:rPr>
                                <w:noProof/>
                                <w:webHidden/>
                              </w:rPr>
                              <w:tab/>
                            </w:r>
                            <w:r>
                              <w:rPr>
                                <w:noProof/>
                                <w:webHidden/>
                              </w:rPr>
                              <w:fldChar w:fldCharType="begin"/>
                            </w:r>
                            <w:r>
                              <w:rPr>
                                <w:noProof/>
                                <w:webHidden/>
                              </w:rPr>
                              <w:instrText xml:space="preserve"> PAGEREF _Toc71293949 \h </w:instrText>
                            </w:r>
                            <w:r>
                              <w:rPr>
                                <w:noProof/>
                                <w:webHidden/>
                              </w:rPr>
                            </w:r>
                            <w:r>
                              <w:rPr>
                                <w:noProof/>
                                <w:webHidden/>
                              </w:rPr>
                              <w:fldChar w:fldCharType="separate"/>
                            </w:r>
                            <w:r>
                              <w:rPr>
                                <w:noProof/>
                                <w:webHidden/>
                              </w:rPr>
                              <w:t>3</w:t>
                            </w:r>
                            <w:r>
                              <w:rPr>
                                <w:noProof/>
                                <w:webHidden/>
                              </w:rPr>
                              <w:fldChar w:fldCharType="end"/>
                            </w:r>
                          </w:hyperlink>
                        </w:p>
                        <w:p w14:paraId="155FA754" w14:textId="4D876584" w:rsidR="006A1F2E" w:rsidRDefault="006A1F2E">
                          <w:pPr>
                            <w:pStyle w:val="TOC1"/>
                            <w:rPr>
                              <w:rFonts w:asciiTheme="minorHAnsi" w:eastAsiaTheme="minorEastAsia" w:hAnsiTheme="minorHAnsi" w:cstheme="minorBidi"/>
                              <w:noProof/>
                              <w:sz w:val="22"/>
                              <w:szCs w:val="22"/>
                            </w:rPr>
                          </w:pPr>
                          <w:hyperlink w:anchor="_Toc71293950" w:history="1">
                            <w:r w:rsidRPr="005224AE">
                              <w:rPr>
                                <w:rStyle w:val="Hyperlink"/>
                                <w:noProof/>
                              </w:rPr>
                              <w:t>5.</w:t>
                            </w:r>
                            <w:r>
                              <w:rPr>
                                <w:rFonts w:asciiTheme="minorHAnsi" w:eastAsiaTheme="minorEastAsia" w:hAnsiTheme="minorHAnsi" w:cstheme="minorBidi"/>
                                <w:noProof/>
                                <w:sz w:val="22"/>
                                <w:szCs w:val="22"/>
                              </w:rPr>
                              <w:tab/>
                            </w:r>
                            <w:r w:rsidRPr="005224AE">
                              <w:rPr>
                                <w:rStyle w:val="Hyperlink"/>
                                <w:noProof/>
                              </w:rPr>
                              <w:t>Reporting</w:t>
                            </w:r>
                            <w:r>
                              <w:rPr>
                                <w:noProof/>
                                <w:webHidden/>
                              </w:rPr>
                              <w:tab/>
                            </w:r>
                            <w:r>
                              <w:rPr>
                                <w:noProof/>
                                <w:webHidden/>
                              </w:rPr>
                              <w:fldChar w:fldCharType="begin"/>
                            </w:r>
                            <w:r>
                              <w:rPr>
                                <w:noProof/>
                                <w:webHidden/>
                              </w:rPr>
                              <w:instrText xml:space="preserve"> PAGEREF _Toc71293950 \h </w:instrText>
                            </w:r>
                            <w:r>
                              <w:rPr>
                                <w:noProof/>
                                <w:webHidden/>
                              </w:rPr>
                            </w:r>
                            <w:r>
                              <w:rPr>
                                <w:noProof/>
                                <w:webHidden/>
                              </w:rPr>
                              <w:fldChar w:fldCharType="separate"/>
                            </w:r>
                            <w:r>
                              <w:rPr>
                                <w:noProof/>
                                <w:webHidden/>
                              </w:rPr>
                              <w:t>3</w:t>
                            </w:r>
                            <w:r>
                              <w:rPr>
                                <w:noProof/>
                                <w:webHidden/>
                              </w:rPr>
                              <w:fldChar w:fldCharType="end"/>
                            </w:r>
                          </w:hyperlink>
                        </w:p>
                        <w:p w14:paraId="11A30075" w14:textId="29DF4630" w:rsidR="006A1F2E" w:rsidRDefault="006A1F2E">
                          <w:pPr>
                            <w:pStyle w:val="TOC1"/>
                            <w:rPr>
                              <w:rFonts w:asciiTheme="minorHAnsi" w:eastAsiaTheme="minorEastAsia" w:hAnsiTheme="minorHAnsi" w:cstheme="minorBidi"/>
                              <w:noProof/>
                              <w:sz w:val="22"/>
                              <w:szCs w:val="22"/>
                            </w:rPr>
                          </w:pPr>
                          <w:hyperlink w:anchor="_Toc71293951" w:history="1">
                            <w:r w:rsidRPr="005224AE">
                              <w:rPr>
                                <w:rStyle w:val="Hyperlink"/>
                                <w:noProof/>
                              </w:rPr>
                              <w:t>6.</w:t>
                            </w:r>
                            <w:r>
                              <w:rPr>
                                <w:rFonts w:asciiTheme="minorHAnsi" w:eastAsiaTheme="minorEastAsia" w:hAnsiTheme="minorHAnsi" w:cstheme="minorBidi"/>
                                <w:noProof/>
                                <w:sz w:val="22"/>
                                <w:szCs w:val="22"/>
                              </w:rPr>
                              <w:tab/>
                            </w:r>
                            <w:r w:rsidRPr="005224AE">
                              <w:rPr>
                                <w:rStyle w:val="Hyperlink"/>
                                <w:noProof/>
                              </w:rPr>
                              <w:t>Precision</w:t>
                            </w:r>
                            <w:r>
                              <w:rPr>
                                <w:noProof/>
                                <w:webHidden/>
                              </w:rPr>
                              <w:tab/>
                            </w:r>
                            <w:r>
                              <w:rPr>
                                <w:noProof/>
                                <w:webHidden/>
                              </w:rPr>
                              <w:fldChar w:fldCharType="begin"/>
                            </w:r>
                            <w:r>
                              <w:rPr>
                                <w:noProof/>
                                <w:webHidden/>
                              </w:rPr>
                              <w:instrText xml:space="preserve"> PAGEREF _Toc71293951 \h </w:instrText>
                            </w:r>
                            <w:r>
                              <w:rPr>
                                <w:noProof/>
                                <w:webHidden/>
                              </w:rPr>
                            </w:r>
                            <w:r>
                              <w:rPr>
                                <w:noProof/>
                                <w:webHidden/>
                              </w:rPr>
                              <w:fldChar w:fldCharType="separate"/>
                            </w:r>
                            <w:r>
                              <w:rPr>
                                <w:noProof/>
                                <w:webHidden/>
                              </w:rPr>
                              <w:t>3</w:t>
                            </w:r>
                            <w:r>
                              <w:rPr>
                                <w:noProof/>
                                <w:webHidden/>
                              </w:rPr>
                              <w:fldChar w:fldCharType="end"/>
                            </w:r>
                          </w:hyperlink>
                        </w:p>
                        <w:p w14:paraId="6F88B8A7" w14:textId="253DB794" w:rsidR="0009743C" w:rsidRDefault="0009743C">
                          <w:r>
                            <w:rPr>
                              <w:b/>
                              <w:bCs/>
                              <w:noProof/>
                            </w:rPr>
                            <w:fldChar w:fldCharType="end"/>
                          </w:r>
                        </w:p>
                      </w:sdtContent>
                    </w:sdt>
                    <w:p w14:paraId="50FC755C" w14:textId="77777777" w:rsidR="0027129A" w:rsidRPr="0027129A" w:rsidRDefault="0027129A" w:rsidP="0027129A">
                      <w:pPr>
                        <w:pStyle w:val="ListParagraph"/>
                        <w:rPr>
                          <w:b/>
                        </w:rPr>
                      </w:pPr>
                    </w:p>
                    <w:p w14:paraId="002F28D6" w14:textId="77777777" w:rsidR="00F5726B" w:rsidRDefault="00F5726B"/>
                  </w:txbxContent>
                </v:textbox>
              </v:shape>
            </w:pict>
          </mc:Fallback>
        </mc:AlternateContent>
      </w:r>
      <w:r w:rsidR="00F5726B" w:rsidRPr="0072689E">
        <w:rPr>
          <w:rFonts w:cs="Arial"/>
        </w:rPr>
        <w:t xml:space="preserve">Commentary </w:t>
      </w:r>
    </w:p>
    <w:p w14:paraId="05BA48FB" w14:textId="77777777" w:rsidR="00F5726B" w:rsidRPr="00F5726B" w:rsidRDefault="00F5726B" w:rsidP="00233C88">
      <w:pPr>
        <w:pStyle w:val="BodyText"/>
        <w:spacing w:after="0"/>
        <w:rPr>
          <w:b/>
        </w:rPr>
      </w:pPr>
      <w:r w:rsidRPr="00F5726B">
        <w:rPr>
          <w:b/>
        </w:rPr>
        <w:t>Preface</w:t>
      </w:r>
    </w:p>
    <w:p w14:paraId="568E83F9" w14:textId="46CD532B" w:rsidR="00BE1AF9" w:rsidRDefault="00924918" w:rsidP="00BE1AF9">
      <w:pPr>
        <w:pStyle w:val="BodyText"/>
      </w:pPr>
      <w:bookmarkStart w:id="0" w:name="_INTRODUCTION"/>
      <w:bookmarkStart w:id="1" w:name="_Toc131221135"/>
      <w:bookmarkStart w:id="2" w:name="_Ref241385664"/>
      <w:bookmarkStart w:id="3" w:name="_Ref241385686"/>
      <w:bookmarkStart w:id="4" w:name="_Ref241385716"/>
      <w:bookmarkStart w:id="5" w:name="_Ref241385742"/>
      <w:bookmarkStart w:id="6" w:name="_Ref241385869"/>
      <w:bookmarkStart w:id="7" w:name="_Ref241385905"/>
      <w:bookmarkStart w:id="8" w:name="_Toc261610811"/>
      <w:bookmarkEnd w:id="0"/>
      <w:bookmarkEnd w:id="1"/>
      <w:r w:rsidRPr="00924918">
        <w:t xml:space="preserve">This test method was prepared by the Bituminous </w:t>
      </w:r>
      <w:proofErr w:type="spellStart"/>
      <w:r w:rsidRPr="00924918">
        <w:t>Surfacings</w:t>
      </w:r>
      <w:proofErr w:type="spellEnd"/>
      <w:r w:rsidRPr="00924918">
        <w:t xml:space="preserve"> Technical Group (BSTG) on behalf of the Austroads Pavements Task Force (PTF). Representatives of Austroads, the Australian Road Research Board (ARRB) and the Australian Flexible Pavement Association (</w:t>
      </w:r>
      <w:proofErr w:type="spellStart"/>
      <w:r w:rsidRPr="00924918">
        <w:t>AfPA</w:t>
      </w:r>
      <w:proofErr w:type="spellEnd"/>
      <w:r w:rsidRPr="00924918">
        <w:t>) were involved in developing and reviewing this test method.</w:t>
      </w:r>
    </w:p>
    <w:p w14:paraId="460340D2" w14:textId="4D825B67" w:rsidR="00924918" w:rsidRDefault="00924918" w:rsidP="00BE1AF9">
      <w:pPr>
        <w:pStyle w:val="BodyText"/>
        <w:spacing w:before="240" w:after="0"/>
        <w:rPr>
          <w:b/>
        </w:rPr>
      </w:pPr>
      <w:r>
        <w:rPr>
          <w:b/>
        </w:rPr>
        <w:t>For</w:t>
      </w:r>
      <w:r w:rsidR="00202691">
        <w:rPr>
          <w:b/>
        </w:rPr>
        <w:t>e</w:t>
      </w:r>
      <w:r>
        <w:rPr>
          <w:b/>
        </w:rPr>
        <w:t>word</w:t>
      </w:r>
    </w:p>
    <w:p w14:paraId="21D60F3C" w14:textId="77777777" w:rsidR="00924918" w:rsidRPr="00924918" w:rsidRDefault="00924918" w:rsidP="00924918">
      <w:pPr>
        <w:pStyle w:val="BodyText"/>
      </w:pPr>
      <w:r w:rsidRPr="00924918">
        <w:t>Polymer modified binders (PMBs) are prepared from mixtures of polymers, additives and bitumen selected to achieve their required properties. Some of these binder systems can segregate leading to variations in measured properties and in some instances significant reductions in desired field performance. This test method provides a measure of a PMBs tendency to segregate after sustained storage at high temperatures.</w:t>
      </w:r>
    </w:p>
    <w:p w14:paraId="3469C98A" w14:textId="05DA9A4D" w:rsidR="00BE1AF9" w:rsidRPr="00BE1AF9" w:rsidRDefault="00BE1AF9" w:rsidP="00BE1AF9">
      <w:pPr>
        <w:pStyle w:val="BodyText"/>
        <w:spacing w:before="240" w:after="0"/>
        <w:rPr>
          <w:b/>
        </w:rPr>
      </w:pPr>
      <w:r w:rsidRPr="00BE1AF9">
        <w:rPr>
          <w:b/>
        </w:rPr>
        <w:t>Scope</w:t>
      </w:r>
    </w:p>
    <w:p w14:paraId="6A862BDA" w14:textId="77777777" w:rsidR="00924918" w:rsidRPr="00924918" w:rsidRDefault="00924918" w:rsidP="00924918">
      <w:pPr>
        <w:pStyle w:val="BodyText"/>
      </w:pPr>
      <w:r w:rsidRPr="00924918">
        <w:t>This method describes a procedure for determining the propensity of a polymer within a PMB to segregate during prolonged storage at high temperatures. It involves placing a sample of the PMB into an oven at an elevated temperature and, after a prescribed time, measuring the softening points of the top and bottom halves of the sample.</w:t>
      </w:r>
    </w:p>
    <w:p w14:paraId="2687ED85" w14:textId="77777777" w:rsidR="00BE1AF9" w:rsidRPr="00BE1AF9" w:rsidRDefault="00BE1AF9" w:rsidP="00BE1AF9">
      <w:pPr>
        <w:pStyle w:val="BodyText"/>
        <w:spacing w:before="240" w:after="0"/>
        <w:rPr>
          <w:b/>
        </w:rPr>
      </w:pPr>
      <w:r w:rsidRPr="00BE1AF9">
        <w:rPr>
          <w:b/>
        </w:rPr>
        <w:t>Further Development</w:t>
      </w:r>
    </w:p>
    <w:p w14:paraId="47AFD864" w14:textId="4C920889" w:rsidR="00BE1AF9" w:rsidRDefault="00924918" w:rsidP="00BE1AF9">
      <w:pPr>
        <w:pStyle w:val="BodyText"/>
      </w:pPr>
      <w:r w:rsidRPr="00924918">
        <w:t>There are no further plans for the development of this test method.</w:t>
      </w:r>
    </w:p>
    <w:p w14:paraId="400D3C56" w14:textId="4F1DF2ED" w:rsidR="00BE1AF9" w:rsidRDefault="00924918" w:rsidP="00924918">
      <w:pPr>
        <w:pStyle w:val="BodyText"/>
        <w:spacing w:before="240" w:after="0"/>
        <w:rPr>
          <w:b/>
        </w:rPr>
      </w:pPr>
      <w:r>
        <w:rPr>
          <w:b/>
        </w:rPr>
        <w:t>Safety Disclaimer</w:t>
      </w:r>
    </w:p>
    <w:p w14:paraId="49213704" w14:textId="77777777" w:rsidR="00924918" w:rsidRPr="00924918" w:rsidRDefault="00924918" w:rsidP="00924918">
      <w:pPr>
        <w:pStyle w:val="BodyText"/>
      </w:pPr>
      <w:r w:rsidRPr="00924918">
        <w:rPr>
          <w:b/>
          <w:bCs/>
        </w:rPr>
        <w:t>Warning:</w:t>
      </w:r>
      <w:r w:rsidRPr="00924918">
        <w:t xml:space="preserve"> The use of this Austroads test method may involve hazardous materials, </w:t>
      </w:r>
      <w:proofErr w:type="gramStart"/>
      <w:r w:rsidRPr="00924918">
        <w:t>operations</w:t>
      </w:r>
      <w:proofErr w:type="gramEnd"/>
      <w:r w:rsidRPr="00924918">
        <w:t xml:space="preserve"> and equipment. This Austroads test method does not purport to address the safety issues associated with its use. It is the responsibility of the user of this Austroads test method to establish appropriate work health and safety practices and determine the applicability of regulatory limitations prior to use.</w:t>
      </w:r>
    </w:p>
    <w:p w14:paraId="56D07812" w14:textId="77777777" w:rsidR="00F5726B" w:rsidRDefault="00F5726B" w:rsidP="006A1F2E">
      <w:pPr>
        <w:pStyle w:val="Heading1"/>
      </w:pPr>
      <w:bookmarkStart w:id="9" w:name="_Toc71293655"/>
      <w:bookmarkStart w:id="10" w:name="_Toc71293946"/>
      <w:r w:rsidRPr="00F5726B">
        <w:lastRenderedPageBreak/>
        <w:t>References</w:t>
      </w:r>
      <w:bookmarkEnd w:id="9"/>
      <w:bookmarkEnd w:id="10"/>
    </w:p>
    <w:bookmarkEnd w:id="2"/>
    <w:bookmarkEnd w:id="3"/>
    <w:bookmarkEnd w:id="4"/>
    <w:bookmarkEnd w:id="5"/>
    <w:bookmarkEnd w:id="6"/>
    <w:bookmarkEnd w:id="7"/>
    <w:bookmarkEnd w:id="8"/>
    <w:p w14:paraId="1788BCFE" w14:textId="77777777" w:rsidR="00924918" w:rsidRDefault="00924918" w:rsidP="006A1F2E">
      <w:pPr>
        <w:pStyle w:val="Paragraph"/>
        <w:keepNext/>
      </w:pPr>
      <w:r>
        <w:t>The following normative documents are referred to in this method and are required to perform the test:</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5726B" w:rsidRPr="007003A4" w14:paraId="7EFC32FB" w14:textId="77777777" w:rsidTr="00FC0913">
        <w:trPr>
          <w:cantSplit/>
          <w:tblHeader/>
        </w:trPr>
        <w:tc>
          <w:tcPr>
            <w:tcW w:w="5000" w:type="pct"/>
            <w:gridSpan w:val="2"/>
            <w:tcBorders>
              <w:bottom w:val="nil"/>
            </w:tcBorders>
            <w:shd w:val="clear" w:color="auto" w:fill="auto"/>
            <w:vAlign w:val="center"/>
          </w:tcPr>
          <w:p w14:paraId="5BFFCA2E" w14:textId="77777777" w:rsidR="00F5726B" w:rsidRPr="003D5A6C" w:rsidRDefault="00F5726B" w:rsidP="0027129A">
            <w:pPr>
              <w:pStyle w:val="Paragraph"/>
              <w:spacing w:before="120" w:after="120"/>
            </w:pPr>
            <w:r>
              <w:rPr>
                <w:b/>
              </w:rPr>
              <w:t>Austroads Test Methods</w:t>
            </w:r>
          </w:p>
        </w:tc>
      </w:tr>
      <w:tr w:rsidR="00924918" w:rsidRPr="007003A4" w14:paraId="6614183C" w14:textId="77777777" w:rsidTr="00FC0913">
        <w:trPr>
          <w:cantSplit/>
          <w:tblHeader/>
        </w:trPr>
        <w:tc>
          <w:tcPr>
            <w:tcW w:w="918" w:type="pct"/>
            <w:tcBorders>
              <w:top w:val="nil"/>
              <w:bottom w:val="nil"/>
            </w:tcBorders>
            <w:shd w:val="clear" w:color="auto" w:fill="auto"/>
          </w:tcPr>
          <w:p w14:paraId="2C3CB315" w14:textId="2F2D00AC" w:rsidR="00924918" w:rsidRPr="00A96E58" w:rsidRDefault="00924918" w:rsidP="00924918">
            <w:pPr>
              <w:pStyle w:val="Paragraph"/>
              <w:rPr>
                <w:highlight w:val="yellow"/>
              </w:rPr>
            </w:pPr>
            <w:r w:rsidRPr="00B9644D">
              <w:t>AGPT/</w:t>
            </w:r>
            <w:r>
              <w:t>T101</w:t>
            </w:r>
          </w:p>
        </w:tc>
        <w:tc>
          <w:tcPr>
            <w:tcW w:w="4082" w:type="pct"/>
            <w:tcBorders>
              <w:top w:val="nil"/>
              <w:bottom w:val="nil"/>
            </w:tcBorders>
            <w:shd w:val="clear" w:color="auto" w:fill="auto"/>
          </w:tcPr>
          <w:p w14:paraId="2FAEF5AF" w14:textId="4CCB3565" w:rsidR="00924918" w:rsidRPr="00A96E58" w:rsidRDefault="00924918" w:rsidP="00924918">
            <w:pPr>
              <w:pStyle w:val="Paragraph"/>
              <w:rPr>
                <w:highlight w:val="yellow"/>
              </w:rPr>
            </w:pPr>
            <w:r w:rsidRPr="002404D3">
              <w:rPr>
                <w:i/>
                <w:iCs/>
              </w:rPr>
              <w:t xml:space="preserve">Method of sampling polymer modified binders, </w:t>
            </w:r>
            <w:proofErr w:type="gramStart"/>
            <w:r w:rsidRPr="002404D3">
              <w:rPr>
                <w:i/>
                <w:iCs/>
              </w:rPr>
              <w:t>polymers</w:t>
            </w:r>
            <w:proofErr w:type="gramEnd"/>
            <w:r w:rsidRPr="002404D3">
              <w:rPr>
                <w:i/>
                <w:iCs/>
              </w:rPr>
              <w:t xml:space="preserve"> and crumb rubber.</w:t>
            </w:r>
          </w:p>
        </w:tc>
      </w:tr>
      <w:tr w:rsidR="00924918" w:rsidRPr="007003A4" w14:paraId="78166C02" w14:textId="77777777" w:rsidTr="00FC0913">
        <w:trPr>
          <w:cantSplit/>
          <w:tblHeader/>
        </w:trPr>
        <w:tc>
          <w:tcPr>
            <w:tcW w:w="918" w:type="pct"/>
            <w:tcBorders>
              <w:top w:val="nil"/>
              <w:bottom w:val="nil"/>
            </w:tcBorders>
            <w:shd w:val="clear" w:color="auto" w:fill="auto"/>
          </w:tcPr>
          <w:p w14:paraId="2BF29196" w14:textId="12EF5756" w:rsidR="00924918" w:rsidRPr="00BF1B31" w:rsidRDefault="00924918" w:rsidP="00924918">
            <w:pPr>
              <w:pStyle w:val="Paragraph"/>
            </w:pPr>
            <w:r w:rsidRPr="00B9644D">
              <w:t>AGPT/</w:t>
            </w:r>
            <w:r>
              <w:t>T102</w:t>
            </w:r>
          </w:p>
        </w:tc>
        <w:tc>
          <w:tcPr>
            <w:tcW w:w="4082" w:type="pct"/>
            <w:tcBorders>
              <w:top w:val="nil"/>
              <w:bottom w:val="nil"/>
            </w:tcBorders>
            <w:shd w:val="clear" w:color="auto" w:fill="auto"/>
          </w:tcPr>
          <w:p w14:paraId="13C7EE87" w14:textId="765EDB50" w:rsidR="00924918" w:rsidRPr="00BF1B31" w:rsidRDefault="00924918" w:rsidP="00924918">
            <w:pPr>
              <w:pStyle w:val="Paragraph"/>
            </w:pPr>
            <w:r w:rsidRPr="002404D3">
              <w:rPr>
                <w:i/>
                <w:iCs/>
              </w:rPr>
              <w:t>Protocol for handling modified binders in preparation for laboratory testing.</w:t>
            </w:r>
          </w:p>
        </w:tc>
      </w:tr>
      <w:tr w:rsidR="00FC0913" w14:paraId="61D9732E" w14:textId="77777777" w:rsidTr="0027129A">
        <w:trPr>
          <w:cantSplit/>
        </w:trPr>
        <w:tc>
          <w:tcPr>
            <w:tcW w:w="5000" w:type="pct"/>
            <w:gridSpan w:val="2"/>
            <w:tcBorders>
              <w:top w:val="single" w:sz="4" w:space="0" w:color="auto"/>
              <w:bottom w:val="nil"/>
            </w:tcBorders>
            <w:shd w:val="clear" w:color="auto" w:fill="auto"/>
          </w:tcPr>
          <w:p w14:paraId="6B8ED6F5" w14:textId="77777777" w:rsidR="00FC0913" w:rsidRPr="00313439" w:rsidRDefault="00FC0913" w:rsidP="0027129A">
            <w:pPr>
              <w:pStyle w:val="Paragraph"/>
              <w:spacing w:before="120" w:after="120"/>
            </w:pPr>
            <w:r>
              <w:rPr>
                <w:b/>
              </w:rPr>
              <w:t>Australian Standard</w:t>
            </w:r>
          </w:p>
        </w:tc>
      </w:tr>
      <w:tr w:rsidR="00924918" w14:paraId="60A0784F" w14:textId="77777777" w:rsidTr="00FC0913">
        <w:trPr>
          <w:cantSplit/>
        </w:trPr>
        <w:tc>
          <w:tcPr>
            <w:tcW w:w="918" w:type="pct"/>
            <w:tcBorders>
              <w:top w:val="nil"/>
              <w:bottom w:val="nil"/>
            </w:tcBorders>
            <w:shd w:val="clear" w:color="auto" w:fill="auto"/>
          </w:tcPr>
          <w:p w14:paraId="6E24A76A" w14:textId="37B983AD" w:rsidR="00924918" w:rsidRPr="00021EE3" w:rsidRDefault="00924918" w:rsidP="00924918">
            <w:pPr>
              <w:pStyle w:val="Paragraph"/>
            </w:pPr>
            <w:r>
              <w:t xml:space="preserve">AS </w:t>
            </w:r>
            <w:r w:rsidRPr="00924918">
              <w:t>2341.18</w:t>
            </w:r>
          </w:p>
        </w:tc>
        <w:tc>
          <w:tcPr>
            <w:tcW w:w="4082" w:type="pct"/>
            <w:tcBorders>
              <w:top w:val="nil"/>
              <w:bottom w:val="nil"/>
            </w:tcBorders>
            <w:shd w:val="clear" w:color="auto" w:fill="auto"/>
          </w:tcPr>
          <w:p w14:paraId="0F378971" w14:textId="17831ACF" w:rsidR="00924918" w:rsidRPr="00021EE3" w:rsidRDefault="00924918" w:rsidP="00924918">
            <w:pPr>
              <w:pStyle w:val="Paragraph"/>
            </w:pPr>
            <w:r w:rsidRPr="002404D3">
              <w:rPr>
                <w:i/>
                <w:iCs/>
              </w:rPr>
              <w:t xml:space="preserve">Methods </w:t>
            </w:r>
            <w:r>
              <w:rPr>
                <w:i/>
                <w:iCs/>
              </w:rPr>
              <w:t>of</w:t>
            </w:r>
            <w:r w:rsidRPr="002404D3">
              <w:rPr>
                <w:i/>
                <w:iCs/>
              </w:rPr>
              <w:t xml:space="preserve"> testing bitum</w:t>
            </w:r>
            <w:r>
              <w:rPr>
                <w:i/>
                <w:iCs/>
              </w:rPr>
              <w:t>en</w:t>
            </w:r>
            <w:r w:rsidRPr="002404D3">
              <w:rPr>
                <w:i/>
                <w:iCs/>
              </w:rPr>
              <w:t xml:space="preserve"> and related roadmaking products: determination of softening point (ring and ball method).</w:t>
            </w:r>
          </w:p>
        </w:tc>
      </w:tr>
    </w:tbl>
    <w:p w14:paraId="3E06D404" w14:textId="77777777" w:rsidR="00FC0913" w:rsidRDefault="00FC0913" w:rsidP="0072689E">
      <w:pPr>
        <w:pStyle w:val="Heading1"/>
      </w:pPr>
      <w:bookmarkStart w:id="11" w:name="_Toc71293656"/>
      <w:bookmarkStart w:id="12" w:name="_Toc378160529"/>
      <w:bookmarkStart w:id="13" w:name="_Toc71293947"/>
      <w:r w:rsidRPr="00FC0913">
        <w:t>Equipment</w:t>
      </w:r>
      <w:bookmarkEnd w:id="11"/>
      <w:bookmarkEnd w:id="13"/>
    </w:p>
    <w:p w14:paraId="1EC5667C" w14:textId="77777777" w:rsidR="00924918" w:rsidRDefault="00924918" w:rsidP="00E02B66">
      <w:pPr>
        <w:pStyle w:val="Paragraph"/>
      </w:pPr>
      <w:r>
        <w:t>The following items of equipment are required:</w:t>
      </w:r>
    </w:p>
    <w:p w14:paraId="15F977DE" w14:textId="77777777" w:rsidR="00924918" w:rsidRDefault="00924918" w:rsidP="00E02B66">
      <w:pPr>
        <w:pStyle w:val="NumberedList"/>
        <w:rPr>
          <w:rFonts w:cs="Arial"/>
        </w:rPr>
      </w:pPr>
      <w:r>
        <w:t>Soft metal cylindrical treatment container – such as an aluminium drink can, open at the top and sealed at the bottom. The container shall have a diameter of 66 </w:t>
      </w:r>
      <w:r>
        <w:rPr>
          <w:rFonts w:cs="Arial"/>
        </w:rPr>
        <w:t>± 2 mm and height of 130 ± 5 mm.</w:t>
      </w:r>
    </w:p>
    <w:p w14:paraId="1E784ACE" w14:textId="77777777" w:rsidR="00924918" w:rsidRDefault="00924918" w:rsidP="00E02B66">
      <w:pPr>
        <w:pStyle w:val="NumberedList"/>
        <w:numPr>
          <w:ilvl w:val="0"/>
          <w:numId w:val="0"/>
        </w:numPr>
        <w:ind w:left="567"/>
        <w:rPr>
          <w:rFonts w:cs="Arial"/>
        </w:rPr>
      </w:pPr>
      <w:r>
        <w:rPr>
          <w:rFonts w:cs="Arial"/>
        </w:rPr>
        <w:t xml:space="preserve">Note 1: A 375 mL capacity aluminium drink can </w:t>
      </w:r>
      <w:proofErr w:type="gramStart"/>
      <w:r>
        <w:rPr>
          <w:rFonts w:cs="Arial"/>
        </w:rPr>
        <w:t>has</w:t>
      </w:r>
      <w:proofErr w:type="gramEnd"/>
      <w:r>
        <w:rPr>
          <w:rFonts w:cs="Arial"/>
        </w:rPr>
        <w:t xml:space="preserve"> been found to be suitable.</w:t>
      </w:r>
    </w:p>
    <w:p w14:paraId="07DA7B6F" w14:textId="77777777" w:rsidR="00924918" w:rsidRDefault="00924918" w:rsidP="00924918">
      <w:pPr>
        <w:pStyle w:val="NumberedList"/>
      </w:pPr>
      <w:r>
        <w:t>Tin lid – of suitable size to fit loosely over the top of the container.</w:t>
      </w:r>
    </w:p>
    <w:p w14:paraId="63BE0672" w14:textId="77777777" w:rsidR="00924918" w:rsidRDefault="00924918" w:rsidP="00924918">
      <w:pPr>
        <w:pStyle w:val="NumberedList"/>
        <w:rPr>
          <w:rFonts w:cs="Arial"/>
        </w:rPr>
      </w:pPr>
      <w:r>
        <w:t>Fan-assisted oven – able to maintain the treatment temperature at 180 °C, with a set</w:t>
      </w:r>
      <w:r>
        <w:noBreakHyphen/>
        <w:t xml:space="preserve">point accuracy better than </w:t>
      </w:r>
      <w:r>
        <w:rPr>
          <w:rFonts w:cs="Arial"/>
        </w:rPr>
        <w:t>± 2 °C.</w:t>
      </w:r>
    </w:p>
    <w:p w14:paraId="0C0A3B4E" w14:textId="317265D5" w:rsidR="00924918" w:rsidRDefault="00A31955" w:rsidP="00924918">
      <w:pPr>
        <w:pStyle w:val="NumberedList"/>
      </w:pPr>
      <w:r>
        <w:t>Sharp c</w:t>
      </w:r>
      <w:r w:rsidR="00924918">
        <w:t>utting implement (</w:t>
      </w:r>
      <w:proofErr w:type="gramStart"/>
      <w:r w:rsidR="00924918">
        <w:t>e.g.</w:t>
      </w:r>
      <w:proofErr w:type="gramEnd"/>
      <w:r w:rsidR="00924918">
        <w:t xml:space="preserve"> a sharp knife).</w:t>
      </w:r>
    </w:p>
    <w:p w14:paraId="7F91C46C" w14:textId="77777777" w:rsidR="00924918" w:rsidRDefault="00924918" w:rsidP="00924918">
      <w:pPr>
        <w:pStyle w:val="NumberedList"/>
      </w:pPr>
      <w:r>
        <w:t>Metal tins with lids – of suitable size for the top and bottom subsamples which are produced during the test.</w:t>
      </w:r>
    </w:p>
    <w:p w14:paraId="16296011" w14:textId="77777777" w:rsidR="00924918" w:rsidRDefault="00924918" w:rsidP="00924918">
      <w:pPr>
        <w:pStyle w:val="NumberedList"/>
      </w:pPr>
      <w:r>
        <w:t>Softening point apparatus – as described in AS 2341.18.</w:t>
      </w:r>
    </w:p>
    <w:p w14:paraId="4C573754" w14:textId="77777777" w:rsidR="00924918" w:rsidRPr="00387014" w:rsidRDefault="00924918" w:rsidP="00E02B66">
      <w:pPr>
        <w:pStyle w:val="NumberedList"/>
      </w:pPr>
      <w:r>
        <w:t>Fridge/freezer (optional) for sample cooling – domestic unit satisfactory.</w:t>
      </w:r>
    </w:p>
    <w:p w14:paraId="098E24FB" w14:textId="73E09299" w:rsidR="00BE1AF9" w:rsidRDefault="00BE1AF9" w:rsidP="00BE1AF9">
      <w:pPr>
        <w:pStyle w:val="Heading1"/>
      </w:pPr>
      <w:bookmarkStart w:id="14" w:name="_Toc71293657"/>
      <w:bookmarkStart w:id="15" w:name="_Toc71293948"/>
      <w:r w:rsidRPr="00BE1AF9">
        <w:t>Procedure</w:t>
      </w:r>
      <w:bookmarkEnd w:id="14"/>
      <w:bookmarkEnd w:id="15"/>
    </w:p>
    <w:p w14:paraId="27038991" w14:textId="77777777" w:rsidR="00924918" w:rsidRPr="00924918" w:rsidRDefault="00924918" w:rsidP="00E02B66">
      <w:pPr>
        <w:pStyle w:val="NumberedList"/>
        <w:numPr>
          <w:ilvl w:val="0"/>
          <w:numId w:val="42"/>
        </w:numPr>
        <w:tabs>
          <w:tab w:val="clear" w:pos="896"/>
          <w:tab w:val="num" w:pos="567"/>
        </w:tabs>
        <w:ind w:left="567" w:hanging="567"/>
      </w:pPr>
      <w:r w:rsidRPr="00924918">
        <w:t>Samples for testing shall be provided in accordance with AGPT/T101.</w:t>
      </w:r>
    </w:p>
    <w:p w14:paraId="4DC1510C" w14:textId="77777777" w:rsidR="00924918" w:rsidRPr="00924918" w:rsidRDefault="00924918" w:rsidP="00E02B66">
      <w:pPr>
        <w:pStyle w:val="NumberedList"/>
      </w:pPr>
      <w:r w:rsidRPr="00924918">
        <w:t>Prepare the PMB sample in accordance with AGPT/T102 and pour the sample into the treatment container, filling it to between 5 mm and 10 mm from the top.</w:t>
      </w:r>
    </w:p>
    <w:p w14:paraId="0C4F1D3E" w14:textId="77777777" w:rsidR="00924918" w:rsidRPr="00924918" w:rsidRDefault="00924918" w:rsidP="00E02B66">
      <w:pPr>
        <w:pStyle w:val="NumberedList"/>
      </w:pPr>
      <w:r w:rsidRPr="00924918">
        <w:t>Fit the lid over the top of the treatment container.</w:t>
      </w:r>
    </w:p>
    <w:p w14:paraId="52218BDE" w14:textId="77777777" w:rsidR="00924918" w:rsidRPr="00924918" w:rsidRDefault="00924918" w:rsidP="00E02B66">
      <w:pPr>
        <w:pStyle w:val="NumberedList"/>
      </w:pPr>
      <w:r w:rsidRPr="00924918">
        <w:t>Place the treatment container with the PMB sample vertically into the oven set at 180 °C.</w:t>
      </w:r>
    </w:p>
    <w:p w14:paraId="6BFFB443" w14:textId="77777777" w:rsidR="00924918" w:rsidRPr="00924918" w:rsidRDefault="00924918" w:rsidP="00E02B66">
      <w:pPr>
        <w:pStyle w:val="NumberedList"/>
      </w:pPr>
      <w:r w:rsidRPr="00924918">
        <w:t>After 48 hours, remove the treatment container from the oven, ensuring that it is kept vertical, and allow the sample to cool to ambient temperature without any mixing.</w:t>
      </w:r>
    </w:p>
    <w:p w14:paraId="4BB36EC4" w14:textId="77777777" w:rsidR="00924918" w:rsidRPr="00924918" w:rsidRDefault="00924918" w:rsidP="00924918">
      <w:pPr>
        <w:pStyle w:val="Paragraph"/>
        <w:ind w:left="567"/>
      </w:pPr>
      <w:r w:rsidRPr="00924918">
        <w:t>Note 2: To facilitate cutting of some PMBs, the sample may be cooled to below ambient temperature using a fridge/freezer. However, the sample should always be allowed to cool slowly to ambient temperature before any further cooling is done.</w:t>
      </w:r>
    </w:p>
    <w:p w14:paraId="3DAD3BEE" w14:textId="77777777" w:rsidR="00924918" w:rsidRPr="00924918" w:rsidRDefault="00924918" w:rsidP="00E02B66">
      <w:pPr>
        <w:pStyle w:val="NumberedList"/>
      </w:pPr>
      <w:r w:rsidRPr="00924918">
        <w:lastRenderedPageBreak/>
        <w:t>When the treatment container has cooled to room temperature (or below room temperature if the fridge/freezer is used), place the container horizontally on a hard surface. Cut the container vertically in half to yield subsamples which represent the top and bottom halves of the container when it was present in the oven.</w:t>
      </w:r>
    </w:p>
    <w:p w14:paraId="39E0F46D" w14:textId="77777777" w:rsidR="00924918" w:rsidRPr="00924918" w:rsidRDefault="00924918" w:rsidP="00E02B66">
      <w:pPr>
        <w:pStyle w:val="NumberedList"/>
      </w:pPr>
      <w:r w:rsidRPr="00924918">
        <w:t>Place the top subsample and bottom subsample into two different metal tins. Place the lids loose on each of the tins and prepare (</w:t>
      </w:r>
      <w:proofErr w:type="gramStart"/>
      <w:r w:rsidRPr="00924918">
        <w:t>i.e.</w:t>
      </w:r>
      <w:proofErr w:type="gramEnd"/>
      <w:r w:rsidRPr="00924918">
        <w:t xml:space="preserve"> heat) the subsamples for testing in accordance with AGPT/T102. Once the binder has flowed out of the treatment containers, remove the treatment containers from each tin.</w:t>
      </w:r>
    </w:p>
    <w:p w14:paraId="060DC0B5" w14:textId="77777777" w:rsidR="00924918" w:rsidRPr="00924918" w:rsidRDefault="00924918" w:rsidP="00E02B66">
      <w:pPr>
        <w:pStyle w:val="NumberedList"/>
      </w:pPr>
      <w:r w:rsidRPr="00924918">
        <w:t>Test each subsample for softening point according to AS 2341.18.</w:t>
      </w:r>
    </w:p>
    <w:p w14:paraId="1FCF5539" w14:textId="6F37DE16" w:rsidR="00BE1AF9" w:rsidRDefault="00924918" w:rsidP="0072689E">
      <w:pPr>
        <w:pStyle w:val="Heading1"/>
      </w:pPr>
      <w:bookmarkStart w:id="16" w:name="_Toc419709970"/>
      <w:bookmarkStart w:id="17" w:name="_Toc419710749"/>
      <w:bookmarkStart w:id="18" w:name="_Toc66275148"/>
      <w:bookmarkStart w:id="19" w:name="_Toc71293658"/>
      <w:bookmarkStart w:id="20" w:name="_Toc71293949"/>
      <w:r w:rsidRPr="00924918">
        <w:t>Calculation</w:t>
      </w:r>
      <w:bookmarkEnd w:id="16"/>
      <w:bookmarkEnd w:id="17"/>
      <w:bookmarkEnd w:id="18"/>
      <w:bookmarkEnd w:id="19"/>
      <w:bookmarkEnd w:id="20"/>
    </w:p>
    <w:p w14:paraId="6B87CBA8" w14:textId="1969CA7A" w:rsidR="00924918" w:rsidRDefault="00924918" w:rsidP="00924918">
      <w:pPr>
        <w:pStyle w:val="Paragraph"/>
        <w:keepNext/>
        <w:keepLines/>
      </w:pPr>
      <w:r>
        <w:t>Calculate the percentage variation in the softening point results from the top and bottom halves of the sample using Equation </w:t>
      </w:r>
      <w:r w:rsidR="007E18F5">
        <w:fldChar w:fldCharType="begin"/>
      </w:r>
      <w:r w:rsidR="007E18F5">
        <w:instrText xml:space="preserve"> REF _Ref66804159 \h </w:instrText>
      </w:r>
      <w:r w:rsidR="007E18F5">
        <w:fldChar w:fldCharType="separate"/>
      </w:r>
      <w:r w:rsidR="00DD506A">
        <w:rPr>
          <w:bCs/>
          <w:caps/>
          <w:noProof/>
        </w:rPr>
        <w:t>1</w:t>
      </w:r>
      <w:r w:rsidR="007E18F5">
        <w:fldChar w:fldCharType="end"/>
      </w:r>
      <w:r>
        <w:t>:</w:t>
      </w:r>
    </w:p>
    <w:tbl>
      <w:tblPr>
        <w:tblW w:w="5000" w:type="pct"/>
        <w:tblLayout w:type="fixed"/>
        <w:tblLook w:val="01E0" w:firstRow="1" w:lastRow="1" w:firstColumn="1" w:lastColumn="1" w:noHBand="0" w:noVBand="0"/>
      </w:tblPr>
      <w:tblGrid>
        <w:gridCol w:w="1204"/>
        <w:gridCol w:w="359"/>
        <w:gridCol w:w="7520"/>
        <w:gridCol w:w="556"/>
      </w:tblGrid>
      <w:tr w:rsidR="009968F5" w:rsidRPr="00625313" w14:paraId="373879DD" w14:textId="77777777" w:rsidTr="009968F5">
        <w:trPr>
          <w:trHeight w:val="737"/>
        </w:trPr>
        <w:tc>
          <w:tcPr>
            <w:tcW w:w="9083" w:type="dxa"/>
            <w:gridSpan w:val="3"/>
            <w:shd w:val="clear" w:color="auto" w:fill="auto"/>
          </w:tcPr>
          <w:p w14:paraId="1AE601FF" w14:textId="44A7D15A" w:rsidR="009968F5" w:rsidRPr="001D3727" w:rsidRDefault="009968F5" w:rsidP="009D1900">
            <w:pPr>
              <w:pStyle w:val="Equationcentered"/>
              <w:spacing w:before="120" w:after="120"/>
              <w:rPr>
                <w:szCs w:val="22"/>
              </w:rPr>
            </w:pPr>
            <m:oMathPara>
              <m:oMath>
                <m:r>
                  <m:rPr>
                    <m:sty m:val="p"/>
                  </m:rPr>
                  <w:rPr>
                    <w:rFonts w:ascii="Cambria Math" w:hAnsi="Cambria Math"/>
                    <w:sz w:val="22"/>
                    <w:szCs w:val="24"/>
                  </w:rPr>
                  <m:t xml:space="preserve">S= </m:t>
                </m:r>
                <m:f>
                  <m:fPr>
                    <m:ctrlPr>
                      <w:rPr>
                        <w:rFonts w:ascii="Cambria Math" w:hAnsi="Cambria Math"/>
                        <w:iCs/>
                        <w:sz w:val="22"/>
                        <w:szCs w:val="24"/>
                      </w:rPr>
                    </m:ctrlPr>
                  </m:fPr>
                  <m:num>
                    <m:r>
                      <m:rPr>
                        <m:sty m:val="p"/>
                      </m:rPr>
                      <w:rPr>
                        <w:rFonts w:ascii="Cambria Math" w:hAnsi="Cambria Math"/>
                        <w:sz w:val="22"/>
                        <w:szCs w:val="24"/>
                      </w:rPr>
                      <m:t>200 ×(</m:t>
                    </m:r>
                    <m:sSub>
                      <m:sSubPr>
                        <m:ctrlPr>
                          <w:rPr>
                            <w:rFonts w:ascii="Cambria Math" w:hAnsi="Cambria Math"/>
                            <w:iCs/>
                            <w:sz w:val="22"/>
                            <w:szCs w:val="24"/>
                          </w:rPr>
                        </m:ctrlPr>
                      </m:sSubPr>
                      <m:e>
                        <m:r>
                          <m:rPr>
                            <m:sty m:val="p"/>
                          </m:rPr>
                          <w:rPr>
                            <w:rFonts w:ascii="Cambria Math" w:hAnsi="Cambria Math"/>
                            <w:sz w:val="22"/>
                            <w:szCs w:val="24"/>
                          </w:rPr>
                          <m:t>T</m:t>
                        </m:r>
                      </m:e>
                      <m:sub>
                        <m:r>
                          <m:rPr>
                            <m:sty m:val="p"/>
                          </m:rPr>
                          <w:rPr>
                            <w:rFonts w:ascii="Cambria Math" w:hAnsi="Cambria Math"/>
                            <w:sz w:val="22"/>
                            <w:szCs w:val="24"/>
                          </w:rPr>
                          <m:t>t</m:t>
                        </m:r>
                      </m:sub>
                    </m:sSub>
                    <m:r>
                      <m:rPr>
                        <m:sty m:val="p"/>
                      </m:rPr>
                      <w:rPr>
                        <w:rFonts w:ascii="Cambria Math" w:hAnsi="Cambria Math"/>
                        <w:sz w:val="22"/>
                        <w:szCs w:val="24"/>
                      </w:rPr>
                      <m:t>-</m:t>
                    </m:r>
                    <m:sSub>
                      <m:sSubPr>
                        <m:ctrlPr>
                          <w:rPr>
                            <w:rFonts w:ascii="Cambria Math" w:hAnsi="Cambria Math"/>
                            <w:iCs/>
                            <w:sz w:val="22"/>
                            <w:szCs w:val="24"/>
                          </w:rPr>
                        </m:ctrlPr>
                      </m:sSubPr>
                      <m:e>
                        <m:r>
                          <m:rPr>
                            <m:sty m:val="p"/>
                          </m:rPr>
                          <w:rPr>
                            <w:rFonts w:ascii="Cambria Math" w:hAnsi="Cambria Math"/>
                            <w:sz w:val="22"/>
                            <w:szCs w:val="24"/>
                          </w:rPr>
                          <m:t>T</m:t>
                        </m:r>
                      </m:e>
                      <m:sub>
                        <m:r>
                          <m:rPr>
                            <m:sty m:val="p"/>
                          </m:rPr>
                          <w:rPr>
                            <w:rFonts w:ascii="Cambria Math" w:hAnsi="Cambria Math"/>
                            <w:sz w:val="22"/>
                            <w:szCs w:val="24"/>
                          </w:rPr>
                          <m:t>b</m:t>
                        </m:r>
                      </m:sub>
                    </m:sSub>
                    <m:r>
                      <m:rPr>
                        <m:sty m:val="p"/>
                      </m:rPr>
                      <w:rPr>
                        <w:rFonts w:ascii="Cambria Math" w:hAnsi="Cambria Math"/>
                        <w:sz w:val="22"/>
                        <w:szCs w:val="24"/>
                      </w:rPr>
                      <m:t>)</m:t>
                    </m:r>
                  </m:num>
                  <m:den>
                    <m:sSub>
                      <m:sSubPr>
                        <m:ctrlPr>
                          <w:rPr>
                            <w:rFonts w:ascii="Cambria Math" w:hAnsi="Cambria Math"/>
                            <w:iCs/>
                            <w:sz w:val="22"/>
                            <w:szCs w:val="24"/>
                          </w:rPr>
                        </m:ctrlPr>
                      </m:sSubPr>
                      <m:e>
                        <m:r>
                          <m:rPr>
                            <m:sty m:val="p"/>
                          </m:rPr>
                          <w:rPr>
                            <w:rFonts w:ascii="Cambria Math" w:hAnsi="Cambria Math"/>
                            <w:sz w:val="22"/>
                            <w:szCs w:val="24"/>
                          </w:rPr>
                          <m:t>T</m:t>
                        </m:r>
                      </m:e>
                      <m:sub>
                        <m:r>
                          <m:rPr>
                            <m:sty m:val="p"/>
                          </m:rPr>
                          <w:rPr>
                            <w:rFonts w:ascii="Cambria Math" w:hAnsi="Cambria Math"/>
                            <w:sz w:val="22"/>
                            <w:szCs w:val="24"/>
                          </w:rPr>
                          <m:t>t</m:t>
                        </m:r>
                      </m:sub>
                    </m:sSub>
                    <m:r>
                      <m:rPr>
                        <m:sty m:val="p"/>
                      </m:rPr>
                      <w:rPr>
                        <w:rFonts w:ascii="Cambria Math" w:hAnsi="Cambria Math"/>
                        <w:sz w:val="22"/>
                        <w:szCs w:val="24"/>
                      </w:rPr>
                      <m:t>+</m:t>
                    </m:r>
                    <m:sSub>
                      <m:sSubPr>
                        <m:ctrlPr>
                          <w:rPr>
                            <w:rFonts w:ascii="Cambria Math" w:hAnsi="Cambria Math"/>
                            <w:iCs/>
                            <w:sz w:val="22"/>
                            <w:szCs w:val="24"/>
                          </w:rPr>
                        </m:ctrlPr>
                      </m:sSubPr>
                      <m:e>
                        <m:r>
                          <m:rPr>
                            <m:sty m:val="p"/>
                          </m:rPr>
                          <w:rPr>
                            <w:rFonts w:ascii="Cambria Math" w:hAnsi="Cambria Math"/>
                            <w:sz w:val="22"/>
                            <w:szCs w:val="24"/>
                          </w:rPr>
                          <m:t>T</m:t>
                        </m:r>
                      </m:e>
                      <m:sub>
                        <m:r>
                          <m:rPr>
                            <m:sty m:val="p"/>
                          </m:rPr>
                          <w:rPr>
                            <w:rFonts w:ascii="Cambria Math" w:hAnsi="Cambria Math"/>
                            <w:sz w:val="22"/>
                            <w:szCs w:val="24"/>
                          </w:rPr>
                          <m:t>b</m:t>
                        </m:r>
                      </m:sub>
                    </m:sSub>
                  </m:den>
                </m:f>
              </m:oMath>
            </m:oMathPara>
          </w:p>
        </w:tc>
        <w:tc>
          <w:tcPr>
            <w:tcW w:w="556" w:type="dxa"/>
            <w:shd w:val="clear" w:color="auto" w:fill="auto"/>
          </w:tcPr>
          <w:p w14:paraId="04E7446B" w14:textId="24313F2B" w:rsidR="009968F5" w:rsidRPr="00B32709" w:rsidRDefault="009968F5" w:rsidP="009D1900">
            <w:pPr>
              <w:pStyle w:val="Equationright"/>
              <w:rPr>
                <w:bCs/>
                <w:caps/>
                <w:szCs w:val="22"/>
              </w:rPr>
            </w:pPr>
            <w:r w:rsidRPr="00B32709">
              <w:rPr>
                <w:bCs/>
                <w:caps/>
                <w:szCs w:val="22"/>
              </w:rPr>
              <w:fldChar w:fldCharType="begin"/>
            </w:r>
            <w:r w:rsidRPr="00B32709">
              <w:rPr>
                <w:bCs/>
                <w:caps/>
                <w:szCs w:val="22"/>
              </w:rPr>
              <w:instrText xml:space="preserve"> SEQ Equation \* ARABIC </w:instrText>
            </w:r>
            <w:r w:rsidRPr="00B32709">
              <w:rPr>
                <w:bCs/>
                <w:caps/>
                <w:szCs w:val="22"/>
              </w:rPr>
              <w:fldChar w:fldCharType="separate"/>
            </w:r>
            <w:bookmarkStart w:id="21" w:name="_Ref66804159"/>
            <w:r w:rsidR="00DD506A">
              <w:rPr>
                <w:bCs/>
                <w:caps/>
                <w:noProof/>
                <w:szCs w:val="22"/>
              </w:rPr>
              <w:t>1</w:t>
            </w:r>
            <w:bookmarkEnd w:id="21"/>
            <w:r w:rsidRPr="00B32709">
              <w:rPr>
                <w:bCs/>
                <w:caps/>
                <w:szCs w:val="22"/>
              </w:rPr>
              <w:fldChar w:fldCharType="end"/>
            </w:r>
          </w:p>
        </w:tc>
      </w:tr>
      <w:tr w:rsidR="00924918" w:rsidRPr="00625313" w14:paraId="4F568484" w14:textId="77777777" w:rsidTr="009968F5">
        <w:tc>
          <w:tcPr>
            <w:tcW w:w="1204" w:type="dxa"/>
            <w:shd w:val="clear" w:color="auto" w:fill="auto"/>
          </w:tcPr>
          <w:p w14:paraId="0CA7E795" w14:textId="77777777" w:rsidR="00924918" w:rsidRPr="00637B83" w:rsidRDefault="00924918" w:rsidP="009D1900">
            <w:pPr>
              <w:pStyle w:val="Equationleft"/>
              <w:spacing w:before="120" w:after="120"/>
              <w:rPr>
                <w:szCs w:val="22"/>
              </w:rPr>
            </w:pPr>
            <w:r w:rsidRPr="00637B83">
              <w:rPr>
                <w:szCs w:val="22"/>
              </w:rPr>
              <w:t>where</w:t>
            </w:r>
          </w:p>
        </w:tc>
        <w:tc>
          <w:tcPr>
            <w:tcW w:w="359" w:type="dxa"/>
            <w:shd w:val="clear" w:color="auto" w:fill="auto"/>
          </w:tcPr>
          <w:p w14:paraId="206BFFDF" w14:textId="77777777" w:rsidR="00924918" w:rsidRPr="00637B83" w:rsidRDefault="00924918" w:rsidP="009D1900">
            <w:pPr>
              <w:pStyle w:val="Equationcentered"/>
              <w:spacing w:before="120" w:after="120"/>
              <w:rPr>
                <w:szCs w:val="22"/>
              </w:rPr>
            </w:pPr>
          </w:p>
        </w:tc>
        <w:tc>
          <w:tcPr>
            <w:tcW w:w="7520" w:type="dxa"/>
            <w:shd w:val="clear" w:color="auto" w:fill="auto"/>
          </w:tcPr>
          <w:p w14:paraId="6A43BF16" w14:textId="77777777" w:rsidR="00924918" w:rsidRPr="00637B83" w:rsidRDefault="00924918" w:rsidP="009D1900"/>
        </w:tc>
        <w:tc>
          <w:tcPr>
            <w:tcW w:w="556" w:type="dxa"/>
            <w:shd w:val="clear" w:color="auto" w:fill="auto"/>
          </w:tcPr>
          <w:p w14:paraId="4406AE38" w14:textId="77777777" w:rsidR="00924918" w:rsidRPr="00625313" w:rsidRDefault="00924918" w:rsidP="009D1900">
            <w:pPr>
              <w:pStyle w:val="Equationright"/>
              <w:rPr>
                <w:b/>
                <w:bCs/>
                <w:caps/>
                <w:szCs w:val="22"/>
              </w:rPr>
            </w:pPr>
          </w:p>
        </w:tc>
      </w:tr>
      <w:tr w:rsidR="00924918" w:rsidRPr="00625313" w14:paraId="5BC4C1DC" w14:textId="77777777" w:rsidTr="009968F5">
        <w:tc>
          <w:tcPr>
            <w:tcW w:w="1204" w:type="dxa"/>
            <w:shd w:val="clear" w:color="auto" w:fill="auto"/>
            <w:vAlign w:val="center"/>
          </w:tcPr>
          <w:p w14:paraId="4526A48E" w14:textId="2AE50827" w:rsidR="00924918" w:rsidRPr="00924918" w:rsidRDefault="00924918" w:rsidP="00924918">
            <w:pPr>
              <w:pStyle w:val="Equationright"/>
              <w:spacing w:before="120" w:after="120"/>
              <w:rPr>
                <w:caps/>
                <w:sz w:val="22"/>
                <w:szCs w:val="22"/>
              </w:rPr>
            </w:pPr>
            <m:oMathPara>
              <m:oMathParaPr>
                <m:jc m:val="right"/>
              </m:oMathParaPr>
              <m:oMath>
                <m:r>
                  <m:rPr>
                    <m:sty m:val="p"/>
                  </m:rPr>
                  <w:rPr>
                    <w:rFonts w:ascii="Cambria Math" w:hAnsi="Cambria Math"/>
                    <w:caps/>
                    <w:sz w:val="22"/>
                    <w:szCs w:val="22"/>
                  </w:rPr>
                  <m:t>S</m:t>
                </m:r>
              </m:oMath>
            </m:oMathPara>
          </w:p>
        </w:tc>
        <w:tc>
          <w:tcPr>
            <w:tcW w:w="359" w:type="dxa"/>
            <w:shd w:val="clear" w:color="auto" w:fill="auto"/>
            <w:vAlign w:val="center"/>
          </w:tcPr>
          <w:p w14:paraId="7683A4F0" w14:textId="77777777" w:rsidR="00924918" w:rsidRPr="008E4A78" w:rsidRDefault="00924918" w:rsidP="00924918">
            <w:pPr>
              <w:pStyle w:val="Equationcentered"/>
              <w:spacing w:before="120" w:after="120"/>
              <w:rPr>
                <w:szCs w:val="22"/>
              </w:rPr>
            </w:pPr>
            <w:r w:rsidRPr="008E4A78">
              <w:rPr>
                <w:szCs w:val="22"/>
              </w:rPr>
              <w:t>=</w:t>
            </w:r>
          </w:p>
        </w:tc>
        <w:tc>
          <w:tcPr>
            <w:tcW w:w="7520" w:type="dxa"/>
            <w:shd w:val="clear" w:color="auto" w:fill="auto"/>
          </w:tcPr>
          <w:p w14:paraId="335B84B9" w14:textId="11BB4CB0" w:rsidR="00924918" w:rsidRPr="00637B83" w:rsidRDefault="00924918" w:rsidP="00924918">
            <w:pPr>
              <w:pStyle w:val="Equationleft"/>
              <w:spacing w:before="120" w:after="120"/>
              <w:rPr>
                <w:szCs w:val="22"/>
              </w:rPr>
            </w:pPr>
            <w:r>
              <w:t>segregation (%)</w:t>
            </w:r>
          </w:p>
        </w:tc>
        <w:tc>
          <w:tcPr>
            <w:tcW w:w="556" w:type="dxa"/>
            <w:shd w:val="clear" w:color="auto" w:fill="auto"/>
          </w:tcPr>
          <w:p w14:paraId="58FF78A9" w14:textId="77777777" w:rsidR="00924918" w:rsidRPr="00625313" w:rsidRDefault="00924918" w:rsidP="00924918">
            <w:pPr>
              <w:pStyle w:val="Equationright"/>
              <w:rPr>
                <w:b/>
                <w:bCs/>
                <w:caps/>
                <w:szCs w:val="22"/>
              </w:rPr>
            </w:pPr>
          </w:p>
        </w:tc>
      </w:tr>
      <w:tr w:rsidR="00924918" w:rsidRPr="00625313" w14:paraId="642CDAC3" w14:textId="77777777" w:rsidTr="009968F5">
        <w:tc>
          <w:tcPr>
            <w:tcW w:w="1204" w:type="dxa"/>
            <w:shd w:val="clear" w:color="auto" w:fill="auto"/>
            <w:vAlign w:val="center"/>
          </w:tcPr>
          <w:p w14:paraId="264E064A" w14:textId="1923FF7A" w:rsidR="00924918" w:rsidRPr="00924918" w:rsidRDefault="006A1F2E" w:rsidP="00924918">
            <w:pPr>
              <w:pStyle w:val="Equationright"/>
              <w:spacing w:before="120" w:after="120"/>
              <w:rPr>
                <w:caps/>
                <w:sz w:val="22"/>
                <w:szCs w:val="22"/>
              </w:rPr>
            </w:pPr>
            <m:oMathPara>
              <m:oMathParaPr>
                <m:jc m:val="right"/>
              </m:oMathParaPr>
              <m:oMath>
                <m:sSub>
                  <m:sSubPr>
                    <m:ctrlPr>
                      <w:rPr>
                        <w:rFonts w:ascii="Cambria Math" w:hAnsi="Cambria Math"/>
                        <w:iCs/>
                        <w:caps/>
                        <w:sz w:val="22"/>
                        <w:szCs w:val="22"/>
                      </w:rPr>
                    </m:ctrlPr>
                  </m:sSubPr>
                  <m:e>
                    <m:r>
                      <m:rPr>
                        <m:sty m:val="p"/>
                      </m:rPr>
                      <w:rPr>
                        <w:rFonts w:ascii="Cambria Math" w:hAnsi="Cambria Math"/>
                        <w:caps/>
                        <w:sz w:val="22"/>
                        <w:szCs w:val="22"/>
                      </w:rPr>
                      <m:t>T</m:t>
                    </m:r>
                  </m:e>
                  <m:sub>
                    <m:r>
                      <m:rPr>
                        <m:sty m:val="p"/>
                      </m:rPr>
                      <w:rPr>
                        <w:rFonts w:ascii="Cambria Math" w:hAnsi="Cambria Math"/>
                        <w:sz w:val="22"/>
                        <w:szCs w:val="22"/>
                      </w:rPr>
                      <m:t>t</m:t>
                    </m:r>
                  </m:sub>
                </m:sSub>
              </m:oMath>
            </m:oMathPara>
          </w:p>
        </w:tc>
        <w:tc>
          <w:tcPr>
            <w:tcW w:w="359" w:type="dxa"/>
            <w:shd w:val="clear" w:color="auto" w:fill="auto"/>
            <w:vAlign w:val="center"/>
          </w:tcPr>
          <w:p w14:paraId="1A5417E8" w14:textId="77777777" w:rsidR="00924918" w:rsidRPr="008E4A78" w:rsidRDefault="00924918" w:rsidP="00924918">
            <w:pPr>
              <w:pStyle w:val="Equationcentered"/>
              <w:spacing w:before="120" w:after="120"/>
              <w:rPr>
                <w:szCs w:val="22"/>
              </w:rPr>
            </w:pPr>
            <w:r w:rsidRPr="008E4A78">
              <w:rPr>
                <w:szCs w:val="22"/>
              </w:rPr>
              <w:t>=</w:t>
            </w:r>
          </w:p>
        </w:tc>
        <w:tc>
          <w:tcPr>
            <w:tcW w:w="7520" w:type="dxa"/>
            <w:shd w:val="clear" w:color="auto" w:fill="auto"/>
          </w:tcPr>
          <w:p w14:paraId="2725DCA6" w14:textId="314278AA" w:rsidR="00924918" w:rsidRPr="00637B83" w:rsidRDefault="00924918" w:rsidP="00924918">
            <w:pPr>
              <w:pStyle w:val="Equationleft"/>
              <w:spacing w:before="120" w:after="120"/>
              <w:rPr>
                <w:szCs w:val="22"/>
              </w:rPr>
            </w:pPr>
            <w:r>
              <w:t>softening point of top subsample (°C)</w:t>
            </w:r>
          </w:p>
        </w:tc>
        <w:tc>
          <w:tcPr>
            <w:tcW w:w="556" w:type="dxa"/>
            <w:shd w:val="clear" w:color="auto" w:fill="auto"/>
          </w:tcPr>
          <w:p w14:paraId="728E9D13" w14:textId="77777777" w:rsidR="00924918" w:rsidRPr="00625313" w:rsidRDefault="00924918" w:rsidP="00924918">
            <w:pPr>
              <w:pStyle w:val="Equationright"/>
              <w:rPr>
                <w:b/>
                <w:bCs/>
                <w:caps/>
                <w:szCs w:val="22"/>
              </w:rPr>
            </w:pPr>
          </w:p>
        </w:tc>
      </w:tr>
      <w:tr w:rsidR="00924918" w:rsidRPr="00625313" w14:paraId="69CA5689" w14:textId="77777777" w:rsidTr="009968F5">
        <w:tc>
          <w:tcPr>
            <w:tcW w:w="1204" w:type="dxa"/>
            <w:shd w:val="clear" w:color="auto" w:fill="auto"/>
            <w:vAlign w:val="center"/>
          </w:tcPr>
          <w:p w14:paraId="27D1443B" w14:textId="42821673" w:rsidR="00924918" w:rsidRPr="00924918" w:rsidRDefault="006A1F2E" w:rsidP="00924918">
            <w:pPr>
              <w:pStyle w:val="Equationright"/>
              <w:spacing w:before="120" w:after="120"/>
              <w:rPr>
                <w:caps/>
                <w:sz w:val="22"/>
                <w:szCs w:val="22"/>
              </w:rPr>
            </w:pPr>
            <m:oMathPara>
              <m:oMathParaPr>
                <m:jc m:val="right"/>
              </m:oMathParaPr>
              <m:oMath>
                <m:sSub>
                  <m:sSubPr>
                    <m:ctrlPr>
                      <w:rPr>
                        <w:rFonts w:ascii="Cambria Math" w:hAnsi="Cambria Math"/>
                        <w:iCs/>
                        <w:caps/>
                        <w:sz w:val="22"/>
                        <w:szCs w:val="22"/>
                      </w:rPr>
                    </m:ctrlPr>
                  </m:sSubPr>
                  <m:e>
                    <m:r>
                      <m:rPr>
                        <m:sty m:val="p"/>
                      </m:rPr>
                      <w:rPr>
                        <w:rFonts w:ascii="Cambria Math" w:hAnsi="Cambria Math"/>
                        <w:caps/>
                        <w:sz w:val="22"/>
                        <w:szCs w:val="22"/>
                      </w:rPr>
                      <m:t>T</m:t>
                    </m:r>
                  </m:e>
                  <m:sub>
                    <m:r>
                      <m:rPr>
                        <m:sty m:val="p"/>
                      </m:rPr>
                      <w:rPr>
                        <w:rFonts w:ascii="Cambria Math" w:hAnsi="Cambria Math"/>
                        <w:sz w:val="22"/>
                        <w:szCs w:val="22"/>
                      </w:rPr>
                      <m:t>b</m:t>
                    </m:r>
                  </m:sub>
                </m:sSub>
              </m:oMath>
            </m:oMathPara>
          </w:p>
        </w:tc>
        <w:tc>
          <w:tcPr>
            <w:tcW w:w="359" w:type="dxa"/>
            <w:shd w:val="clear" w:color="auto" w:fill="auto"/>
            <w:vAlign w:val="center"/>
          </w:tcPr>
          <w:p w14:paraId="223359A9" w14:textId="77777777" w:rsidR="00924918" w:rsidRPr="008E4A78" w:rsidRDefault="00924918" w:rsidP="00924918">
            <w:pPr>
              <w:pStyle w:val="Equationcentered"/>
              <w:spacing w:before="120" w:after="120"/>
              <w:rPr>
                <w:szCs w:val="22"/>
              </w:rPr>
            </w:pPr>
            <w:r w:rsidRPr="008E4A78">
              <w:rPr>
                <w:szCs w:val="22"/>
              </w:rPr>
              <w:t>=</w:t>
            </w:r>
          </w:p>
        </w:tc>
        <w:tc>
          <w:tcPr>
            <w:tcW w:w="7520" w:type="dxa"/>
            <w:shd w:val="clear" w:color="auto" w:fill="auto"/>
          </w:tcPr>
          <w:p w14:paraId="27037426" w14:textId="31F0F507" w:rsidR="00924918" w:rsidRPr="00637B83" w:rsidRDefault="00924918" w:rsidP="00924918">
            <w:pPr>
              <w:pStyle w:val="Equationleft"/>
              <w:spacing w:before="120" w:after="120"/>
              <w:rPr>
                <w:szCs w:val="22"/>
              </w:rPr>
            </w:pPr>
            <w:r>
              <w:t>softening point of bottom subsample (°C)</w:t>
            </w:r>
          </w:p>
        </w:tc>
        <w:tc>
          <w:tcPr>
            <w:tcW w:w="556" w:type="dxa"/>
            <w:shd w:val="clear" w:color="auto" w:fill="auto"/>
          </w:tcPr>
          <w:p w14:paraId="4A8BA1C8" w14:textId="77777777" w:rsidR="00924918" w:rsidRPr="00625313" w:rsidRDefault="00924918" w:rsidP="00924918">
            <w:pPr>
              <w:pStyle w:val="Equationright"/>
              <w:rPr>
                <w:b/>
                <w:bCs/>
                <w:caps/>
                <w:szCs w:val="22"/>
              </w:rPr>
            </w:pPr>
          </w:p>
        </w:tc>
      </w:tr>
    </w:tbl>
    <w:p w14:paraId="25FF4B4F" w14:textId="69D05981" w:rsidR="00924918" w:rsidRDefault="00924918" w:rsidP="00924918">
      <w:pPr>
        <w:pStyle w:val="Heading1"/>
      </w:pPr>
      <w:bookmarkStart w:id="22" w:name="_Toc419709971"/>
      <w:bookmarkStart w:id="23" w:name="_Toc419710750"/>
      <w:bookmarkStart w:id="24" w:name="_Toc66275149"/>
      <w:bookmarkStart w:id="25" w:name="_Toc71293659"/>
      <w:bookmarkStart w:id="26" w:name="_Toc71293950"/>
      <w:r w:rsidRPr="00924918">
        <w:t>Reporting</w:t>
      </w:r>
      <w:bookmarkEnd w:id="22"/>
      <w:bookmarkEnd w:id="23"/>
      <w:bookmarkEnd w:id="24"/>
      <w:bookmarkEnd w:id="25"/>
      <w:bookmarkEnd w:id="26"/>
    </w:p>
    <w:p w14:paraId="6727C26E" w14:textId="77777777" w:rsidR="00924918" w:rsidRPr="00924918" w:rsidRDefault="00924918" w:rsidP="0023708E">
      <w:pPr>
        <w:pStyle w:val="Paragraph"/>
      </w:pPr>
      <w:r w:rsidRPr="00924918">
        <w:t>The following information shall be reported:</w:t>
      </w:r>
    </w:p>
    <w:p w14:paraId="7B5AE4C7" w14:textId="33C6BE45" w:rsidR="00924918" w:rsidRDefault="00924918" w:rsidP="00924918">
      <w:pPr>
        <w:pStyle w:val="NumberedList"/>
        <w:numPr>
          <w:ilvl w:val="0"/>
          <w:numId w:val="41"/>
        </w:numPr>
        <w:ind w:left="567" w:hanging="567"/>
      </w:pPr>
      <w:r w:rsidRPr="00924918">
        <w:t>Softening point for each half of the sample using the reporting requirements of AS 2341.18.</w:t>
      </w:r>
    </w:p>
    <w:p w14:paraId="690798EE" w14:textId="5ECE84BA" w:rsidR="00924918" w:rsidRPr="00924918" w:rsidRDefault="00924918" w:rsidP="00DB4D24">
      <w:pPr>
        <w:pStyle w:val="NumberedList"/>
        <w:numPr>
          <w:ilvl w:val="0"/>
          <w:numId w:val="41"/>
        </w:numPr>
        <w:ind w:left="567" w:hanging="567"/>
      </w:pPr>
      <w:r w:rsidRPr="00924918">
        <w:t>Segregation to the nearest 0.5%.</w:t>
      </w:r>
    </w:p>
    <w:p w14:paraId="6382DF5D" w14:textId="77777777" w:rsidR="00924918" w:rsidRPr="00924918" w:rsidRDefault="00924918" w:rsidP="00924918">
      <w:pPr>
        <w:pStyle w:val="Heading1"/>
      </w:pPr>
      <w:bookmarkStart w:id="27" w:name="_Toc66275150"/>
      <w:bookmarkStart w:id="28" w:name="_Toc71293660"/>
      <w:bookmarkStart w:id="29" w:name="_Toc71293951"/>
      <w:r w:rsidRPr="00924918">
        <w:t>Precision</w:t>
      </w:r>
      <w:bookmarkEnd w:id="27"/>
      <w:bookmarkEnd w:id="28"/>
      <w:bookmarkEnd w:id="29"/>
    </w:p>
    <w:p w14:paraId="2EBFEB1F" w14:textId="77777777" w:rsidR="00924918" w:rsidRPr="00924918" w:rsidRDefault="00924918" w:rsidP="0023708E">
      <w:pPr>
        <w:pStyle w:val="Paragraph"/>
      </w:pPr>
      <w:r w:rsidRPr="00924918">
        <w:t>The criteria given in AS 2341.18 should be observed for each of the duplicate softening point determinations. No precision data exist for the measure of segregation.</w:t>
      </w:r>
    </w:p>
    <w:p w14:paraId="13A6306A" w14:textId="77777777" w:rsidR="003507B5" w:rsidRPr="008C101C" w:rsidRDefault="008C101C" w:rsidP="0027129A">
      <w:pPr>
        <w:pStyle w:val="CommentaryHeading1"/>
        <w:pageBreakBefore/>
        <w:numPr>
          <w:ilvl w:val="0"/>
          <w:numId w:val="0"/>
        </w:numPr>
        <w:rPr>
          <w:sz w:val="28"/>
          <w:szCs w:val="28"/>
        </w:rPr>
      </w:pPr>
      <w:bookmarkStart w:id="30" w:name="_Toc71293661"/>
      <w:bookmarkStart w:id="31" w:name="_Toc71293952"/>
      <w:r w:rsidRPr="008C101C">
        <w:rPr>
          <w:caps w:val="0"/>
          <w:sz w:val="28"/>
          <w:szCs w:val="28"/>
        </w:rPr>
        <w:lastRenderedPageBreak/>
        <w:t>Amendment Record</w:t>
      </w:r>
      <w:bookmarkEnd w:id="12"/>
      <w:bookmarkEnd w:id="30"/>
      <w:bookmarkEnd w:id="31"/>
    </w:p>
    <w:tbl>
      <w:tblPr>
        <w:tblStyle w:val="TMTable"/>
        <w:tblW w:w="4962" w:type="pct"/>
        <w:tblLayout w:type="fixed"/>
        <w:tblLook w:val="01E0" w:firstRow="1" w:lastRow="1" w:firstColumn="1" w:lastColumn="1" w:noHBand="0" w:noVBand="0"/>
      </w:tblPr>
      <w:tblGrid>
        <w:gridCol w:w="1266"/>
        <w:gridCol w:w="5626"/>
        <w:gridCol w:w="1331"/>
        <w:gridCol w:w="1323"/>
      </w:tblGrid>
      <w:tr w:rsidR="00607728" w:rsidRPr="00731EA0" w14:paraId="64BEFC5D" w14:textId="77777777" w:rsidTr="0009743C">
        <w:trPr>
          <w:cnfStyle w:val="100000000000" w:firstRow="1" w:lastRow="0" w:firstColumn="0" w:lastColumn="0" w:oddVBand="0" w:evenVBand="0" w:oddHBand="0" w:evenHBand="0" w:firstRowFirstColumn="0" w:firstRowLastColumn="0" w:lastRowFirstColumn="0" w:lastRowLastColumn="0"/>
        </w:trPr>
        <w:tc>
          <w:tcPr>
            <w:tcW w:w="663" w:type="pct"/>
          </w:tcPr>
          <w:p w14:paraId="699C1FC2" w14:textId="77777777" w:rsidR="00607728" w:rsidRPr="00906CF3" w:rsidRDefault="00607728" w:rsidP="00A97665">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947" w:type="pct"/>
          </w:tcPr>
          <w:p w14:paraId="257B39BC" w14:textId="77777777" w:rsidR="00607728" w:rsidRPr="00906CF3" w:rsidRDefault="00607728" w:rsidP="00DD5FD7">
            <w:pPr>
              <w:pStyle w:val="TableHeader"/>
              <w:rPr>
                <w:rFonts w:ascii="Arial" w:hAnsi="Arial" w:cs="Arial"/>
                <w:b/>
              </w:rPr>
            </w:pPr>
            <w:r w:rsidRPr="00906CF3">
              <w:rPr>
                <w:rFonts w:ascii="Arial" w:hAnsi="Arial" w:cs="Arial"/>
                <w:b/>
              </w:rPr>
              <w:t>Clauses amended</w:t>
            </w:r>
          </w:p>
        </w:tc>
        <w:tc>
          <w:tcPr>
            <w:tcW w:w="697" w:type="pct"/>
          </w:tcPr>
          <w:p w14:paraId="03629620"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3" w:type="pct"/>
          </w:tcPr>
          <w:p w14:paraId="7825FF45"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924918" w14:paraId="73AA7BA1" w14:textId="77777777" w:rsidTr="0009743C">
        <w:tc>
          <w:tcPr>
            <w:tcW w:w="663" w:type="pct"/>
          </w:tcPr>
          <w:p w14:paraId="0DE47732" w14:textId="2AB80A8D" w:rsidR="00924918" w:rsidRPr="00AF45E6" w:rsidRDefault="00924918" w:rsidP="0009743C">
            <w:pPr>
              <w:pStyle w:val="TableText"/>
              <w:jc w:val="center"/>
            </w:pPr>
            <w:r>
              <w:t>1</w:t>
            </w:r>
          </w:p>
        </w:tc>
        <w:tc>
          <w:tcPr>
            <w:tcW w:w="2947" w:type="pct"/>
          </w:tcPr>
          <w:p w14:paraId="10BD72DD" w14:textId="27A68D3A" w:rsidR="00924918" w:rsidRPr="00AF45E6" w:rsidRDefault="00924918" w:rsidP="0009743C">
            <w:pPr>
              <w:pStyle w:val="TableText"/>
            </w:pPr>
            <w:r>
              <w:t>This method has been developed from Queensland Main Roads test method Q345-1996. No substantive changes have been instituted. The sample preparation protocol has been aligned with the procedures presented in AGPT/T102.</w:t>
            </w:r>
          </w:p>
        </w:tc>
        <w:tc>
          <w:tcPr>
            <w:tcW w:w="697" w:type="pct"/>
          </w:tcPr>
          <w:p w14:paraId="4EEC3684" w14:textId="7E594694" w:rsidR="00924918" w:rsidRPr="00AF45E6" w:rsidRDefault="00924918" w:rsidP="0009743C">
            <w:pPr>
              <w:pStyle w:val="TableText"/>
            </w:pPr>
            <w:r>
              <w:t>New</w:t>
            </w:r>
          </w:p>
        </w:tc>
        <w:tc>
          <w:tcPr>
            <w:tcW w:w="693" w:type="pct"/>
          </w:tcPr>
          <w:p w14:paraId="56F44290" w14:textId="21A0654E" w:rsidR="00924918" w:rsidRPr="00AF45E6" w:rsidRDefault="00924918" w:rsidP="0009743C">
            <w:pPr>
              <w:pStyle w:val="TableText"/>
            </w:pPr>
            <w:r>
              <w:t>July 2001</w:t>
            </w:r>
          </w:p>
        </w:tc>
      </w:tr>
      <w:tr w:rsidR="00924918" w14:paraId="44DAE2F4" w14:textId="77777777" w:rsidTr="0009743C">
        <w:tc>
          <w:tcPr>
            <w:tcW w:w="663" w:type="pct"/>
            <w:vMerge w:val="restart"/>
          </w:tcPr>
          <w:p w14:paraId="6E55D036" w14:textId="71797DE4" w:rsidR="00924918" w:rsidRPr="00AF45E6" w:rsidRDefault="00924918" w:rsidP="0009743C">
            <w:pPr>
              <w:pStyle w:val="TableText"/>
              <w:jc w:val="center"/>
            </w:pPr>
            <w:r>
              <w:t>2</w:t>
            </w:r>
          </w:p>
        </w:tc>
        <w:tc>
          <w:tcPr>
            <w:tcW w:w="2947" w:type="pct"/>
          </w:tcPr>
          <w:p w14:paraId="6D21AA37" w14:textId="1CFA80A3" w:rsidR="00924918" w:rsidRPr="00F6126C" w:rsidRDefault="00924918" w:rsidP="0009743C">
            <w:pPr>
              <w:pStyle w:val="TableText"/>
            </w:pPr>
            <w:r>
              <w:t>Commentary page</w:t>
            </w:r>
          </w:p>
        </w:tc>
        <w:tc>
          <w:tcPr>
            <w:tcW w:w="697" w:type="pct"/>
          </w:tcPr>
          <w:p w14:paraId="3F8BF0E6" w14:textId="2B77B88A" w:rsidR="00924918" w:rsidRPr="008049FA" w:rsidRDefault="00924918" w:rsidP="0009743C">
            <w:pPr>
              <w:pStyle w:val="TableText"/>
            </w:pPr>
            <w:r>
              <w:t>New</w:t>
            </w:r>
          </w:p>
        </w:tc>
        <w:tc>
          <w:tcPr>
            <w:tcW w:w="693" w:type="pct"/>
            <w:vMerge w:val="restart"/>
          </w:tcPr>
          <w:p w14:paraId="76A57733" w14:textId="12483EE6" w:rsidR="00924918" w:rsidRPr="00AF45E6" w:rsidRDefault="00924918" w:rsidP="0009743C">
            <w:pPr>
              <w:pStyle w:val="TableText"/>
            </w:pPr>
            <w:r>
              <w:t>June 2005</w:t>
            </w:r>
          </w:p>
        </w:tc>
      </w:tr>
      <w:tr w:rsidR="00924918" w14:paraId="1AD354D8" w14:textId="77777777" w:rsidTr="0009743C">
        <w:tc>
          <w:tcPr>
            <w:tcW w:w="663" w:type="pct"/>
            <w:vMerge/>
          </w:tcPr>
          <w:p w14:paraId="1C417532" w14:textId="77777777" w:rsidR="00924918" w:rsidRDefault="00924918" w:rsidP="0009743C">
            <w:pPr>
              <w:pStyle w:val="TableText"/>
              <w:jc w:val="center"/>
            </w:pPr>
          </w:p>
        </w:tc>
        <w:tc>
          <w:tcPr>
            <w:tcW w:w="2947" w:type="pct"/>
          </w:tcPr>
          <w:p w14:paraId="1639CEBE" w14:textId="297E5BBF" w:rsidR="00924918" w:rsidRDefault="00924918" w:rsidP="0009743C">
            <w:pPr>
              <w:pStyle w:val="TableText"/>
            </w:pPr>
            <w:r>
              <w:t>Footer and header</w:t>
            </w:r>
          </w:p>
        </w:tc>
        <w:tc>
          <w:tcPr>
            <w:tcW w:w="697" w:type="pct"/>
          </w:tcPr>
          <w:p w14:paraId="42BCFEC1" w14:textId="65336336" w:rsidR="00924918" w:rsidRPr="00AF45E6" w:rsidRDefault="00924918" w:rsidP="0009743C">
            <w:pPr>
              <w:pStyle w:val="TableText"/>
            </w:pPr>
            <w:r>
              <w:t>Format</w:t>
            </w:r>
          </w:p>
        </w:tc>
        <w:tc>
          <w:tcPr>
            <w:tcW w:w="693" w:type="pct"/>
            <w:vMerge/>
          </w:tcPr>
          <w:p w14:paraId="678600A3" w14:textId="77777777" w:rsidR="00924918" w:rsidRDefault="00924918" w:rsidP="0009743C">
            <w:pPr>
              <w:pStyle w:val="TableText"/>
            </w:pPr>
          </w:p>
        </w:tc>
      </w:tr>
      <w:tr w:rsidR="00924918" w14:paraId="3E271BC1" w14:textId="77777777" w:rsidTr="0009743C">
        <w:tc>
          <w:tcPr>
            <w:tcW w:w="663" w:type="pct"/>
            <w:vMerge/>
          </w:tcPr>
          <w:p w14:paraId="386A9DF6" w14:textId="77777777" w:rsidR="00924918" w:rsidRDefault="00924918" w:rsidP="0009743C">
            <w:pPr>
              <w:pStyle w:val="TableText"/>
              <w:jc w:val="center"/>
            </w:pPr>
          </w:p>
        </w:tc>
        <w:tc>
          <w:tcPr>
            <w:tcW w:w="2947" w:type="pct"/>
          </w:tcPr>
          <w:p w14:paraId="6D3AC8BF" w14:textId="78354661" w:rsidR="00924918" w:rsidRDefault="00924918" w:rsidP="0009743C">
            <w:pPr>
              <w:pStyle w:val="TableText"/>
            </w:pPr>
            <w:r>
              <w:t>Applied revised test method number</w:t>
            </w:r>
          </w:p>
        </w:tc>
        <w:tc>
          <w:tcPr>
            <w:tcW w:w="697" w:type="pct"/>
          </w:tcPr>
          <w:p w14:paraId="03343430" w14:textId="014102C4" w:rsidR="00924918" w:rsidRDefault="00924918" w:rsidP="0009743C">
            <w:pPr>
              <w:pStyle w:val="TableText"/>
            </w:pPr>
            <w:r>
              <w:t>Format</w:t>
            </w:r>
          </w:p>
        </w:tc>
        <w:tc>
          <w:tcPr>
            <w:tcW w:w="693" w:type="pct"/>
            <w:vMerge/>
          </w:tcPr>
          <w:p w14:paraId="04C2BF07" w14:textId="77777777" w:rsidR="00924918" w:rsidRDefault="00924918" w:rsidP="0009743C">
            <w:pPr>
              <w:pStyle w:val="TableText"/>
            </w:pPr>
          </w:p>
        </w:tc>
      </w:tr>
      <w:tr w:rsidR="00924918" w14:paraId="581089C1" w14:textId="77777777" w:rsidTr="0009743C">
        <w:tc>
          <w:tcPr>
            <w:tcW w:w="663" w:type="pct"/>
            <w:vMerge/>
          </w:tcPr>
          <w:p w14:paraId="7D608C06" w14:textId="77777777" w:rsidR="00924918" w:rsidRDefault="00924918" w:rsidP="0009743C">
            <w:pPr>
              <w:pStyle w:val="TableText"/>
              <w:jc w:val="center"/>
            </w:pPr>
          </w:p>
        </w:tc>
        <w:tc>
          <w:tcPr>
            <w:tcW w:w="2947" w:type="pct"/>
          </w:tcPr>
          <w:p w14:paraId="7BE8B9B0" w14:textId="35DEA51A" w:rsidR="00924918" w:rsidRPr="00943E1F" w:rsidRDefault="00924918" w:rsidP="0009743C">
            <w:pPr>
              <w:pStyle w:val="TableText"/>
            </w:pPr>
            <w:r>
              <w:t>Applied new styles</w:t>
            </w:r>
          </w:p>
        </w:tc>
        <w:tc>
          <w:tcPr>
            <w:tcW w:w="697" w:type="pct"/>
          </w:tcPr>
          <w:p w14:paraId="2A288A5A" w14:textId="75AEA353" w:rsidR="00924918" w:rsidRPr="00943E1F" w:rsidRDefault="00924918" w:rsidP="0009743C">
            <w:pPr>
              <w:pStyle w:val="TableText"/>
            </w:pPr>
            <w:r>
              <w:t>Format</w:t>
            </w:r>
          </w:p>
        </w:tc>
        <w:tc>
          <w:tcPr>
            <w:tcW w:w="693" w:type="pct"/>
            <w:vMerge/>
          </w:tcPr>
          <w:p w14:paraId="70506A72" w14:textId="77777777" w:rsidR="00924918" w:rsidRPr="00943E1F" w:rsidRDefault="00924918" w:rsidP="0009743C">
            <w:pPr>
              <w:pStyle w:val="TableText"/>
            </w:pPr>
          </w:p>
        </w:tc>
      </w:tr>
      <w:tr w:rsidR="00924918" w14:paraId="7ACFAF52" w14:textId="77777777" w:rsidTr="0009743C">
        <w:tc>
          <w:tcPr>
            <w:tcW w:w="663" w:type="pct"/>
          </w:tcPr>
          <w:p w14:paraId="0D819226" w14:textId="6B960424" w:rsidR="00924918" w:rsidRDefault="00924918" w:rsidP="0009743C">
            <w:pPr>
              <w:pStyle w:val="TableText"/>
              <w:jc w:val="center"/>
            </w:pPr>
            <w:r>
              <w:t>3</w:t>
            </w:r>
          </w:p>
        </w:tc>
        <w:tc>
          <w:tcPr>
            <w:tcW w:w="2947" w:type="pct"/>
          </w:tcPr>
          <w:p w14:paraId="3ED077E6" w14:textId="4EB11D7C" w:rsidR="00924918" w:rsidRDefault="00924918" w:rsidP="0009743C">
            <w:pPr>
              <w:pStyle w:val="TableText"/>
            </w:pPr>
            <w:r>
              <w:t>Applied revised test method number</w:t>
            </w:r>
          </w:p>
        </w:tc>
        <w:tc>
          <w:tcPr>
            <w:tcW w:w="697" w:type="pct"/>
          </w:tcPr>
          <w:p w14:paraId="5E947FF4" w14:textId="09AB31BF" w:rsidR="00924918" w:rsidRDefault="00924918" w:rsidP="0009743C">
            <w:pPr>
              <w:pStyle w:val="TableText"/>
            </w:pPr>
            <w:r>
              <w:t>Substitution</w:t>
            </w:r>
          </w:p>
        </w:tc>
        <w:tc>
          <w:tcPr>
            <w:tcW w:w="693" w:type="pct"/>
          </w:tcPr>
          <w:p w14:paraId="01FDA5D6" w14:textId="13B68703" w:rsidR="00924918" w:rsidRDefault="00924918" w:rsidP="0009743C">
            <w:pPr>
              <w:pStyle w:val="TableText"/>
            </w:pPr>
            <w:r>
              <w:t>March 2006</w:t>
            </w:r>
          </w:p>
        </w:tc>
      </w:tr>
      <w:tr w:rsidR="00924918" w14:paraId="1E9939E9" w14:textId="77777777" w:rsidTr="0009743C">
        <w:tc>
          <w:tcPr>
            <w:tcW w:w="663" w:type="pct"/>
            <w:vMerge w:val="restart"/>
          </w:tcPr>
          <w:p w14:paraId="0C85DFEB" w14:textId="7529CD4A" w:rsidR="00924918" w:rsidRDefault="00924918" w:rsidP="0009743C">
            <w:pPr>
              <w:pStyle w:val="TableText"/>
              <w:jc w:val="center"/>
            </w:pPr>
            <w:r>
              <w:t>4</w:t>
            </w:r>
          </w:p>
        </w:tc>
        <w:tc>
          <w:tcPr>
            <w:tcW w:w="2947" w:type="pct"/>
          </w:tcPr>
          <w:p w14:paraId="06EBFFFC" w14:textId="12E83432" w:rsidR="00924918" w:rsidRDefault="00924918" w:rsidP="0009743C">
            <w:pPr>
              <w:pStyle w:val="TableText"/>
            </w:pPr>
            <w:r>
              <w:t>Transferred test method to new Austroads template</w:t>
            </w:r>
          </w:p>
        </w:tc>
        <w:tc>
          <w:tcPr>
            <w:tcW w:w="697" w:type="pct"/>
          </w:tcPr>
          <w:p w14:paraId="26C81035" w14:textId="257CCCA0" w:rsidR="00924918" w:rsidRDefault="00924918" w:rsidP="0009743C">
            <w:pPr>
              <w:pStyle w:val="TableText"/>
            </w:pPr>
            <w:r>
              <w:t>Format</w:t>
            </w:r>
          </w:p>
        </w:tc>
        <w:tc>
          <w:tcPr>
            <w:tcW w:w="693" w:type="pct"/>
            <w:vMerge w:val="restart"/>
          </w:tcPr>
          <w:p w14:paraId="64229ACB" w14:textId="1DE94C14" w:rsidR="00924918" w:rsidRDefault="002D2194" w:rsidP="0009743C">
            <w:pPr>
              <w:pStyle w:val="TableText"/>
            </w:pPr>
            <w:r>
              <w:t>May 2021</w:t>
            </w:r>
          </w:p>
        </w:tc>
      </w:tr>
      <w:tr w:rsidR="002D2194" w14:paraId="585CACF8" w14:textId="77777777" w:rsidTr="0009743C">
        <w:tc>
          <w:tcPr>
            <w:tcW w:w="663" w:type="pct"/>
            <w:vMerge/>
          </w:tcPr>
          <w:p w14:paraId="774F6327" w14:textId="77777777" w:rsidR="002D2194" w:rsidRDefault="002D2194" w:rsidP="002D2194">
            <w:pPr>
              <w:pStyle w:val="TableFigureCenter"/>
            </w:pPr>
          </w:p>
        </w:tc>
        <w:tc>
          <w:tcPr>
            <w:tcW w:w="2947" w:type="pct"/>
          </w:tcPr>
          <w:p w14:paraId="3B9BC242" w14:textId="60758BD4" w:rsidR="002D2194" w:rsidRDefault="002D2194" w:rsidP="0009743C">
            <w:pPr>
              <w:pStyle w:val="TableText"/>
            </w:pPr>
            <w:r>
              <w:t>Safety disclaimer</w:t>
            </w:r>
          </w:p>
        </w:tc>
        <w:tc>
          <w:tcPr>
            <w:tcW w:w="697" w:type="pct"/>
          </w:tcPr>
          <w:p w14:paraId="617837D0" w14:textId="3F8DF4A7" w:rsidR="002D2194" w:rsidRDefault="002D2194" w:rsidP="0009743C">
            <w:pPr>
              <w:pStyle w:val="TableText"/>
            </w:pPr>
            <w:r>
              <w:t>New</w:t>
            </w:r>
          </w:p>
        </w:tc>
        <w:tc>
          <w:tcPr>
            <w:tcW w:w="693" w:type="pct"/>
            <w:vMerge/>
          </w:tcPr>
          <w:p w14:paraId="5C021E99" w14:textId="77777777" w:rsidR="002D2194" w:rsidRDefault="002D2194" w:rsidP="002D2194">
            <w:pPr>
              <w:pStyle w:val="TableFigureCenter"/>
            </w:pPr>
          </w:p>
        </w:tc>
      </w:tr>
      <w:tr w:rsidR="002D2194" w14:paraId="41CCAA71" w14:textId="77777777" w:rsidTr="0009743C">
        <w:tc>
          <w:tcPr>
            <w:tcW w:w="663" w:type="pct"/>
            <w:vMerge/>
          </w:tcPr>
          <w:p w14:paraId="76649AAE" w14:textId="77777777" w:rsidR="002D2194" w:rsidRDefault="002D2194" w:rsidP="002D2194">
            <w:pPr>
              <w:pStyle w:val="TableFigureCenter"/>
            </w:pPr>
          </w:p>
        </w:tc>
        <w:tc>
          <w:tcPr>
            <w:tcW w:w="2947" w:type="pct"/>
          </w:tcPr>
          <w:p w14:paraId="0C8EF755" w14:textId="4A8C3A1A" w:rsidR="002D2194" w:rsidRDefault="002D2194" w:rsidP="0009743C">
            <w:pPr>
              <w:pStyle w:val="TableText"/>
            </w:pPr>
            <w:r>
              <w:t>General requirements section</w:t>
            </w:r>
          </w:p>
        </w:tc>
        <w:tc>
          <w:tcPr>
            <w:tcW w:w="697" w:type="pct"/>
          </w:tcPr>
          <w:p w14:paraId="63B31D91" w14:textId="5C8649B6" w:rsidR="002D2194" w:rsidRDefault="002D2194" w:rsidP="0009743C">
            <w:pPr>
              <w:pStyle w:val="TableText"/>
            </w:pPr>
            <w:r>
              <w:t>Removed</w:t>
            </w:r>
          </w:p>
        </w:tc>
        <w:tc>
          <w:tcPr>
            <w:tcW w:w="693" w:type="pct"/>
            <w:vMerge/>
          </w:tcPr>
          <w:p w14:paraId="69822B86" w14:textId="77777777" w:rsidR="002D2194" w:rsidRDefault="002D2194" w:rsidP="002D2194">
            <w:pPr>
              <w:pStyle w:val="TableFigureCenter"/>
            </w:pPr>
          </w:p>
        </w:tc>
      </w:tr>
      <w:tr w:rsidR="002D2194" w14:paraId="1F4546C3" w14:textId="77777777" w:rsidTr="0009743C">
        <w:tc>
          <w:tcPr>
            <w:tcW w:w="663" w:type="pct"/>
            <w:vMerge/>
          </w:tcPr>
          <w:p w14:paraId="63B38711" w14:textId="77777777" w:rsidR="002D2194" w:rsidRDefault="002D2194" w:rsidP="002D2194">
            <w:pPr>
              <w:pStyle w:val="TableFigureCenter"/>
            </w:pPr>
          </w:p>
        </w:tc>
        <w:tc>
          <w:tcPr>
            <w:tcW w:w="2947" w:type="pct"/>
          </w:tcPr>
          <w:p w14:paraId="79518518" w14:textId="2D4751ED" w:rsidR="002D2194" w:rsidRPr="000F67E1" w:rsidRDefault="002D2194" w:rsidP="0009743C">
            <w:pPr>
              <w:pStyle w:val="TableText"/>
            </w:pPr>
            <w:r>
              <w:t>Updated procedure</w:t>
            </w:r>
          </w:p>
        </w:tc>
        <w:tc>
          <w:tcPr>
            <w:tcW w:w="697" w:type="pct"/>
          </w:tcPr>
          <w:p w14:paraId="476BD577" w14:textId="2393EC3F" w:rsidR="002D2194" w:rsidRPr="000F67E1" w:rsidRDefault="002D2194" w:rsidP="0009743C">
            <w:pPr>
              <w:pStyle w:val="TableText"/>
            </w:pPr>
            <w:r>
              <w:t>Substitution</w:t>
            </w:r>
          </w:p>
        </w:tc>
        <w:tc>
          <w:tcPr>
            <w:tcW w:w="693" w:type="pct"/>
            <w:vMerge/>
          </w:tcPr>
          <w:p w14:paraId="0EE917DE" w14:textId="77777777" w:rsidR="002D2194" w:rsidRDefault="002D2194" w:rsidP="002D2194">
            <w:pPr>
              <w:pStyle w:val="TableFigureCenter"/>
            </w:pPr>
          </w:p>
        </w:tc>
      </w:tr>
      <w:tr w:rsidR="0009743C" w14:paraId="2F6C4A38" w14:textId="77777777" w:rsidTr="0009743C">
        <w:trPr>
          <w:trHeight w:val="299"/>
        </w:trPr>
        <w:tc>
          <w:tcPr>
            <w:tcW w:w="663" w:type="pct"/>
            <w:vMerge/>
          </w:tcPr>
          <w:p w14:paraId="3FB879A3" w14:textId="77777777" w:rsidR="0009743C" w:rsidRDefault="0009743C" w:rsidP="002D2194">
            <w:pPr>
              <w:pStyle w:val="TableFigureCenter"/>
            </w:pPr>
          </w:p>
        </w:tc>
        <w:tc>
          <w:tcPr>
            <w:tcW w:w="2947" w:type="pct"/>
          </w:tcPr>
          <w:p w14:paraId="231F310B" w14:textId="6645529E" w:rsidR="0009743C" w:rsidRDefault="0009743C" w:rsidP="0009743C">
            <w:pPr>
              <w:pStyle w:val="TableText"/>
            </w:pPr>
            <w:r>
              <w:t>Appendix A</w:t>
            </w:r>
          </w:p>
        </w:tc>
        <w:tc>
          <w:tcPr>
            <w:tcW w:w="697" w:type="pct"/>
          </w:tcPr>
          <w:p w14:paraId="7EA929C4" w14:textId="71E4A1E9" w:rsidR="0009743C" w:rsidRDefault="0009743C" w:rsidP="0009743C">
            <w:pPr>
              <w:pStyle w:val="TableText"/>
            </w:pPr>
            <w:r>
              <w:t>Removed</w:t>
            </w:r>
          </w:p>
        </w:tc>
        <w:tc>
          <w:tcPr>
            <w:tcW w:w="693" w:type="pct"/>
            <w:vMerge/>
          </w:tcPr>
          <w:p w14:paraId="3AB43BF0" w14:textId="77777777" w:rsidR="0009743C" w:rsidRDefault="0009743C" w:rsidP="002D2194">
            <w:pPr>
              <w:pStyle w:val="TableFigureCenter"/>
            </w:pPr>
          </w:p>
        </w:tc>
      </w:tr>
    </w:tbl>
    <w:p w14:paraId="7C140DEF"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7D4F60BF" w14:textId="77777777" w:rsidTr="0095718B">
        <w:trPr>
          <w:trHeight w:val="427"/>
        </w:trPr>
        <w:tc>
          <w:tcPr>
            <w:tcW w:w="1101" w:type="dxa"/>
            <w:shd w:val="clear" w:color="auto" w:fill="auto"/>
          </w:tcPr>
          <w:p w14:paraId="28677486"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23EE0555" w14:textId="77777777" w:rsidR="00EE45B0" w:rsidRPr="0095718B" w:rsidRDefault="00EE45B0">
            <w:pPr>
              <w:pStyle w:val="Paragraph"/>
              <w:rPr>
                <w:sz w:val="16"/>
                <w:szCs w:val="16"/>
              </w:rPr>
            </w:pPr>
          </w:p>
        </w:tc>
      </w:tr>
      <w:tr w:rsidR="00EE45B0" w14:paraId="3BB3BF35" w14:textId="77777777" w:rsidTr="0095718B">
        <w:tc>
          <w:tcPr>
            <w:tcW w:w="1101" w:type="dxa"/>
            <w:shd w:val="clear" w:color="auto" w:fill="auto"/>
          </w:tcPr>
          <w:p w14:paraId="693F7B8A"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43735C96"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3F88B25E" w14:textId="77777777" w:rsidTr="0095718B">
        <w:tc>
          <w:tcPr>
            <w:tcW w:w="1101" w:type="dxa"/>
            <w:shd w:val="clear" w:color="auto" w:fill="auto"/>
          </w:tcPr>
          <w:p w14:paraId="79BB307D"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1D401C41"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05303EB7" w14:textId="77777777" w:rsidTr="0095718B">
        <w:tc>
          <w:tcPr>
            <w:tcW w:w="1101" w:type="dxa"/>
            <w:shd w:val="clear" w:color="auto" w:fill="auto"/>
          </w:tcPr>
          <w:p w14:paraId="7A2FA84C"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115857E2"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5F118B8F" w14:textId="77777777" w:rsidTr="0095718B">
        <w:tc>
          <w:tcPr>
            <w:tcW w:w="1101" w:type="dxa"/>
            <w:shd w:val="clear" w:color="auto" w:fill="auto"/>
          </w:tcPr>
          <w:p w14:paraId="26E29C24"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5E8CEA9E"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3F23D6D3" w14:textId="77777777" w:rsidR="005C0049" w:rsidRDefault="005C0049">
      <w:pPr>
        <w:pStyle w:val="Paragraph"/>
      </w:pPr>
    </w:p>
    <w:p w14:paraId="5CF52961" w14:textId="77777777" w:rsidR="004131B5" w:rsidRDefault="004131B5">
      <w:pPr>
        <w:pStyle w:val="Paragraph"/>
      </w:pPr>
    </w:p>
    <w:sectPr w:rsidR="004131B5" w:rsidSect="00FC0913">
      <w:headerReference w:type="default" r:id="rId14"/>
      <w:type w:val="continuous"/>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D387" w14:textId="77777777" w:rsidR="00957D08" w:rsidRDefault="00957D08">
      <w:r>
        <w:separator/>
      </w:r>
    </w:p>
  </w:endnote>
  <w:endnote w:type="continuationSeparator" w:id="0">
    <w:p w14:paraId="5D9AAE59" w14:textId="77777777" w:rsidR="00957D08" w:rsidRDefault="0095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D850" w14:textId="77777777" w:rsidR="004A3CD1" w:rsidRDefault="004A3CD1" w:rsidP="001F1A04">
    <w:pPr>
      <w:pStyle w:val="Footer"/>
      <w:pBdr>
        <w:top w:val="none" w:sz="0" w:space="0" w:color="auto"/>
      </w:pBdr>
      <w:spacing w:after="0"/>
      <w:jc w:val="right"/>
    </w:pPr>
  </w:p>
  <w:p w14:paraId="092761B6" w14:textId="77777777" w:rsidR="004A3CD1" w:rsidRDefault="004A3CD1" w:rsidP="001F1A04">
    <w:pPr>
      <w:pStyle w:val="Footer"/>
      <w:pBdr>
        <w:top w:val="dotted" w:sz="4" w:space="1" w:color="auto"/>
      </w:pBdr>
      <w:spacing w:after="0"/>
      <w:jc w:val="right"/>
    </w:pPr>
  </w:p>
  <w:p w14:paraId="46DC4521" w14:textId="220D3071" w:rsidR="004A3CD1" w:rsidRPr="001F1A04" w:rsidRDefault="002D2194"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May 2021</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B8A0" w14:textId="77777777" w:rsidR="00957D08" w:rsidRDefault="00957D08">
      <w:r>
        <w:separator/>
      </w:r>
    </w:p>
  </w:footnote>
  <w:footnote w:type="continuationSeparator" w:id="0">
    <w:p w14:paraId="6B114B4F" w14:textId="77777777" w:rsidR="00957D08" w:rsidRDefault="0095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C8D0" w14:textId="77777777" w:rsidR="00A57FA3" w:rsidRDefault="00A57FA3" w:rsidP="0009743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E101" w14:textId="4889DCDB" w:rsidR="004A3CD1" w:rsidRPr="00CD40F5" w:rsidRDefault="00341B1B" w:rsidP="001F1A04">
    <w:pPr>
      <w:tabs>
        <w:tab w:val="right" w:pos="9639"/>
      </w:tabs>
      <w:jc w:val="right"/>
      <w:rPr>
        <w:rFonts w:cs="Arial"/>
        <w:sz w:val="16"/>
        <w:szCs w:val="16"/>
      </w:rPr>
    </w:pPr>
    <w:r>
      <w:rPr>
        <w:rFonts w:cs="Arial"/>
        <w:sz w:val="16"/>
        <w:szCs w:val="16"/>
      </w:rPr>
      <w:t>Austroads Test Method AGPT/T</w:t>
    </w:r>
    <w:r w:rsidR="00A57FA3">
      <w:rPr>
        <w:rFonts w:cs="Arial"/>
        <w:sz w:val="16"/>
        <w:szCs w:val="16"/>
      </w:rPr>
      <w:t>108</w:t>
    </w:r>
  </w:p>
  <w:p w14:paraId="623DD3E7" w14:textId="08B8F2D5" w:rsidR="004A3CD1" w:rsidRPr="00CD40F5" w:rsidRDefault="00A57FA3" w:rsidP="00BE1AF9">
    <w:pPr>
      <w:pBdr>
        <w:bottom w:val="dotted" w:sz="4" w:space="4" w:color="auto"/>
      </w:pBdr>
      <w:tabs>
        <w:tab w:val="right" w:pos="9639"/>
      </w:tabs>
      <w:jc w:val="right"/>
      <w:rPr>
        <w:rFonts w:cs="Arial"/>
        <w:sz w:val="16"/>
        <w:szCs w:val="16"/>
      </w:rPr>
    </w:pPr>
    <w:r w:rsidRPr="00A57FA3">
      <w:rPr>
        <w:rFonts w:cs="Arial"/>
        <w:sz w:val="16"/>
        <w:szCs w:val="16"/>
      </w:rPr>
      <w:t>Segregation of Polymer Modified Binders</w:t>
    </w:r>
  </w:p>
  <w:p w14:paraId="78F73E60"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4020D393"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19C01D44"/>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2"/>
  </w:num>
  <w:num w:numId="2">
    <w:abstractNumId w:val="25"/>
  </w:num>
  <w:num w:numId="3">
    <w:abstractNumId w:val="16"/>
  </w:num>
  <w:num w:numId="4">
    <w:abstractNumId w:val="13"/>
  </w:num>
  <w:num w:numId="5">
    <w:abstractNumId w:val="21"/>
  </w:num>
  <w:num w:numId="6">
    <w:abstractNumId w:val="23"/>
  </w:num>
  <w:num w:numId="7">
    <w:abstractNumId w:val="11"/>
  </w:num>
  <w:num w:numId="8">
    <w:abstractNumId w:val="20"/>
  </w:num>
  <w:num w:numId="9">
    <w:abstractNumId w:val="24"/>
  </w:num>
  <w:num w:numId="10">
    <w:abstractNumId w:val="10"/>
  </w:num>
  <w:num w:numId="11">
    <w:abstractNumId w:val="28"/>
  </w:num>
  <w:num w:numId="12">
    <w:abstractNumId w:val="30"/>
  </w:num>
  <w:num w:numId="13">
    <w:abstractNumId w:val="32"/>
  </w:num>
  <w:num w:numId="14">
    <w:abstractNumId w:val="26"/>
  </w:num>
  <w:num w:numId="15">
    <w:abstractNumId w:val="33"/>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9"/>
  </w:num>
  <w:num w:numId="29">
    <w:abstractNumId w:val="1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2"/>
  </w:num>
  <w:num w:numId="40">
    <w:abstractNumId w:val="2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BE"/>
    <w:rsid w:val="00002EC3"/>
    <w:rsid w:val="00007339"/>
    <w:rsid w:val="00012D17"/>
    <w:rsid w:val="00017212"/>
    <w:rsid w:val="00024D29"/>
    <w:rsid w:val="00032A4E"/>
    <w:rsid w:val="00036414"/>
    <w:rsid w:val="0003794A"/>
    <w:rsid w:val="000402A2"/>
    <w:rsid w:val="00046273"/>
    <w:rsid w:val="000514DE"/>
    <w:rsid w:val="00066135"/>
    <w:rsid w:val="00067CCC"/>
    <w:rsid w:val="000705BF"/>
    <w:rsid w:val="000723A7"/>
    <w:rsid w:val="00076125"/>
    <w:rsid w:val="000904CC"/>
    <w:rsid w:val="0009743C"/>
    <w:rsid w:val="000A2E26"/>
    <w:rsid w:val="000A2FDB"/>
    <w:rsid w:val="000A4FEF"/>
    <w:rsid w:val="000A775F"/>
    <w:rsid w:val="000B79D9"/>
    <w:rsid w:val="000D2B18"/>
    <w:rsid w:val="000D409E"/>
    <w:rsid w:val="000D455E"/>
    <w:rsid w:val="000D7096"/>
    <w:rsid w:val="000E3FF2"/>
    <w:rsid w:val="000F62D3"/>
    <w:rsid w:val="000F67E1"/>
    <w:rsid w:val="00102C42"/>
    <w:rsid w:val="00107053"/>
    <w:rsid w:val="00107B38"/>
    <w:rsid w:val="00122754"/>
    <w:rsid w:val="00124B6F"/>
    <w:rsid w:val="001252E1"/>
    <w:rsid w:val="001304CA"/>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7F45"/>
    <w:rsid w:val="001B6E44"/>
    <w:rsid w:val="001C0339"/>
    <w:rsid w:val="001C3186"/>
    <w:rsid w:val="001C4B2E"/>
    <w:rsid w:val="001D1EBC"/>
    <w:rsid w:val="001D3BAC"/>
    <w:rsid w:val="001D6A94"/>
    <w:rsid w:val="001E510B"/>
    <w:rsid w:val="001E547E"/>
    <w:rsid w:val="001E7386"/>
    <w:rsid w:val="001F0567"/>
    <w:rsid w:val="001F1A04"/>
    <w:rsid w:val="001F1C08"/>
    <w:rsid w:val="001F65AD"/>
    <w:rsid w:val="00202514"/>
    <w:rsid w:val="00202691"/>
    <w:rsid w:val="00213FE0"/>
    <w:rsid w:val="00215603"/>
    <w:rsid w:val="002164A8"/>
    <w:rsid w:val="00217F08"/>
    <w:rsid w:val="0022370C"/>
    <w:rsid w:val="002264E4"/>
    <w:rsid w:val="002309EE"/>
    <w:rsid w:val="00230E04"/>
    <w:rsid w:val="00232203"/>
    <w:rsid w:val="00233C88"/>
    <w:rsid w:val="0023708E"/>
    <w:rsid w:val="0024181E"/>
    <w:rsid w:val="0024346F"/>
    <w:rsid w:val="002500F7"/>
    <w:rsid w:val="002513F5"/>
    <w:rsid w:val="00255F9A"/>
    <w:rsid w:val="0026793B"/>
    <w:rsid w:val="0027129A"/>
    <w:rsid w:val="00283A10"/>
    <w:rsid w:val="002851AA"/>
    <w:rsid w:val="0028571A"/>
    <w:rsid w:val="00292841"/>
    <w:rsid w:val="00293E9A"/>
    <w:rsid w:val="002A1368"/>
    <w:rsid w:val="002A6FC6"/>
    <w:rsid w:val="002B312C"/>
    <w:rsid w:val="002B31B3"/>
    <w:rsid w:val="002B380E"/>
    <w:rsid w:val="002B489A"/>
    <w:rsid w:val="002B568D"/>
    <w:rsid w:val="002C0509"/>
    <w:rsid w:val="002C359F"/>
    <w:rsid w:val="002C6890"/>
    <w:rsid w:val="002D2194"/>
    <w:rsid w:val="002E35BB"/>
    <w:rsid w:val="002E4F19"/>
    <w:rsid w:val="002F35A1"/>
    <w:rsid w:val="003009C8"/>
    <w:rsid w:val="0030294D"/>
    <w:rsid w:val="00305ED9"/>
    <w:rsid w:val="003113BE"/>
    <w:rsid w:val="00313B3F"/>
    <w:rsid w:val="003156A8"/>
    <w:rsid w:val="00321CFC"/>
    <w:rsid w:val="00321DC2"/>
    <w:rsid w:val="00322805"/>
    <w:rsid w:val="0033355A"/>
    <w:rsid w:val="00341B1B"/>
    <w:rsid w:val="00346043"/>
    <w:rsid w:val="00346593"/>
    <w:rsid w:val="003507B5"/>
    <w:rsid w:val="00352F3F"/>
    <w:rsid w:val="00366340"/>
    <w:rsid w:val="003668E7"/>
    <w:rsid w:val="003863F0"/>
    <w:rsid w:val="003905E9"/>
    <w:rsid w:val="003966CD"/>
    <w:rsid w:val="003A41DE"/>
    <w:rsid w:val="003B4500"/>
    <w:rsid w:val="003B6383"/>
    <w:rsid w:val="003B7B4D"/>
    <w:rsid w:val="003C41C9"/>
    <w:rsid w:val="003C6402"/>
    <w:rsid w:val="003D781D"/>
    <w:rsid w:val="003E6C3D"/>
    <w:rsid w:val="003E741E"/>
    <w:rsid w:val="003E74DD"/>
    <w:rsid w:val="003F220D"/>
    <w:rsid w:val="003F47D4"/>
    <w:rsid w:val="00405A5A"/>
    <w:rsid w:val="00406810"/>
    <w:rsid w:val="00406F9C"/>
    <w:rsid w:val="004131B5"/>
    <w:rsid w:val="00423A3D"/>
    <w:rsid w:val="00424BEC"/>
    <w:rsid w:val="00427E6D"/>
    <w:rsid w:val="004348C8"/>
    <w:rsid w:val="00435364"/>
    <w:rsid w:val="00441981"/>
    <w:rsid w:val="004440AE"/>
    <w:rsid w:val="004502D5"/>
    <w:rsid w:val="004575C4"/>
    <w:rsid w:val="00460155"/>
    <w:rsid w:val="00465B13"/>
    <w:rsid w:val="00466EB0"/>
    <w:rsid w:val="00474A49"/>
    <w:rsid w:val="00474C28"/>
    <w:rsid w:val="00477D2C"/>
    <w:rsid w:val="00483B8A"/>
    <w:rsid w:val="00484DC5"/>
    <w:rsid w:val="00492DA5"/>
    <w:rsid w:val="004A0E72"/>
    <w:rsid w:val="004A172F"/>
    <w:rsid w:val="004A3CD1"/>
    <w:rsid w:val="004A45BC"/>
    <w:rsid w:val="004B2F15"/>
    <w:rsid w:val="004B6393"/>
    <w:rsid w:val="004C177B"/>
    <w:rsid w:val="004C37DE"/>
    <w:rsid w:val="004D3A1D"/>
    <w:rsid w:val="004E01E1"/>
    <w:rsid w:val="004E225C"/>
    <w:rsid w:val="004E7D46"/>
    <w:rsid w:val="004E7EA1"/>
    <w:rsid w:val="004F5084"/>
    <w:rsid w:val="004F5C52"/>
    <w:rsid w:val="004F607C"/>
    <w:rsid w:val="005032CE"/>
    <w:rsid w:val="00503D6C"/>
    <w:rsid w:val="00504D00"/>
    <w:rsid w:val="00507677"/>
    <w:rsid w:val="00507AB3"/>
    <w:rsid w:val="005101CD"/>
    <w:rsid w:val="005214E4"/>
    <w:rsid w:val="0053443C"/>
    <w:rsid w:val="00534635"/>
    <w:rsid w:val="00534D0E"/>
    <w:rsid w:val="00542D40"/>
    <w:rsid w:val="00543EC6"/>
    <w:rsid w:val="00547D36"/>
    <w:rsid w:val="00550245"/>
    <w:rsid w:val="00550265"/>
    <w:rsid w:val="00552325"/>
    <w:rsid w:val="005827A1"/>
    <w:rsid w:val="00583374"/>
    <w:rsid w:val="005834D7"/>
    <w:rsid w:val="00585C6D"/>
    <w:rsid w:val="00587D13"/>
    <w:rsid w:val="00596046"/>
    <w:rsid w:val="005970D7"/>
    <w:rsid w:val="005975D6"/>
    <w:rsid w:val="005A2392"/>
    <w:rsid w:val="005A2CA0"/>
    <w:rsid w:val="005A49C1"/>
    <w:rsid w:val="005B22E8"/>
    <w:rsid w:val="005B54E8"/>
    <w:rsid w:val="005B55A4"/>
    <w:rsid w:val="005C0049"/>
    <w:rsid w:val="005C39ED"/>
    <w:rsid w:val="005C3C6F"/>
    <w:rsid w:val="005C4C4C"/>
    <w:rsid w:val="005C59C6"/>
    <w:rsid w:val="005D604B"/>
    <w:rsid w:val="005E343C"/>
    <w:rsid w:val="005F4A8A"/>
    <w:rsid w:val="005F6E19"/>
    <w:rsid w:val="0060010F"/>
    <w:rsid w:val="00601B4E"/>
    <w:rsid w:val="00602BB6"/>
    <w:rsid w:val="00606BD1"/>
    <w:rsid w:val="00607728"/>
    <w:rsid w:val="00611120"/>
    <w:rsid w:val="00611E0C"/>
    <w:rsid w:val="0061266F"/>
    <w:rsid w:val="006139DA"/>
    <w:rsid w:val="006367EE"/>
    <w:rsid w:val="0064783A"/>
    <w:rsid w:val="00650AB7"/>
    <w:rsid w:val="0065506C"/>
    <w:rsid w:val="0065541A"/>
    <w:rsid w:val="00656508"/>
    <w:rsid w:val="006575C6"/>
    <w:rsid w:val="006602DF"/>
    <w:rsid w:val="00661086"/>
    <w:rsid w:val="00662CCF"/>
    <w:rsid w:val="00664AA8"/>
    <w:rsid w:val="00664ADF"/>
    <w:rsid w:val="00670FA8"/>
    <w:rsid w:val="00687352"/>
    <w:rsid w:val="00692426"/>
    <w:rsid w:val="00694FD6"/>
    <w:rsid w:val="006951E9"/>
    <w:rsid w:val="006A1CBF"/>
    <w:rsid w:val="006A1F2E"/>
    <w:rsid w:val="006A2231"/>
    <w:rsid w:val="006C3656"/>
    <w:rsid w:val="006D4D7E"/>
    <w:rsid w:val="006D6E9F"/>
    <w:rsid w:val="006F31F3"/>
    <w:rsid w:val="007003A4"/>
    <w:rsid w:val="00701A61"/>
    <w:rsid w:val="00702302"/>
    <w:rsid w:val="00705DF5"/>
    <w:rsid w:val="00712BF2"/>
    <w:rsid w:val="007132A6"/>
    <w:rsid w:val="00713B56"/>
    <w:rsid w:val="00721F97"/>
    <w:rsid w:val="00725C04"/>
    <w:rsid w:val="0072689E"/>
    <w:rsid w:val="00731EA0"/>
    <w:rsid w:val="0073288D"/>
    <w:rsid w:val="007420A9"/>
    <w:rsid w:val="00751991"/>
    <w:rsid w:val="007532DC"/>
    <w:rsid w:val="007538EF"/>
    <w:rsid w:val="00753A89"/>
    <w:rsid w:val="00754735"/>
    <w:rsid w:val="00761B6F"/>
    <w:rsid w:val="007620E3"/>
    <w:rsid w:val="00762C19"/>
    <w:rsid w:val="00766CFF"/>
    <w:rsid w:val="00767023"/>
    <w:rsid w:val="00770F70"/>
    <w:rsid w:val="0077346B"/>
    <w:rsid w:val="00775B6A"/>
    <w:rsid w:val="0078373C"/>
    <w:rsid w:val="0079013D"/>
    <w:rsid w:val="007A268A"/>
    <w:rsid w:val="007A64E0"/>
    <w:rsid w:val="007B5A11"/>
    <w:rsid w:val="007B6406"/>
    <w:rsid w:val="007C20CD"/>
    <w:rsid w:val="007C4022"/>
    <w:rsid w:val="007C593B"/>
    <w:rsid w:val="007C7EAF"/>
    <w:rsid w:val="007D0542"/>
    <w:rsid w:val="007D0AEC"/>
    <w:rsid w:val="007D19C3"/>
    <w:rsid w:val="007D4855"/>
    <w:rsid w:val="007E136B"/>
    <w:rsid w:val="007E18F5"/>
    <w:rsid w:val="007E1FB8"/>
    <w:rsid w:val="007E38A2"/>
    <w:rsid w:val="008041D9"/>
    <w:rsid w:val="008057B5"/>
    <w:rsid w:val="00806DB6"/>
    <w:rsid w:val="00807948"/>
    <w:rsid w:val="00810763"/>
    <w:rsid w:val="00814D69"/>
    <w:rsid w:val="00820D5E"/>
    <w:rsid w:val="00825E38"/>
    <w:rsid w:val="00854264"/>
    <w:rsid w:val="00867BCB"/>
    <w:rsid w:val="008701C1"/>
    <w:rsid w:val="00872E3D"/>
    <w:rsid w:val="008765B1"/>
    <w:rsid w:val="00881015"/>
    <w:rsid w:val="00882056"/>
    <w:rsid w:val="0088243E"/>
    <w:rsid w:val="00885A16"/>
    <w:rsid w:val="00894CA9"/>
    <w:rsid w:val="00896A90"/>
    <w:rsid w:val="008A132A"/>
    <w:rsid w:val="008B2BF6"/>
    <w:rsid w:val="008B7483"/>
    <w:rsid w:val="008C101C"/>
    <w:rsid w:val="008C1B42"/>
    <w:rsid w:val="008C5712"/>
    <w:rsid w:val="008C6203"/>
    <w:rsid w:val="008D4652"/>
    <w:rsid w:val="008E1882"/>
    <w:rsid w:val="008E3A58"/>
    <w:rsid w:val="008E7B95"/>
    <w:rsid w:val="008F31CD"/>
    <w:rsid w:val="008F461C"/>
    <w:rsid w:val="008F7119"/>
    <w:rsid w:val="00900930"/>
    <w:rsid w:val="00900AFE"/>
    <w:rsid w:val="0090477A"/>
    <w:rsid w:val="00905FA2"/>
    <w:rsid w:val="00906CF3"/>
    <w:rsid w:val="00911051"/>
    <w:rsid w:val="00911208"/>
    <w:rsid w:val="00920B37"/>
    <w:rsid w:val="00924918"/>
    <w:rsid w:val="00925106"/>
    <w:rsid w:val="009258C2"/>
    <w:rsid w:val="00926DD7"/>
    <w:rsid w:val="009308F8"/>
    <w:rsid w:val="00932483"/>
    <w:rsid w:val="009401BB"/>
    <w:rsid w:val="00941B8F"/>
    <w:rsid w:val="00942EB7"/>
    <w:rsid w:val="00943794"/>
    <w:rsid w:val="00946714"/>
    <w:rsid w:val="00947CCF"/>
    <w:rsid w:val="009502E7"/>
    <w:rsid w:val="0095434E"/>
    <w:rsid w:val="0095718B"/>
    <w:rsid w:val="00957D08"/>
    <w:rsid w:val="00963541"/>
    <w:rsid w:val="00974271"/>
    <w:rsid w:val="00974696"/>
    <w:rsid w:val="00975A6F"/>
    <w:rsid w:val="00981409"/>
    <w:rsid w:val="00984647"/>
    <w:rsid w:val="00996321"/>
    <w:rsid w:val="009968F5"/>
    <w:rsid w:val="009A01AC"/>
    <w:rsid w:val="009A047B"/>
    <w:rsid w:val="009A2951"/>
    <w:rsid w:val="009A521F"/>
    <w:rsid w:val="009A553B"/>
    <w:rsid w:val="009A61F4"/>
    <w:rsid w:val="009B1E22"/>
    <w:rsid w:val="009B6208"/>
    <w:rsid w:val="009C74DD"/>
    <w:rsid w:val="009D12D1"/>
    <w:rsid w:val="009D5FD5"/>
    <w:rsid w:val="009D727C"/>
    <w:rsid w:val="009E23ED"/>
    <w:rsid w:val="009F1D1E"/>
    <w:rsid w:val="009F2523"/>
    <w:rsid w:val="009F3A9B"/>
    <w:rsid w:val="009F4A74"/>
    <w:rsid w:val="009F4F2E"/>
    <w:rsid w:val="009F52BD"/>
    <w:rsid w:val="009F6F76"/>
    <w:rsid w:val="009F7929"/>
    <w:rsid w:val="00A11655"/>
    <w:rsid w:val="00A1446D"/>
    <w:rsid w:val="00A1648B"/>
    <w:rsid w:val="00A16DF8"/>
    <w:rsid w:val="00A23241"/>
    <w:rsid w:val="00A31430"/>
    <w:rsid w:val="00A31955"/>
    <w:rsid w:val="00A3267E"/>
    <w:rsid w:val="00A36DF8"/>
    <w:rsid w:val="00A4388C"/>
    <w:rsid w:val="00A45412"/>
    <w:rsid w:val="00A506E7"/>
    <w:rsid w:val="00A5124C"/>
    <w:rsid w:val="00A53CE6"/>
    <w:rsid w:val="00A57FA3"/>
    <w:rsid w:val="00A7159E"/>
    <w:rsid w:val="00A73E80"/>
    <w:rsid w:val="00A743F6"/>
    <w:rsid w:val="00A7442F"/>
    <w:rsid w:val="00A74438"/>
    <w:rsid w:val="00A86A31"/>
    <w:rsid w:val="00A872AE"/>
    <w:rsid w:val="00A92A82"/>
    <w:rsid w:val="00A945FC"/>
    <w:rsid w:val="00A9680D"/>
    <w:rsid w:val="00A97665"/>
    <w:rsid w:val="00AA17E6"/>
    <w:rsid w:val="00AA499E"/>
    <w:rsid w:val="00AA7FD2"/>
    <w:rsid w:val="00AB04B2"/>
    <w:rsid w:val="00AB46C4"/>
    <w:rsid w:val="00AC7873"/>
    <w:rsid w:val="00AC7CE6"/>
    <w:rsid w:val="00AD090D"/>
    <w:rsid w:val="00AE3AD9"/>
    <w:rsid w:val="00AE3FDD"/>
    <w:rsid w:val="00AE4231"/>
    <w:rsid w:val="00AE47D0"/>
    <w:rsid w:val="00AF1121"/>
    <w:rsid w:val="00AF2D0A"/>
    <w:rsid w:val="00AF33DA"/>
    <w:rsid w:val="00AF3B2A"/>
    <w:rsid w:val="00AF6146"/>
    <w:rsid w:val="00AF689B"/>
    <w:rsid w:val="00AF78CE"/>
    <w:rsid w:val="00B00A14"/>
    <w:rsid w:val="00B01B2B"/>
    <w:rsid w:val="00B03182"/>
    <w:rsid w:val="00B04B0D"/>
    <w:rsid w:val="00B064E2"/>
    <w:rsid w:val="00B10993"/>
    <w:rsid w:val="00B10AB1"/>
    <w:rsid w:val="00B1369D"/>
    <w:rsid w:val="00B3168A"/>
    <w:rsid w:val="00B3240E"/>
    <w:rsid w:val="00B3270A"/>
    <w:rsid w:val="00B35DD0"/>
    <w:rsid w:val="00B45493"/>
    <w:rsid w:val="00B50184"/>
    <w:rsid w:val="00B5351E"/>
    <w:rsid w:val="00B56003"/>
    <w:rsid w:val="00B56207"/>
    <w:rsid w:val="00B711FC"/>
    <w:rsid w:val="00B71F02"/>
    <w:rsid w:val="00B766CF"/>
    <w:rsid w:val="00B81433"/>
    <w:rsid w:val="00B816EB"/>
    <w:rsid w:val="00B8234C"/>
    <w:rsid w:val="00B82542"/>
    <w:rsid w:val="00B830E7"/>
    <w:rsid w:val="00B86C86"/>
    <w:rsid w:val="00BA0F18"/>
    <w:rsid w:val="00BA2BC9"/>
    <w:rsid w:val="00BB3EC1"/>
    <w:rsid w:val="00BB6BE3"/>
    <w:rsid w:val="00BC17AB"/>
    <w:rsid w:val="00BD3EB9"/>
    <w:rsid w:val="00BD7D99"/>
    <w:rsid w:val="00BE0122"/>
    <w:rsid w:val="00BE07CF"/>
    <w:rsid w:val="00BE1451"/>
    <w:rsid w:val="00BE1636"/>
    <w:rsid w:val="00BE1AF9"/>
    <w:rsid w:val="00BE6820"/>
    <w:rsid w:val="00BF236F"/>
    <w:rsid w:val="00BF262C"/>
    <w:rsid w:val="00BF5629"/>
    <w:rsid w:val="00BF7F38"/>
    <w:rsid w:val="00C00760"/>
    <w:rsid w:val="00C043CB"/>
    <w:rsid w:val="00C23A75"/>
    <w:rsid w:val="00C23C63"/>
    <w:rsid w:val="00C3085B"/>
    <w:rsid w:val="00C347B7"/>
    <w:rsid w:val="00C34B68"/>
    <w:rsid w:val="00C35ACF"/>
    <w:rsid w:val="00C36276"/>
    <w:rsid w:val="00C45EC7"/>
    <w:rsid w:val="00C47889"/>
    <w:rsid w:val="00C5080B"/>
    <w:rsid w:val="00C50E43"/>
    <w:rsid w:val="00C55E36"/>
    <w:rsid w:val="00C569E2"/>
    <w:rsid w:val="00C64D20"/>
    <w:rsid w:val="00C8114C"/>
    <w:rsid w:val="00C82AF2"/>
    <w:rsid w:val="00C864D7"/>
    <w:rsid w:val="00C87E60"/>
    <w:rsid w:val="00C94035"/>
    <w:rsid w:val="00C9536F"/>
    <w:rsid w:val="00C95E57"/>
    <w:rsid w:val="00CA1F72"/>
    <w:rsid w:val="00CC7FDC"/>
    <w:rsid w:val="00CD787C"/>
    <w:rsid w:val="00CD7B65"/>
    <w:rsid w:val="00CE2E56"/>
    <w:rsid w:val="00CF013F"/>
    <w:rsid w:val="00CF5468"/>
    <w:rsid w:val="00CF6354"/>
    <w:rsid w:val="00CF70BF"/>
    <w:rsid w:val="00D01A93"/>
    <w:rsid w:val="00D06FE1"/>
    <w:rsid w:val="00D07A67"/>
    <w:rsid w:val="00D07B8F"/>
    <w:rsid w:val="00D07C6C"/>
    <w:rsid w:val="00D117CD"/>
    <w:rsid w:val="00D136BF"/>
    <w:rsid w:val="00D15E68"/>
    <w:rsid w:val="00D2007A"/>
    <w:rsid w:val="00D31B8F"/>
    <w:rsid w:val="00D47013"/>
    <w:rsid w:val="00D66B1A"/>
    <w:rsid w:val="00D7128B"/>
    <w:rsid w:val="00D95506"/>
    <w:rsid w:val="00DA0EB8"/>
    <w:rsid w:val="00DA4174"/>
    <w:rsid w:val="00DA4CF3"/>
    <w:rsid w:val="00DB267A"/>
    <w:rsid w:val="00DB353B"/>
    <w:rsid w:val="00DB4D24"/>
    <w:rsid w:val="00DB5D13"/>
    <w:rsid w:val="00DB69D9"/>
    <w:rsid w:val="00DC006E"/>
    <w:rsid w:val="00DC323D"/>
    <w:rsid w:val="00DC3FAB"/>
    <w:rsid w:val="00DC6BD5"/>
    <w:rsid w:val="00DD3615"/>
    <w:rsid w:val="00DD36A2"/>
    <w:rsid w:val="00DD4F45"/>
    <w:rsid w:val="00DD506A"/>
    <w:rsid w:val="00DD5FD7"/>
    <w:rsid w:val="00DF0506"/>
    <w:rsid w:val="00DF0FE6"/>
    <w:rsid w:val="00DF1083"/>
    <w:rsid w:val="00DF3A99"/>
    <w:rsid w:val="00DF543E"/>
    <w:rsid w:val="00DF7F3E"/>
    <w:rsid w:val="00E024B6"/>
    <w:rsid w:val="00E02B66"/>
    <w:rsid w:val="00E06468"/>
    <w:rsid w:val="00E16C99"/>
    <w:rsid w:val="00E257C4"/>
    <w:rsid w:val="00E27233"/>
    <w:rsid w:val="00E3006B"/>
    <w:rsid w:val="00E30A3C"/>
    <w:rsid w:val="00E31E00"/>
    <w:rsid w:val="00E3218F"/>
    <w:rsid w:val="00E3396F"/>
    <w:rsid w:val="00E40F36"/>
    <w:rsid w:val="00E467BB"/>
    <w:rsid w:val="00E55B51"/>
    <w:rsid w:val="00E6543E"/>
    <w:rsid w:val="00E8210D"/>
    <w:rsid w:val="00E82E2E"/>
    <w:rsid w:val="00EA58FB"/>
    <w:rsid w:val="00EA60FB"/>
    <w:rsid w:val="00EB5EFD"/>
    <w:rsid w:val="00EC492E"/>
    <w:rsid w:val="00EC4B37"/>
    <w:rsid w:val="00ED4806"/>
    <w:rsid w:val="00ED5D49"/>
    <w:rsid w:val="00EE45B0"/>
    <w:rsid w:val="00EF3084"/>
    <w:rsid w:val="00F03378"/>
    <w:rsid w:val="00F12AD9"/>
    <w:rsid w:val="00F255ED"/>
    <w:rsid w:val="00F271A5"/>
    <w:rsid w:val="00F27399"/>
    <w:rsid w:val="00F31553"/>
    <w:rsid w:val="00F40DB2"/>
    <w:rsid w:val="00F41C76"/>
    <w:rsid w:val="00F43014"/>
    <w:rsid w:val="00F52376"/>
    <w:rsid w:val="00F5726B"/>
    <w:rsid w:val="00F60FD7"/>
    <w:rsid w:val="00F6126C"/>
    <w:rsid w:val="00F62EE3"/>
    <w:rsid w:val="00F67953"/>
    <w:rsid w:val="00F7072F"/>
    <w:rsid w:val="00F70BBC"/>
    <w:rsid w:val="00F75420"/>
    <w:rsid w:val="00F819AB"/>
    <w:rsid w:val="00F81CAE"/>
    <w:rsid w:val="00F82359"/>
    <w:rsid w:val="00F83370"/>
    <w:rsid w:val="00F86A91"/>
    <w:rsid w:val="00F91665"/>
    <w:rsid w:val="00F97BA0"/>
    <w:rsid w:val="00F97C69"/>
    <w:rsid w:val="00FC0913"/>
    <w:rsid w:val="00FC0F7A"/>
    <w:rsid w:val="00FC69FC"/>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6C31726"/>
  <w15:docId w15:val="{5493D487-AE80-4BC7-9B46-57A1E59B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6A1F2E"/>
    <w:pPr>
      <w:keepNext/>
      <w:keepLines/>
      <w:numPr>
        <w:numId w:val="14"/>
      </w:numPr>
      <w:tabs>
        <w:tab w:val="left" w:pos="567"/>
      </w:tabs>
      <w:spacing w:before="720" w:after="240" w:line="240" w:lineRule="atLeast"/>
      <w:ind w:left="567" w:hanging="567"/>
      <w:outlineLvl w:val="0"/>
    </w:pPr>
    <w:rPr>
      <w:rFonts w:ascii="Arial" w:hAnsi="Arial"/>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09743C"/>
    <w:pPr>
      <w:numPr>
        <w:numId w:val="0"/>
      </w:numPr>
      <w:tabs>
        <w:tab w:val="clear" w:pos="567"/>
        <w:tab w:val="right" w:leader="dot" w:pos="3261"/>
      </w:tabs>
      <w:spacing w:before="120" w:after="120"/>
      <w:ind w:left="284" w:hanging="284"/>
    </w:pPr>
    <w:rPr>
      <w:rFonts w:cs="Arial"/>
      <w:b w:val="0"/>
      <w:sz w:val="18"/>
      <w:szCs w:val="20"/>
    </w:rPr>
  </w:style>
  <w:style w:type="paragraph" w:styleId="TOC2">
    <w:name w:val="toc 2"/>
    <w:basedOn w:val="Heading2"/>
    <w:next w:val="Normal"/>
    <w:autoRedefine/>
    <w:rsid w:val="00A73E80"/>
    <w:pPr>
      <w:tabs>
        <w:tab w:val="clear" w:pos="567"/>
        <w:tab w:val="clear" w:pos="851"/>
        <w:tab w:val="right" w:leader="dot" w:pos="3261"/>
      </w:tabs>
      <w:spacing w:before="120" w:after="120"/>
      <w:ind w:hanging="425"/>
    </w:pPr>
    <w:rPr>
      <w:b w:val="0"/>
      <w:sz w:val="20"/>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09743C"/>
    <w:rPr>
      <w:rFonts w:ascii="Arial" w:hAnsi="Arial" w:cs="Arial"/>
      <w:sz w:val="18"/>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09743C"/>
    <w:pPr>
      <w:keepLines/>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72689E"/>
    <w:pPr>
      <w:spacing w:after="240" w:line="240" w:lineRule="atLeast"/>
    </w:pPr>
    <w:rPr>
      <w:rFonts w:ascii="Arial" w:hAnsi="Arial"/>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09743C"/>
    <w:rPr>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character" w:styleId="UnresolvedMention">
    <w:name w:val="Unresolved Mention"/>
    <w:basedOn w:val="DefaultParagraphFont"/>
    <w:uiPriority w:val="99"/>
    <w:semiHidden/>
    <w:unhideWhenUsed/>
    <w:rsid w:val="002D2194"/>
    <w:rPr>
      <w:color w:val="605E5C"/>
      <w:shd w:val="clear" w:color="auto" w:fill="E1DFDD"/>
    </w:rPr>
  </w:style>
  <w:style w:type="paragraph" w:styleId="TOCHeading">
    <w:name w:val="TOC Heading"/>
    <w:basedOn w:val="Heading1"/>
    <w:next w:val="Normal"/>
    <w:uiPriority w:val="39"/>
    <w:unhideWhenUsed/>
    <w:qFormat/>
    <w:rsid w:val="0009743C"/>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ivery_x0020_Type xmlns="4a380656-49f0-4a28-a955-98ea2f364435" xsi:nil="true"/>
    <_ip_UnifiedCompliancePolicyUIAction xmlns="http://schemas.microsoft.com/sharepoint/v3" xsi:nil="true"/>
    <Project_x0020_Leader xmlns="4a380656-49f0-4a28-a955-98ea2f364435" xsi:nil="true"/>
    <Project_x0020_Technical_x0020_Leader xmlns="4a380656-49f0-4a28-a955-98ea2f364435" xsi:nil="true"/>
    <_ip_UnifiedCompliancePolicyProperties xmlns="http://schemas.microsoft.com/sharepoint/v3" xsi:nil="true"/>
    <Project_x0020_Name xmlns="4a380656-49f0-4a28-a955-98ea2f364435" xsi:nil="true"/>
    <Strategic_x0020_Work_x0020_Group xmlns="4a380656-49f0-4a28-a955-98ea2f364435" xsi:nil="true"/>
    <Opportunity_x0020_Delivery_x0020_Type xmlns="4a380656-49f0-4a28-a955-98ea2f364435" xsi:nil="true"/>
    <Region xmlns="4a380656-49f0-4a28-a955-98ea2f364435" xsi:nil="true"/>
    <Estimated_x0020_Hours xmlns="4a380656-49f0-4a28-a955-98ea2f364435" xsi:nil="true"/>
    <ModifiedByCRMUser xmlns="4a380656-49f0-4a28-a955-98ea2f364435" xsi:nil="true"/>
    <CreatedByCRMUser xmlns="4a380656-49f0-4a28-a955-98ea2f364435" xsi:nil="true"/>
    <Close_x0020_Date xmlns="4a380656-49f0-4a28-a955-98ea2f3644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30" ma:contentTypeDescription="Create a new document." ma:contentTypeScope="" ma:versionID="6577c585fbf4b48c61e0453815b2ed39">
  <xsd:schema xmlns:xsd="http://www.w3.org/2001/XMLSchema" xmlns:xs="http://www.w3.org/2001/XMLSchema" xmlns:p="http://schemas.microsoft.com/office/2006/metadata/properties" xmlns:ns1="http://schemas.microsoft.com/sharepoint/v3" xmlns:ns2="4a380656-49f0-4a28-a955-98ea2f364435" xmlns:ns3="60ec3d23-a8c2-4670-95d6-1f6e0930ad39" targetNamespace="http://schemas.microsoft.com/office/2006/metadata/properties" ma:root="true" ma:fieldsID="1ee487cb5ac939ded2500dd7c0762081" ns1:_="" ns2:_="" ns3:_="">
    <xsd:import namespace="http://schemas.microsoft.com/sharepoint/v3"/>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67014-6A44-40E3-88A2-254E6C2E23A9}">
  <ds:schemaRefs>
    <ds:schemaRef ds:uri="http://schemas.microsoft.com/office/2006/metadata/properties"/>
    <ds:schemaRef ds:uri="http://schemas.microsoft.com/office/infopath/2007/PartnerControls"/>
    <ds:schemaRef ds:uri="4a380656-49f0-4a28-a955-98ea2f364435"/>
    <ds:schemaRef ds:uri="http://schemas.microsoft.com/sharepoint/v3"/>
  </ds:schemaRefs>
</ds:datastoreItem>
</file>

<file path=customXml/itemProps2.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customXml/itemProps3.xml><?xml version="1.0" encoding="utf-8"?>
<ds:datastoreItem xmlns:ds="http://schemas.openxmlformats.org/officeDocument/2006/customXml" ds:itemID="{CD097AE4-8F3B-4D81-9610-3B5EA6AF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C5D78-D4A3-4E7B-A525-A93334C07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939</Words>
  <Characters>5059</Characters>
  <Application>Microsoft Office Word</Application>
  <DocSecurity>0</DocSecurity>
  <Lines>168</Lines>
  <Paragraphs>127</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Elaena Gardner</dc:creator>
  <cp:lastModifiedBy>Elaena Gardner</cp:lastModifiedBy>
  <cp:revision>7</cp:revision>
  <cp:lastPrinted>2021-05-05T03:29:00Z</cp:lastPrinted>
  <dcterms:created xsi:type="dcterms:W3CDTF">2021-05-05T03:27:00Z</dcterms:created>
  <dcterms:modified xsi:type="dcterms:W3CDTF">2021-05-07T05:32:00Z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y fmtid="{D5CDD505-2E9C-101B-9397-08002B2CF9AE}" pid="8" name="ContentTypeId">
    <vt:lpwstr>0x010100751DD4B3EA806845981B1655A1B29B36</vt:lpwstr>
  </property>
</Properties>
</file>